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139ED" w14:textId="77777777" w:rsidR="007D7F83" w:rsidRPr="0082254E" w:rsidRDefault="007D7F83" w:rsidP="0044624B">
      <w:pPr>
        <w:pStyle w:val="Title2"/>
      </w:pPr>
      <w:r w:rsidRPr="0082254E">
        <w:t>NATIONAL INSTITUTE FOR HEALTH AND C</w:t>
      </w:r>
      <w:r w:rsidR="00B12F36" w:rsidRPr="0082254E">
        <w:t>ARE</w:t>
      </w:r>
      <w:r w:rsidRPr="0082254E">
        <w:t xml:space="preserve"> EXCELLENCE</w:t>
      </w:r>
    </w:p>
    <w:p w14:paraId="67C82C2F" w14:textId="77777777" w:rsidR="007D7F83" w:rsidRPr="0082254E" w:rsidRDefault="007D7F83" w:rsidP="005D712B">
      <w:pPr>
        <w:pStyle w:val="Title2"/>
      </w:pPr>
      <w:r w:rsidRPr="0082254E">
        <w:t>Appraisal consultation document</w:t>
      </w:r>
    </w:p>
    <w:p w14:paraId="05540748" w14:textId="77777777" w:rsidR="007D7F83" w:rsidRPr="0082254E" w:rsidRDefault="00E475BD" w:rsidP="00BB7835">
      <w:pPr>
        <w:pStyle w:val="Title1"/>
      </w:pPr>
      <w:r w:rsidRPr="0082254E">
        <w:t>Sodium zirconium cyclosilicate for treating hyperkalaemia</w:t>
      </w:r>
    </w:p>
    <w:p w14:paraId="03A80078" w14:textId="77777777" w:rsidR="00CA6B65" w:rsidRPr="0082254E" w:rsidRDefault="00CA6B65" w:rsidP="00981B9F">
      <w:pPr>
        <w:pStyle w:val="Guidanceissuedate"/>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rsidRPr="0082254E" w14:paraId="35A414A4" w14:textId="77777777" w:rsidTr="00E975D0">
        <w:tc>
          <w:tcPr>
            <w:tcW w:w="8529" w:type="dxa"/>
            <w:shd w:val="clear" w:color="auto" w:fill="auto"/>
          </w:tcPr>
          <w:p w14:paraId="5F26AE9E" w14:textId="77777777" w:rsidR="00981B9F" w:rsidRPr="0082254E" w:rsidRDefault="00981B9F" w:rsidP="00E975D0">
            <w:pPr>
              <w:pStyle w:val="NICEnormalsinglespacing"/>
            </w:pPr>
            <w:r w:rsidRPr="0082254E">
              <w:t xml:space="preserve">The Department of Health </w:t>
            </w:r>
            <w:r w:rsidR="008F71DA" w:rsidRPr="0082254E">
              <w:t xml:space="preserve">and Social Care </w:t>
            </w:r>
            <w:r w:rsidRPr="0082254E">
              <w:t xml:space="preserve">has asked the National Institute for Health and Care Excellence (NICE) to produce guidance on using </w:t>
            </w:r>
            <w:r w:rsidR="00E475BD" w:rsidRPr="0082254E">
              <w:t>sodium zirconium cyclosilicate</w:t>
            </w:r>
            <w:r w:rsidRPr="0082254E">
              <w:t xml:space="preserve"> in the NHS in England. The </w:t>
            </w:r>
            <w:r w:rsidR="006E210A" w:rsidRPr="0082254E">
              <w:t>a</w:t>
            </w:r>
            <w:r w:rsidRPr="0082254E">
              <w:t xml:space="preserve">ppraisal </w:t>
            </w:r>
            <w:r w:rsidR="006E210A" w:rsidRPr="0082254E">
              <w:t>c</w:t>
            </w:r>
            <w:r w:rsidRPr="0082254E">
              <w:t xml:space="preserve">ommittee has considered the evidence submitted by the </w:t>
            </w:r>
            <w:r w:rsidR="00241CB5" w:rsidRPr="0082254E">
              <w:t>company</w:t>
            </w:r>
            <w:r w:rsidRPr="0082254E">
              <w:t xml:space="preserve"> and the views of non-</w:t>
            </w:r>
            <w:r w:rsidR="00241CB5" w:rsidRPr="0082254E">
              <w:t>company</w:t>
            </w:r>
            <w:r w:rsidRPr="0082254E">
              <w:t xml:space="preserve"> consultees and commentators, clinical </w:t>
            </w:r>
            <w:r w:rsidR="00C53928" w:rsidRPr="0082254E">
              <w:t>experts</w:t>
            </w:r>
            <w:r w:rsidRPr="0082254E">
              <w:t xml:space="preserve"> and patient experts. </w:t>
            </w:r>
          </w:p>
          <w:p w14:paraId="6A05D7FC" w14:textId="4E164AA9" w:rsidR="00981B9F" w:rsidRPr="0082254E" w:rsidRDefault="00981B9F" w:rsidP="00E975D0">
            <w:pPr>
              <w:pStyle w:val="NICEnormalsinglespacing"/>
            </w:pPr>
            <w:r w:rsidRPr="0082254E">
              <w:rPr>
                <w:b/>
              </w:rPr>
              <w:t>This document has been prepared for consultation with the consultees.</w:t>
            </w:r>
            <w:r w:rsidRPr="0082254E">
              <w:t xml:space="preserve"> It summarises the evidence and views that have been considered, and sets out the recommendations made by the </w:t>
            </w:r>
            <w:r w:rsidR="006E210A" w:rsidRPr="0082254E">
              <w:t>c</w:t>
            </w:r>
            <w:r w:rsidRPr="0082254E">
              <w:t>ommittee. NICE invites comments from the consultees and commentators for this appraisal and the public. This document should be read along with the evidence (</w:t>
            </w:r>
            <w:r w:rsidR="003045A2" w:rsidRPr="0082254E">
              <w:t xml:space="preserve">see </w:t>
            </w:r>
            <w:r w:rsidRPr="0082254E">
              <w:t xml:space="preserve">the </w:t>
            </w:r>
            <w:hyperlink r:id="rId8" w:history="1">
              <w:r w:rsidR="006E210A" w:rsidRPr="0082254E">
                <w:rPr>
                  <w:rStyle w:val="Hyperlink"/>
                </w:rPr>
                <w:t>committee papers</w:t>
              </w:r>
            </w:hyperlink>
            <w:r w:rsidRPr="0082254E">
              <w:t>).</w:t>
            </w:r>
          </w:p>
          <w:p w14:paraId="7D3BD0A9" w14:textId="77777777" w:rsidR="00981B9F" w:rsidRPr="0082254E" w:rsidRDefault="00981B9F" w:rsidP="00981494">
            <w:pPr>
              <w:pStyle w:val="NICEnormalsinglespacing"/>
            </w:pPr>
            <w:r w:rsidRPr="0082254E">
              <w:t xml:space="preserve">The </w:t>
            </w:r>
            <w:r w:rsidR="006E210A" w:rsidRPr="0082254E">
              <w:t>a</w:t>
            </w:r>
            <w:r w:rsidRPr="0082254E">
              <w:t xml:space="preserve">ppraisal </w:t>
            </w:r>
            <w:r w:rsidR="006E210A" w:rsidRPr="0082254E">
              <w:t>c</w:t>
            </w:r>
            <w:r w:rsidRPr="0082254E">
              <w:t>ommittee is interested in receiving comments on the following:</w:t>
            </w:r>
          </w:p>
          <w:p w14:paraId="7AC0D5BB" w14:textId="77777777" w:rsidR="00981B9F" w:rsidRPr="0082254E" w:rsidRDefault="00981B9F" w:rsidP="00981494">
            <w:pPr>
              <w:pStyle w:val="Bulletleft1"/>
              <w:spacing w:line="240" w:lineRule="auto"/>
            </w:pPr>
            <w:r w:rsidRPr="0082254E">
              <w:t>Has all of the relevant evidence been taken into account?</w:t>
            </w:r>
          </w:p>
          <w:p w14:paraId="52D46E54" w14:textId="77777777" w:rsidR="00981B9F" w:rsidRPr="0082254E" w:rsidRDefault="00981B9F" w:rsidP="00981494">
            <w:pPr>
              <w:pStyle w:val="Bulletleft1"/>
              <w:spacing w:line="240" w:lineRule="auto"/>
            </w:pPr>
            <w:r w:rsidRPr="0082254E">
              <w:t>Are the summaries of clinical and cost effectiveness reasonable interpretations of the evidence?</w:t>
            </w:r>
          </w:p>
          <w:p w14:paraId="3A996F0C" w14:textId="77777777" w:rsidR="00981B9F" w:rsidRPr="0082254E" w:rsidRDefault="00981B9F" w:rsidP="00981494">
            <w:pPr>
              <w:pStyle w:val="Bulletleft1"/>
              <w:spacing w:line="240" w:lineRule="auto"/>
            </w:pPr>
            <w:r w:rsidRPr="0082254E">
              <w:t>Are the recommendations sound and a suitable basis for guidance to the NHS?</w:t>
            </w:r>
          </w:p>
          <w:p w14:paraId="2B45F3BB" w14:textId="77777777" w:rsidR="00981B9F" w:rsidRPr="0082254E" w:rsidRDefault="00981B9F" w:rsidP="00981494">
            <w:pPr>
              <w:pStyle w:val="Bulletleft1"/>
              <w:spacing w:line="240" w:lineRule="auto"/>
            </w:pPr>
            <w:r w:rsidRPr="0082254E">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72B8AAE5" w14:textId="77777777" w:rsidR="00981B9F" w:rsidRPr="0082254E" w:rsidRDefault="00BA5C93" w:rsidP="00981B9F">
      <w:pPr>
        <w:pStyle w:val="NICEnormal"/>
      </w:pPr>
      <w:r w:rsidRPr="008225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rsidRPr="0082254E" w14:paraId="6FED56D7" w14:textId="77777777" w:rsidTr="00E975D0">
        <w:tc>
          <w:tcPr>
            <w:tcW w:w="8529" w:type="dxa"/>
            <w:shd w:val="clear" w:color="auto" w:fill="auto"/>
          </w:tcPr>
          <w:p w14:paraId="318112CC" w14:textId="77777777" w:rsidR="00981B9F" w:rsidRPr="0082254E" w:rsidRDefault="00981B9F" w:rsidP="00E975D0">
            <w:pPr>
              <w:pStyle w:val="NICEnormalsinglespacing"/>
              <w:rPr>
                <w:b/>
                <w:bCs/>
              </w:rPr>
            </w:pPr>
            <w:r w:rsidRPr="0082254E">
              <w:rPr>
                <w:b/>
                <w:bCs/>
              </w:rPr>
              <w:lastRenderedPageBreak/>
              <w:t>Note that this document is not NICE's final guidance on this technology. The recommendations in section 1 may change after consultation.</w:t>
            </w:r>
          </w:p>
          <w:p w14:paraId="3FBADC79" w14:textId="77777777" w:rsidR="00981B9F" w:rsidRPr="0082254E" w:rsidRDefault="00981B9F" w:rsidP="00981494">
            <w:pPr>
              <w:pStyle w:val="NICEnormalsinglespacing"/>
            </w:pPr>
            <w:r w:rsidRPr="0082254E">
              <w:t>After consultation:</w:t>
            </w:r>
          </w:p>
          <w:p w14:paraId="7EA8E8EB" w14:textId="77777777" w:rsidR="00981B9F" w:rsidRPr="0082254E" w:rsidRDefault="00981B9F" w:rsidP="00981494">
            <w:pPr>
              <w:pStyle w:val="Bulletleft1"/>
              <w:spacing w:line="240" w:lineRule="auto"/>
            </w:pPr>
            <w:r w:rsidRPr="0082254E">
              <w:t xml:space="preserve">The </w:t>
            </w:r>
            <w:r w:rsidR="006E210A" w:rsidRPr="0082254E">
              <w:t>a</w:t>
            </w:r>
            <w:r w:rsidRPr="0082254E">
              <w:t xml:space="preserve">ppraisal </w:t>
            </w:r>
            <w:r w:rsidR="006E210A" w:rsidRPr="0082254E">
              <w:t>c</w:t>
            </w:r>
            <w:r w:rsidRPr="0082254E">
              <w:t>ommittee will meet again to consider the evidence, this appraisal consultation document and comments from the consultees.</w:t>
            </w:r>
          </w:p>
          <w:p w14:paraId="30FC6CD8" w14:textId="77777777" w:rsidR="00981B9F" w:rsidRPr="0082254E" w:rsidRDefault="00981B9F" w:rsidP="00981494">
            <w:pPr>
              <w:pStyle w:val="Bulletleft1"/>
              <w:spacing w:line="240" w:lineRule="auto"/>
            </w:pPr>
            <w:r w:rsidRPr="0082254E">
              <w:t xml:space="preserve">At that meeting, the </w:t>
            </w:r>
            <w:r w:rsidR="006E210A" w:rsidRPr="0082254E">
              <w:t>c</w:t>
            </w:r>
            <w:r w:rsidRPr="0082254E">
              <w:t>ommittee will also consider comments made by people who are not consultees.</w:t>
            </w:r>
          </w:p>
          <w:p w14:paraId="5EE85C7B" w14:textId="77777777" w:rsidR="00981B9F" w:rsidRPr="0082254E" w:rsidRDefault="00981B9F" w:rsidP="00981494">
            <w:pPr>
              <w:pStyle w:val="Bulletleft1"/>
              <w:spacing w:line="240" w:lineRule="auto"/>
            </w:pPr>
            <w:r w:rsidRPr="0082254E">
              <w:t xml:space="preserve">After considering these comments, the </w:t>
            </w:r>
            <w:r w:rsidR="006E210A" w:rsidRPr="0082254E">
              <w:t>c</w:t>
            </w:r>
            <w:r w:rsidRPr="0082254E">
              <w:t>ommittee will prepare the final appraisal d</w:t>
            </w:r>
            <w:r w:rsidR="00AF6138" w:rsidRPr="0082254E">
              <w:t>ocument</w:t>
            </w:r>
            <w:r w:rsidRPr="0082254E">
              <w:t>.</w:t>
            </w:r>
          </w:p>
          <w:p w14:paraId="1330B580" w14:textId="77777777" w:rsidR="00981B9F" w:rsidRPr="0082254E" w:rsidRDefault="00981B9F" w:rsidP="00981494">
            <w:pPr>
              <w:pStyle w:val="Bulletleft1last"/>
              <w:spacing w:line="240" w:lineRule="auto"/>
            </w:pPr>
            <w:r w:rsidRPr="0082254E">
              <w:t xml:space="preserve">Subject to any appeal by consultees, the </w:t>
            </w:r>
            <w:r w:rsidR="00905AAC" w:rsidRPr="0082254E">
              <w:t>final appraisal d</w:t>
            </w:r>
            <w:r w:rsidR="00AF6138" w:rsidRPr="0082254E">
              <w:t>ocument</w:t>
            </w:r>
            <w:r w:rsidRPr="0082254E">
              <w:t xml:space="preserve"> may be used as the basis for NICE’s guidance on using </w:t>
            </w:r>
            <w:r w:rsidR="00E475BD" w:rsidRPr="0082254E">
              <w:t>sodium zirconium cyclosilicate</w:t>
            </w:r>
            <w:r w:rsidRPr="0082254E">
              <w:t xml:space="preserve"> in the NHS in England. </w:t>
            </w:r>
          </w:p>
          <w:p w14:paraId="4EAFA8AB" w14:textId="483B135B" w:rsidR="00981B9F" w:rsidRPr="0082254E" w:rsidRDefault="004C10EF" w:rsidP="00981494">
            <w:pPr>
              <w:pStyle w:val="NICEnormalsinglespacing"/>
            </w:pPr>
            <w:r w:rsidRPr="0082254E">
              <w:t xml:space="preserve">For further details, see NICE’s </w:t>
            </w:r>
            <w:hyperlink r:id="rId9" w:history="1">
              <w:r w:rsidRPr="0082254E">
                <w:rPr>
                  <w:rStyle w:val="Hyperlink"/>
                </w:rPr>
                <w:t>guide to the processes of technology appraisal</w:t>
              </w:r>
            </w:hyperlink>
            <w:r w:rsidR="00416CEF" w:rsidRPr="0082254E">
              <w:t>.</w:t>
            </w:r>
          </w:p>
          <w:p w14:paraId="43E698AA" w14:textId="77777777" w:rsidR="00981B9F" w:rsidRPr="0082254E" w:rsidRDefault="00981B9F" w:rsidP="00981494">
            <w:pPr>
              <w:pStyle w:val="NICEnormalsinglespacing"/>
              <w:rPr>
                <w:b/>
                <w:bCs/>
              </w:rPr>
            </w:pPr>
            <w:r w:rsidRPr="0082254E">
              <w:rPr>
                <w:b/>
                <w:bCs/>
              </w:rPr>
              <w:t>The key dates for this appraisal are:</w:t>
            </w:r>
          </w:p>
          <w:p w14:paraId="007B84DC" w14:textId="37B309DB" w:rsidR="00981B9F" w:rsidRPr="0082254E" w:rsidRDefault="00981B9F" w:rsidP="00981494">
            <w:pPr>
              <w:pStyle w:val="NICEnormalsinglespacing"/>
            </w:pPr>
            <w:r w:rsidRPr="0082254E">
              <w:t xml:space="preserve">Closing date for comments: </w:t>
            </w:r>
            <w:r w:rsidR="00F72858">
              <w:t>20</w:t>
            </w:r>
            <w:bookmarkStart w:id="0" w:name="_GoBack"/>
            <w:bookmarkEnd w:id="0"/>
            <w:r w:rsidR="000D292F" w:rsidRPr="000D292F">
              <w:rPr>
                <w:vertAlign w:val="superscript"/>
              </w:rPr>
              <w:t>th</w:t>
            </w:r>
            <w:r w:rsidR="000D292F">
              <w:t xml:space="preserve"> May 2019</w:t>
            </w:r>
          </w:p>
          <w:p w14:paraId="1DA489E5" w14:textId="2F6579B0" w:rsidR="00981B9F" w:rsidRPr="0082254E" w:rsidRDefault="00F31988" w:rsidP="005C50E7">
            <w:pPr>
              <w:pStyle w:val="NICEnormalsinglespacing"/>
            </w:pPr>
            <w:r w:rsidRPr="0082254E">
              <w:t>Third</w:t>
            </w:r>
            <w:r w:rsidR="00981B9F" w:rsidRPr="0082254E">
              <w:t xml:space="preserve"> </w:t>
            </w:r>
            <w:r w:rsidR="006E210A" w:rsidRPr="0082254E">
              <w:t>a</w:t>
            </w:r>
            <w:r w:rsidR="00981B9F" w:rsidRPr="0082254E">
              <w:t xml:space="preserve">ppraisal </w:t>
            </w:r>
            <w:r w:rsidR="006E210A" w:rsidRPr="0082254E">
              <w:t>c</w:t>
            </w:r>
            <w:r w:rsidR="00981B9F" w:rsidRPr="0082254E">
              <w:t xml:space="preserve">ommittee meeting: </w:t>
            </w:r>
            <w:r w:rsidR="00274FE5">
              <w:t>30</w:t>
            </w:r>
            <w:r w:rsidR="00274FE5" w:rsidRPr="000D292F">
              <w:rPr>
                <w:vertAlign w:val="superscript"/>
              </w:rPr>
              <w:t>th</w:t>
            </w:r>
            <w:r w:rsidR="00274FE5">
              <w:t xml:space="preserve"> May 2019</w:t>
            </w:r>
          </w:p>
          <w:p w14:paraId="4C4AE2D8" w14:textId="0904E03F" w:rsidR="00981B9F" w:rsidRPr="0082254E" w:rsidRDefault="00F2029D" w:rsidP="00BF3BDA">
            <w:pPr>
              <w:pStyle w:val="NICEnormalsinglespacing"/>
            </w:pPr>
            <w:r w:rsidRPr="0082254E">
              <w:t xml:space="preserve">Details of membership of the </w:t>
            </w:r>
            <w:r w:rsidR="00930E69" w:rsidRPr="0082254E">
              <w:t>a</w:t>
            </w:r>
            <w:r w:rsidRPr="0082254E">
              <w:t xml:space="preserve">ppraisal </w:t>
            </w:r>
            <w:r w:rsidR="00930E69" w:rsidRPr="0082254E">
              <w:t>c</w:t>
            </w:r>
            <w:r w:rsidRPr="0082254E">
              <w:t xml:space="preserve">ommittee are given in section </w:t>
            </w:r>
            <w:r w:rsidR="00B5294B">
              <w:t>6</w:t>
            </w:r>
            <w:r w:rsidRPr="0082254E">
              <w:t>.</w:t>
            </w:r>
          </w:p>
        </w:tc>
      </w:tr>
    </w:tbl>
    <w:p w14:paraId="7F295A81" w14:textId="77777777" w:rsidR="00BA5C93" w:rsidRPr="0082254E" w:rsidRDefault="00BA5C93" w:rsidP="00981B9F">
      <w:pPr>
        <w:pStyle w:val="NICEnormal"/>
      </w:pPr>
    </w:p>
    <w:p w14:paraId="70821659" w14:textId="77777777" w:rsidR="007D7F83" w:rsidRPr="0082254E" w:rsidRDefault="00BA5C93" w:rsidP="001A656A">
      <w:pPr>
        <w:pStyle w:val="Numberedheading1"/>
        <w:rPr>
          <w:lang w:val="en-GB"/>
        </w:rPr>
      </w:pPr>
      <w:r w:rsidRPr="0082254E">
        <w:rPr>
          <w:lang w:val="en-GB"/>
        </w:rPr>
        <w:br w:type="page"/>
      </w:r>
      <w:r w:rsidR="000A1888" w:rsidRPr="0082254E">
        <w:rPr>
          <w:lang w:val="en-GB"/>
        </w:rPr>
        <w:lastRenderedPageBreak/>
        <w:t>R</w:t>
      </w:r>
      <w:r w:rsidR="007D7F83" w:rsidRPr="0082254E">
        <w:rPr>
          <w:lang w:val="en-GB"/>
        </w:rPr>
        <w:t>ecommendations</w:t>
      </w:r>
    </w:p>
    <w:p w14:paraId="5855F3BE" w14:textId="77777777" w:rsidR="004230D1" w:rsidRPr="0082254E" w:rsidRDefault="007F1DA0" w:rsidP="004230D1">
      <w:pPr>
        <w:pStyle w:val="Numberedlevel2text"/>
        <w:rPr>
          <w:rStyle w:val="Bulletindent1Char"/>
          <w:szCs w:val="28"/>
          <w:lang w:val="en-GB"/>
        </w:rPr>
      </w:pPr>
      <w:r w:rsidRPr="0082254E">
        <w:rPr>
          <w:lang w:val="en-GB"/>
        </w:rPr>
        <w:t>Sodium zirconium cyclosilicate is recommended as an option for treating hyperkalaemia in adults only if:</w:t>
      </w:r>
    </w:p>
    <w:p w14:paraId="3A676C21" w14:textId="3032D46F" w:rsidR="004230D1" w:rsidRPr="0082254E" w:rsidRDefault="005B40AE" w:rsidP="004230D1">
      <w:pPr>
        <w:pStyle w:val="Bulletindent1"/>
        <w:rPr>
          <w:lang w:val="en-GB"/>
        </w:rPr>
      </w:pPr>
      <w:r w:rsidRPr="005B40AE">
        <w:t xml:space="preserve">it needs treating in an emergency </w:t>
      </w:r>
      <w:r w:rsidR="00634006">
        <w:rPr>
          <w:lang w:val="en-US"/>
        </w:rPr>
        <w:t>care</w:t>
      </w:r>
      <w:r w:rsidR="00634006" w:rsidRPr="005B40AE">
        <w:t xml:space="preserve"> </w:t>
      </w:r>
      <w:r w:rsidRPr="005B40AE">
        <w:t>setting</w:t>
      </w:r>
    </w:p>
    <w:p w14:paraId="763F62B4" w14:textId="15D3E0C0" w:rsidR="007F1DA0" w:rsidRPr="0082254E" w:rsidRDefault="00FE66DB" w:rsidP="004230D1">
      <w:pPr>
        <w:pStyle w:val="Bulletindent1last"/>
      </w:pPr>
      <w:r>
        <w:t>the drug</w:t>
      </w:r>
      <w:r w:rsidR="007F1DA0" w:rsidRPr="0082254E">
        <w:t xml:space="preserve"> is stopped after 28</w:t>
      </w:r>
      <w:r w:rsidR="00DB0E56" w:rsidRPr="0082254E">
        <w:t> </w:t>
      </w:r>
      <w:r w:rsidR="007F1DA0" w:rsidRPr="0082254E">
        <w:t>days of maintenance treatment</w:t>
      </w:r>
      <w:r>
        <w:t>,</w:t>
      </w:r>
      <w:r w:rsidR="007F1DA0" w:rsidRPr="0082254E">
        <w:t xml:space="preserve"> or earlier if the hyperkalaemia resolves.</w:t>
      </w:r>
    </w:p>
    <w:p w14:paraId="4C58DA0F" w14:textId="56567938" w:rsidR="00E67414" w:rsidRPr="0082254E" w:rsidRDefault="007677E4" w:rsidP="00E475BD">
      <w:pPr>
        <w:pStyle w:val="Numberedlevel2text"/>
        <w:numPr>
          <w:ilvl w:val="1"/>
          <w:numId w:val="1"/>
        </w:numPr>
        <w:rPr>
          <w:lang w:val="en-GB"/>
        </w:rPr>
      </w:pPr>
      <w:r w:rsidRPr="0082254E">
        <w:rPr>
          <w:lang w:val="en-GB"/>
        </w:rPr>
        <w:t>This</w:t>
      </w:r>
      <w:r w:rsidR="002B20B5" w:rsidRPr="0082254E">
        <w:rPr>
          <w:lang w:val="en-GB"/>
        </w:rPr>
        <w:t xml:space="preserve"> recommendation is</w:t>
      </w:r>
      <w:r w:rsidRPr="0082254E">
        <w:rPr>
          <w:lang w:val="en-GB"/>
        </w:rPr>
        <w:t xml:space="preserve"> not intended to affect treatment wi</w:t>
      </w:r>
      <w:r w:rsidR="00E475BD" w:rsidRPr="0082254E">
        <w:rPr>
          <w:lang w:val="en-GB"/>
        </w:rPr>
        <w:t xml:space="preserve">th sodium zirconium cyclosilicate </w:t>
      </w:r>
      <w:r w:rsidRPr="0082254E">
        <w:rPr>
          <w:lang w:val="en-GB"/>
        </w:rPr>
        <w:t>that was started in the NHS before this guidanc</w:t>
      </w:r>
      <w:r w:rsidR="00E475BD" w:rsidRPr="0082254E">
        <w:rPr>
          <w:lang w:val="en-GB"/>
        </w:rPr>
        <w:t>e was published. People</w:t>
      </w:r>
      <w:r w:rsidRPr="0082254E">
        <w:rPr>
          <w:lang w:val="en-GB"/>
        </w:rPr>
        <w:t xml:space="preserve"> hav</w:t>
      </w:r>
      <w:r w:rsidR="00E475BD" w:rsidRPr="0082254E">
        <w:rPr>
          <w:lang w:val="en-GB"/>
        </w:rPr>
        <w:t>ing treatment outside this</w:t>
      </w:r>
      <w:r w:rsidRPr="0082254E">
        <w:rPr>
          <w:lang w:val="en-GB"/>
        </w:rPr>
        <w:t xml:space="preserve"> recommendation may continue without change to the funding arrangements in place for them before this guidance was published, until they and their NHS clinician consider it appropriate to stop.</w:t>
      </w:r>
    </w:p>
    <w:p w14:paraId="5CE5743A" w14:textId="77777777" w:rsidR="00AD5B3A" w:rsidRPr="0082254E" w:rsidRDefault="00AD5B3A" w:rsidP="0023030F">
      <w:pPr>
        <w:pStyle w:val="NICEnormal"/>
        <w:rPr>
          <w:b/>
        </w:rPr>
      </w:pPr>
      <w:bookmarkStart w:id="1" w:name="_Hlk5282992"/>
      <w:r w:rsidRPr="0082254E">
        <w:rPr>
          <w:b/>
        </w:rPr>
        <w:t>Why the committee made these recommendations</w:t>
      </w:r>
    </w:p>
    <w:p w14:paraId="4A420783" w14:textId="2B5EC460" w:rsidR="00052826" w:rsidRPr="0082254E" w:rsidRDefault="00094659" w:rsidP="007307F9">
      <w:pPr>
        <w:pStyle w:val="NICEnormal"/>
      </w:pPr>
      <w:r w:rsidRPr="0082254E">
        <w:t>S</w:t>
      </w:r>
      <w:r w:rsidR="000917C7" w:rsidRPr="0082254E">
        <w:t>odium zirconium cyclosilicate</w:t>
      </w:r>
      <w:r w:rsidR="00542214" w:rsidRPr="0082254E">
        <w:t xml:space="preserve"> </w:t>
      </w:r>
      <w:r w:rsidRPr="0082254E">
        <w:t>is a treatment option for</w:t>
      </w:r>
      <w:r w:rsidR="000917C7" w:rsidRPr="0082254E">
        <w:t xml:space="preserve"> people </w:t>
      </w:r>
      <w:r w:rsidR="00797053" w:rsidRPr="0082254E">
        <w:t xml:space="preserve">with </w:t>
      </w:r>
      <w:r w:rsidR="00C803B5" w:rsidRPr="0082254E">
        <w:t xml:space="preserve">high blood </w:t>
      </w:r>
      <w:r w:rsidR="00EA0F3C" w:rsidRPr="0082254E">
        <w:t xml:space="preserve">serum </w:t>
      </w:r>
      <w:r w:rsidR="00C803B5" w:rsidRPr="0082254E">
        <w:t>potassium</w:t>
      </w:r>
      <w:r w:rsidR="000B338F" w:rsidRPr="0082254E">
        <w:t xml:space="preserve"> </w:t>
      </w:r>
      <w:r w:rsidR="00A85A3C" w:rsidRPr="0082254E">
        <w:t xml:space="preserve">levels </w:t>
      </w:r>
      <w:r w:rsidR="000B338F" w:rsidRPr="0082254E">
        <w:t>(</w:t>
      </w:r>
      <w:r w:rsidR="00390681" w:rsidRPr="0082254E">
        <w:t>hyperkalaemia</w:t>
      </w:r>
      <w:r w:rsidR="000B338F" w:rsidRPr="0082254E">
        <w:t>)</w:t>
      </w:r>
      <w:r w:rsidR="000917C7" w:rsidRPr="0082254E">
        <w:t>.</w:t>
      </w:r>
      <w:r w:rsidR="00052826" w:rsidRPr="0082254E">
        <w:t xml:space="preserve"> The company proposes that </w:t>
      </w:r>
      <w:r w:rsidR="00614361" w:rsidRPr="0082254E">
        <w:t>it</w:t>
      </w:r>
      <w:r w:rsidR="00052826" w:rsidRPr="0082254E">
        <w:t xml:space="preserve"> would benefit people with </w:t>
      </w:r>
      <w:r w:rsidR="00614361" w:rsidRPr="0082254E">
        <w:t xml:space="preserve">heart failure or </w:t>
      </w:r>
      <w:r w:rsidR="00052826" w:rsidRPr="0082254E">
        <w:t>stage</w:t>
      </w:r>
      <w:r w:rsidR="00614361" w:rsidRPr="0082254E">
        <w:t>s</w:t>
      </w:r>
      <w:r w:rsidR="00052826" w:rsidRPr="0082254E">
        <w:t xml:space="preserve"> 3 </w:t>
      </w:r>
      <w:r w:rsidR="00614361" w:rsidRPr="0082254E">
        <w:t>to</w:t>
      </w:r>
      <w:r w:rsidR="00052826" w:rsidRPr="0082254E">
        <w:t> 5 chronic kidney disease who have high levels of serum potassium</w:t>
      </w:r>
      <w:r w:rsidR="00DB0E56" w:rsidRPr="0082254E">
        <w:t xml:space="preserve">. </w:t>
      </w:r>
      <w:r w:rsidR="007E6125">
        <w:t>The company</w:t>
      </w:r>
      <w:r w:rsidR="007E6125" w:rsidRPr="0082254E">
        <w:t xml:space="preserve"> </w:t>
      </w:r>
      <w:r w:rsidR="00DB0E56" w:rsidRPr="0082254E">
        <w:t>also proposes</w:t>
      </w:r>
      <w:r w:rsidR="009B4C6A" w:rsidRPr="0082254E">
        <w:t xml:space="preserve"> that people may </w:t>
      </w:r>
      <w:r w:rsidR="00352A2A">
        <w:t>have</w:t>
      </w:r>
      <w:r w:rsidR="00352A2A" w:rsidRPr="0082254E">
        <w:t xml:space="preserve"> </w:t>
      </w:r>
      <w:r w:rsidR="00950FA0" w:rsidRPr="0082254E">
        <w:t>treat</w:t>
      </w:r>
      <w:r w:rsidR="00950FA0">
        <w:t>ment</w:t>
      </w:r>
      <w:r w:rsidR="00950FA0" w:rsidRPr="0082254E">
        <w:t xml:space="preserve"> </w:t>
      </w:r>
      <w:r w:rsidR="00747945">
        <w:t>with</w:t>
      </w:r>
      <w:r w:rsidR="002139E7" w:rsidRPr="002139E7">
        <w:t xml:space="preserve"> </w:t>
      </w:r>
      <w:r w:rsidR="002139E7" w:rsidRPr="0082254E">
        <w:t>sodium zirconium cyclosilicate</w:t>
      </w:r>
      <w:r w:rsidR="00747945">
        <w:t xml:space="preserve"> </w:t>
      </w:r>
      <w:r w:rsidR="009B4C6A" w:rsidRPr="0082254E">
        <w:t xml:space="preserve">either </w:t>
      </w:r>
      <w:r w:rsidR="00DB0E56" w:rsidRPr="0082254E">
        <w:t xml:space="preserve">in </w:t>
      </w:r>
      <w:r w:rsidR="00471EDA">
        <w:t>an emergency care or</w:t>
      </w:r>
      <w:r w:rsidR="007F1DA0" w:rsidRPr="0082254E">
        <w:t xml:space="preserve"> </w:t>
      </w:r>
      <w:r w:rsidR="009B4C6A" w:rsidRPr="0082254E">
        <w:t>outpatient setting</w:t>
      </w:r>
      <w:r w:rsidR="00DB0E56" w:rsidRPr="0082254E">
        <w:t>.</w:t>
      </w:r>
    </w:p>
    <w:p w14:paraId="44F7D07E" w14:textId="573BAD9D" w:rsidR="00C029D3" w:rsidRPr="0082254E" w:rsidRDefault="00452CB4" w:rsidP="007307F9">
      <w:pPr>
        <w:pStyle w:val="NICEnormal"/>
      </w:pPr>
      <w:r>
        <w:t>There are c</w:t>
      </w:r>
      <w:r w:rsidR="00F31A53" w:rsidRPr="0082254E">
        <w:t xml:space="preserve">linical </w:t>
      </w:r>
      <w:r w:rsidR="00A056B2">
        <w:t>trials</w:t>
      </w:r>
      <w:r w:rsidR="00A056B2" w:rsidRPr="0082254E">
        <w:t xml:space="preserve"> </w:t>
      </w:r>
      <w:r w:rsidR="00F31A53" w:rsidRPr="0082254E">
        <w:t>show</w:t>
      </w:r>
      <w:r>
        <w:t>ing</w:t>
      </w:r>
      <w:r w:rsidR="00F31A53" w:rsidRPr="0082254E">
        <w:t xml:space="preserve"> that sodium zirconium cyclosilicate is effective in lowering serum potassium levels</w:t>
      </w:r>
      <w:r w:rsidR="00AF00AB" w:rsidRPr="0082254E">
        <w:t xml:space="preserve"> and can resolve hyperkalaemia</w:t>
      </w:r>
      <w:r>
        <w:t xml:space="preserve"> in the outpatient setting</w:t>
      </w:r>
      <w:r w:rsidR="00AF00AB" w:rsidRPr="0082254E">
        <w:t>.</w:t>
      </w:r>
      <w:r w:rsidR="000917C7" w:rsidRPr="0082254E">
        <w:t xml:space="preserve"> </w:t>
      </w:r>
      <w:r w:rsidR="00A056B2">
        <w:t>However, the</w:t>
      </w:r>
      <w:r w:rsidR="00423787">
        <w:t xml:space="preserve"> trials</w:t>
      </w:r>
      <w:r w:rsidR="00A056B2">
        <w:t xml:space="preserve"> </w:t>
      </w:r>
      <w:r>
        <w:t>mostly</w:t>
      </w:r>
      <w:r w:rsidR="00A056B2">
        <w:t xml:space="preserve"> include</w:t>
      </w:r>
      <w:r w:rsidR="000917C7" w:rsidRPr="0082254E">
        <w:t xml:space="preserve"> people </w:t>
      </w:r>
      <w:r w:rsidR="0098027E" w:rsidRPr="0082254E">
        <w:t>with</w:t>
      </w:r>
      <w:r w:rsidR="00C15290" w:rsidRPr="0082254E">
        <w:t xml:space="preserve"> </w:t>
      </w:r>
      <w:r w:rsidR="00C10D91" w:rsidRPr="0082254E">
        <w:t>serum potassium</w:t>
      </w:r>
      <w:r w:rsidR="0009726A">
        <w:t xml:space="preserve"> levels</w:t>
      </w:r>
      <w:r w:rsidR="00C10D91" w:rsidRPr="0082254E">
        <w:t xml:space="preserve"> </w:t>
      </w:r>
      <w:r w:rsidR="0098027E" w:rsidRPr="0082254E">
        <w:t>that would not be treated</w:t>
      </w:r>
      <w:r w:rsidR="002C0183" w:rsidRPr="0082254E">
        <w:t xml:space="preserve"> </w:t>
      </w:r>
      <w:r w:rsidR="00C15290" w:rsidRPr="0082254E">
        <w:t xml:space="preserve">in the </w:t>
      </w:r>
      <w:r w:rsidR="00C10D91" w:rsidRPr="0082254E">
        <w:t>NHS</w:t>
      </w:r>
      <w:r w:rsidR="000917C7" w:rsidRPr="0082254E">
        <w:t xml:space="preserve">. </w:t>
      </w:r>
      <w:r>
        <w:t>T</w:t>
      </w:r>
      <w:r w:rsidR="00D40C63" w:rsidRPr="0082254E">
        <w:t>here is no</w:t>
      </w:r>
      <w:r w:rsidR="00162F8C" w:rsidRPr="0082254E">
        <w:t xml:space="preserve"> clinical</w:t>
      </w:r>
      <w:r w:rsidR="008E3C92" w:rsidRPr="0082254E">
        <w:t xml:space="preserve"> evidence </w:t>
      </w:r>
      <w:r w:rsidR="00D40C63" w:rsidRPr="0082254E">
        <w:t xml:space="preserve">to show </w:t>
      </w:r>
      <w:r w:rsidR="008E3C92" w:rsidRPr="0082254E">
        <w:t>that</w:t>
      </w:r>
      <w:r w:rsidR="001E6AFB" w:rsidRPr="0082254E">
        <w:t xml:space="preserve"> sodium zirconium</w:t>
      </w:r>
      <w:r w:rsidR="00C803B5" w:rsidRPr="0082254E">
        <w:t xml:space="preserve"> cyclosilicate</w:t>
      </w:r>
      <w:r w:rsidR="00094659" w:rsidRPr="0082254E">
        <w:t xml:space="preserve"> </w:t>
      </w:r>
      <w:r w:rsidR="00C803B5" w:rsidRPr="0082254E">
        <w:t>extend</w:t>
      </w:r>
      <w:r w:rsidR="00094659" w:rsidRPr="0082254E">
        <w:t>s</w:t>
      </w:r>
      <w:r w:rsidR="00C803B5" w:rsidRPr="0082254E">
        <w:t xml:space="preserve"> </w:t>
      </w:r>
      <w:r w:rsidR="008E3C92" w:rsidRPr="0082254E">
        <w:t xml:space="preserve">life </w:t>
      </w:r>
      <w:r w:rsidR="001E6AFB" w:rsidRPr="0082254E">
        <w:t>or improv</w:t>
      </w:r>
      <w:r w:rsidR="00094659" w:rsidRPr="0082254E">
        <w:t>es</w:t>
      </w:r>
      <w:r w:rsidR="001E6AFB" w:rsidRPr="0082254E">
        <w:t xml:space="preserve"> quality of life compared with standard care in people </w:t>
      </w:r>
      <w:r w:rsidR="00780EEE">
        <w:t xml:space="preserve">having treatment </w:t>
      </w:r>
      <w:r w:rsidR="001E6AFB" w:rsidRPr="0082254E">
        <w:t xml:space="preserve">in </w:t>
      </w:r>
      <w:r w:rsidR="00094659" w:rsidRPr="0082254E">
        <w:t>the</w:t>
      </w:r>
      <w:r w:rsidR="00162F8C" w:rsidRPr="0082254E">
        <w:t xml:space="preserve"> </w:t>
      </w:r>
      <w:r w:rsidR="00471EDA">
        <w:t xml:space="preserve">NHS </w:t>
      </w:r>
      <w:r w:rsidR="00162F8C" w:rsidRPr="0082254E">
        <w:t>outpatient setting</w:t>
      </w:r>
      <w:r w:rsidR="001E6AFB" w:rsidRPr="0082254E">
        <w:t>.</w:t>
      </w:r>
    </w:p>
    <w:p w14:paraId="40AAF61F" w14:textId="5D7E4B99" w:rsidR="00243AA7" w:rsidRDefault="00FF6508" w:rsidP="00243AA7">
      <w:pPr>
        <w:pStyle w:val="NICEnormal"/>
      </w:pPr>
      <w:r w:rsidRPr="0082254E">
        <w:t xml:space="preserve">Because of the limitations </w:t>
      </w:r>
      <w:r w:rsidR="00471EDA">
        <w:t>in</w:t>
      </w:r>
      <w:r w:rsidR="00471EDA" w:rsidRPr="0082254E">
        <w:t xml:space="preserve"> </w:t>
      </w:r>
      <w:r w:rsidRPr="0082254E">
        <w:t>the clinical evidence</w:t>
      </w:r>
      <w:r w:rsidR="00D42D2B" w:rsidRPr="0082254E">
        <w:t>,</w:t>
      </w:r>
      <w:r w:rsidRPr="0082254E">
        <w:t xml:space="preserve"> the cost-effectiveness estimates for sodium zirconium cyclosilicate in the outpatient setting are highly uncertain and likely to be above </w:t>
      </w:r>
      <w:r w:rsidR="00ED1F33">
        <w:t>what NICE normally considers</w:t>
      </w:r>
      <w:r w:rsidRPr="0082254E">
        <w:t xml:space="preserve"> a cost</w:t>
      </w:r>
      <w:r w:rsidR="00D42D2B" w:rsidRPr="0082254E">
        <w:t>-</w:t>
      </w:r>
      <w:r w:rsidRPr="0082254E">
        <w:t xml:space="preserve">effective use of NHS </w:t>
      </w:r>
      <w:r w:rsidRPr="0082254E">
        <w:lastRenderedPageBreak/>
        <w:t xml:space="preserve">resources. Therefore, sodium zirconium cyclosilicate is not recommended </w:t>
      </w:r>
      <w:r w:rsidR="00780EEE" w:rsidRPr="0082254E">
        <w:t xml:space="preserve">in the outpatient setting </w:t>
      </w:r>
      <w:r w:rsidRPr="0082254E">
        <w:t>for people with hyperkalaemia.</w:t>
      </w:r>
    </w:p>
    <w:p w14:paraId="50160C73" w14:textId="4E36C295" w:rsidR="001F2454" w:rsidRDefault="007E6125" w:rsidP="00243AA7">
      <w:pPr>
        <w:pStyle w:val="NICEnormal"/>
      </w:pPr>
      <w:r>
        <w:t>T</w:t>
      </w:r>
      <w:r w:rsidRPr="006D216D">
        <w:t xml:space="preserve">reating acute life-threatening hyperkalaemia in </w:t>
      </w:r>
      <w:r>
        <w:t xml:space="preserve">the emergency </w:t>
      </w:r>
      <w:r w:rsidR="00634006">
        <w:t>care</w:t>
      </w:r>
      <w:r w:rsidR="00634006" w:rsidRPr="006D216D">
        <w:t xml:space="preserve"> </w:t>
      </w:r>
      <w:r>
        <w:t xml:space="preserve">setting </w:t>
      </w:r>
      <w:r w:rsidRPr="006D216D">
        <w:t>is established clinical practice</w:t>
      </w:r>
      <w:r>
        <w:t xml:space="preserve">. The company </w:t>
      </w:r>
      <w:r w:rsidR="000D4AF5">
        <w:t xml:space="preserve">has </w:t>
      </w:r>
      <w:r>
        <w:t>not present</w:t>
      </w:r>
      <w:r w:rsidR="000D4AF5">
        <w:t>ed</w:t>
      </w:r>
      <w:r>
        <w:t xml:space="preserve"> clinical evidence </w:t>
      </w:r>
      <w:r w:rsidR="00576101">
        <w:t xml:space="preserve">for </w:t>
      </w:r>
      <w:r w:rsidR="005D70C6">
        <w:t xml:space="preserve">hyperkalaemia </w:t>
      </w:r>
      <w:r w:rsidR="00576101">
        <w:t>treated in the emergency care setting</w:t>
      </w:r>
      <w:r w:rsidR="00634006">
        <w:t>. H</w:t>
      </w:r>
      <w:r w:rsidR="00576101">
        <w:t>owever</w:t>
      </w:r>
      <w:r w:rsidR="00634006">
        <w:t>,</w:t>
      </w:r>
      <w:r w:rsidR="00576101">
        <w:t xml:space="preserve"> evidence from people with high potassium levels </w:t>
      </w:r>
      <w:r w:rsidR="005D70C6">
        <w:t xml:space="preserve">having treatment </w:t>
      </w:r>
      <w:r w:rsidR="00576101">
        <w:t>in the outpatient setting is</w:t>
      </w:r>
      <w:r w:rsidR="00FC2664">
        <w:t xml:space="preserve"> sufficient to </w:t>
      </w:r>
      <w:r w:rsidR="00634006">
        <w:t xml:space="preserve">show </w:t>
      </w:r>
      <w:r w:rsidR="00FC2664">
        <w:t>that sodium zirconium cyclosilicate could be a useful intervention in the emergency</w:t>
      </w:r>
      <w:r w:rsidR="0084487F">
        <w:t xml:space="preserve"> </w:t>
      </w:r>
      <w:r w:rsidR="00FC2664">
        <w:t>care setting. O</w:t>
      </w:r>
      <w:r w:rsidR="00780EEE">
        <w:t>ther</w:t>
      </w:r>
      <w:r w:rsidR="00243AA7" w:rsidRPr="0082254E">
        <w:t xml:space="preserve"> potassium-lowering treatments </w:t>
      </w:r>
      <w:r w:rsidR="00780EEE" w:rsidRPr="0082254E">
        <w:t xml:space="preserve">are rarely used </w:t>
      </w:r>
      <w:r w:rsidR="00243AA7" w:rsidRPr="0082254E">
        <w:t xml:space="preserve">in this setting because they are poorly tolerated. </w:t>
      </w:r>
    </w:p>
    <w:p w14:paraId="1DDE9E06" w14:textId="4E769A9D" w:rsidR="00243AA7" w:rsidRPr="0082254E" w:rsidRDefault="00FC2664" w:rsidP="00243AA7">
      <w:pPr>
        <w:pStyle w:val="NICEnormal"/>
      </w:pPr>
      <w:r>
        <w:t>The c</w:t>
      </w:r>
      <w:r w:rsidRPr="0082254E">
        <w:t xml:space="preserve">ost-effectiveness estimates </w:t>
      </w:r>
      <w:r w:rsidR="00DA520D">
        <w:t>for sodium zirconium cyclosilicate in the emergency care setting</w:t>
      </w:r>
      <w:r w:rsidR="0016506D">
        <w:t xml:space="preserve"> show that it is</w:t>
      </w:r>
      <w:r w:rsidR="000B0961">
        <w:t xml:space="preserve"> a good use of NHS resources</w:t>
      </w:r>
      <w:r w:rsidRPr="0082254E">
        <w:t>.</w:t>
      </w:r>
      <w:r>
        <w:t xml:space="preserve"> </w:t>
      </w:r>
      <w:r w:rsidR="00243AA7" w:rsidRPr="0082254E">
        <w:t xml:space="preserve">Therefore, sodium zirconium cyclosilicate is recommended as an option </w:t>
      </w:r>
      <w:r w:rsidR="00401FC1">
        <w:t xml:space="preserve">for people with hyperkalaemia that needs treating </w:t>
      </w:r>
      <w:r w:rsidR="00243AA7" w:rsidRPr="0082254E">
        <w:t xml:space="preserve">in the </w:t>
      </w:r>
      <w:r w:rsidR="00243AA7">
        <w:t>emergency</w:t>
      </w:r>
      <w:r w:rsidR="00243AA7" w:rsidRPr="0082254E">
        <w:t xml:space="preserve"> </w:t>
      </w:r>
      <w:r w:rsidR="00634006">
        <w:t>care</w:t>
      </w:r>
      <w:r w:rsidR="00634006" w:rsidRPr="0082254E">
        <w:t xml:space="preserve"> </w:t>
      </w:r>
      <w:r w:rsidR="00243AA7" w:rsidRPr="0082254E">
        <w:t>setting.</w:t>
      </w:r>
    </w:p>
    <w:bookmarkEnd w:id="1"/>
    <w:p w14:paraId="0A41D02E" w14:textId="77777777" w:rsidR="007D7F83" w:rsidRPr="0082254E" w:rsidRDefault="00D37DC2" w:rsidP="001A656A">
      <w:pPr>
        <w:pStyle w:val="Numberedheading1"/>
        <w:rPr>
          <w:lang w:val="en-GB"/>
        </w:rPr>
      </w:pPr>
      <w:r w:rsidRPr="0082254E">
        <w:rPr>
          <w:lang w:val="en-GB"/>
        </w:rPr>
        <w:lastRenderedPageBreak/>
        <w:t xml:space="preserve">Information about </w:t>
      </w:r>
      <w:r w:rsidR="00FA2CE7" w:rsidRPr="0082254E">
        <w:rPr>
          <w:lang w:val="en-GB"/>
        </w:rPr>
        <w:t>sodium zirconium cyclosilicate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44"/>
      </w:tblGrid>
      <w:tr w:rsidR="00BC053C" w:rsidRPr="0082254E" w14:paraId="40E8F356" w14:textId="77777777" w:rsidTr="00FB6CBF">
        <w:tc>
          <w:tcPr>
            <w:tcW w:w="3085" w:type="dxa"/>
            <w:shd w:val="clear" w:color="auto" w:fill="auto"/>
          </w:tcPr>
          <w:p w14:paraId="19DC19F4" w14:textId="22CF34C9" w:rsidR="00BC053C" w:rsidRPr="0082254E" w:rsidRDefault="00FA2CE7" w:rsidP="00FA2CE7">
            <w:pPr>
              <w:pStyle w:val="Tabletext"/>
              <w:rPr>
                <w:b/>
                <w:bCs/>
              </w:rPr>
            </w:pPr>
            <w:r w:rsidRPr="0082254E">
              <w:rPr>
                <w:b/>
                <w:bCs/>
              </w:rPr>
              <w:t>Marketing authorisation</w:t>
            </w:r>
            <w:r w:rsidR="002D288F" w:rsidRPr="0082254E">
              <w:rPr>
                <w:b/>
                <w:bCs/>
              </w:rPr>
              <w:t xml:space="preserve"> indication</w:t>
            </w:r>
          </w:p>
        </w:tc>
        <w:tc>
          <w:tcPr>
            <w:tcW w:w="5444" w:type="dxa"/>
            <w:shd w:val="clear" w:color="auto" w:fill="auto"/>
          </w:tcPr>
          <w:p w14:paraId="2BDC63AF" w14:textId="40C3E158" w:rsidR="00B51F04" w:rsidRPr="0082254E" w:rsidRDefault="00FA2CE7" w:rsidP="000B338F">
            <w:pPr>
              <w:pStyle w:val="Tabletext"/>
            </w:pPr>
            <w:r w:rsidRPr="0082254E">
              <w:t>Sodium zirconium cyclosilicate (Lokelma, AstraZeneca</w:t>
            </w:r>
            <w:r w:rsidR="00C803B5" w:rsidRPr="0082254E">
              <w:t>)</w:t>
            </w:r>
            <w:r w:rsidRPr="0082254E">
              <w:t xml:space="preserve"> has a marketing authorisation </w:t>
            </w:r>
            <w:r w:rsidR="002F1D4E" w:rsidRPr="0082254E">
              <w:t>‘</w:t>
            </w:r>
            <w:r w:rsidRPr="0082254E">
              <w:t xml:space="preserve">for </w:t>
            </w:r>
            <w:r w:rsidR="002F1D4E" w:rsidRPr="0082254E">
              <w:t xml:space="preserve">the treatment of </w:t>
            </w:r>
            <w:r w:rsidRPr="0082254E">
              <w:t>hyperkalaemia in adult patients</w:t>
            </w:r>
            <w:r w:rsidR="000B338F" w:rsidRPr="0082254E">
              <w:t>’</w:t>
            </w:r>
            <w:r w:rsidR="00E42BFA" w:rsidRPr="0082254E">
              <w:t>.</w:t>
            </w:r>
          </w:p>
        </w:tc>
      </w:tr>
      <w:tr w:rsidR="00BC053C" w:rsidRPr="0082254E" w14:paraId="067C273B" w14:textId="77777777" w:rsidTr="00FB6CBF">
        <w:tc>
          <w:tcPr>
            <w:tcW w:w="3085" w:type="dxa"/>
            <w:shd w:val="clear" w:color="auto" w:fill="auto"/>
          </w:tcPr>
          <w:p w14:paraId="43CBFE03" w14:textId="77777777" w:rsidR="00BC053C" w:rsidRPr="0082254E" w:rsidRDefault="00D37DC2" w:rsidP="00FB6CBF">
            <w:pPr>
              <w:pStyle w:val="Tabletext"/>
              <w:rPr>
                <w:b/>
              </w:rPr>
            </w:pPr>
            <w:r w:rsidRPr="0082254E">
              <w:rPr>
                <w:b/>
              </w:rPr>
              <w:t>Dosage in the marketing authorisation</w:t>
            </w:r>
          </w:p>
        </w:tc>
        <w:tc>
          <w:tcPr>
            <w:tcW w:w="5444" w:type="dxa"/>
            <w:shd w:val="clear" w:color="auto" w:fill="auto"/>
          </w:tcPr>
          <w:p w14:paraId="03DC95C8" w14:textId="06D36CFA" w:rsidR="00FA2CE7" w:rsidRPr="0082254E" w:rsidRDefault="00FA2CE7" w:rsidP="00B51F04">
            <w:pPr>
              <w:pStyle w:val="Tabletext"/>
            </w:pPr>
            <w:r w:rsidRPr="0082254E">
              <w:t>Correction phase</w:t>
            </w:r>
            <w:r w:rsidR="00D40C63" w:rsidRPr="0082254E">
              <w:t>:</w:t>
            </w:r>
          </w:p>
          <w:p w14:paraId="406AC138" w14:textId="16783713" w:rsidR="00FA2CE7" w:rsidRPr="0082254E" w:rsidRDefault="00FA2CE7" w:rsidP="00B51F04">
            <w:pPr>
              <w:pStyle w:val="Tabletext"/>
            </w:pPr>
            <w:r w:rsidRPr="0082254E">
              <w:t>The recommended starting does of sodium zirconium cyclosilicate is 10</w:t>
            </w:r>
            <w:r w:rsidR="00D40C63" w:rsidRPr="0082254E">
              <w:t> </w:t>
            </w:r>
            <w:r w:rsidRPr="0082254E">
              <w:t>g, administered 3</w:t>
            </w:r>
            <w:r w:rsidR="00D40C63" w:rsidRPr="0082254E">
              <w:t> </w:t>
            </w:r>
            <w:r w:rsidRPr="0082254E">
              <w:t xml:space="preserve">times a day orally as a suspension in water. When normal </w:t>
            </w:r>
            <w:r w:rsidR="008E721D">
              <w:t xml:space="preserve">serum </w:t>
            </w:r>
            <w:r w:rsidRPr="0082254E">
              <w:t xml:space="preserve">potassium levels are met, the maintenance regimen should be followed. If normal </w:t>
            </w:r>
            <w:r w:rsidR="008E721D">
              <w:t xml:space="preserve">serum </w:t>
            </w:r>
            <w:r w:rsidRPr="0082254E">
              <w:t>potassium levels are not met within 72</w:t>
            </w:r>
            <w:r w:rsidR="00D40C63" w:rsidRPr="0082254E">
              <w:t> </w:t>
            </w:r>
            <w:r w:rsidRPr="0082254E">
              <w:t>hours of treatment, sodium zirconium cyclosilicate should be stopped</w:t>
            </w:r>
          </w:p>
          <w:p w14:paraId="7BC3F1F3" w14:textId="54EC0E38" w:rsidR="00FA2CE7" w:rsidRPr="0082254E" w:rsidRDefault="00FA2CE7" w:rsidP="00B51F04">
            <w:pPr>
              <w:pStyle w:val="Tabletext"/>
            </w:pPr>
            <w:r w:rsidRPr="0082254E">
              <w:t>Maintenance phase</w:t>
            </w:r>
            <w:r w:rsidR="00D40C63" w:rsidRPr="0082254E">
              <w:t>:</w:t>
            </w:r>
          </w:p>
          <w:p w14:paraId="7768B1DB" w14:textId="0A41632A" w:rsidR="00FA2CE7" w:rsidRPr="0082254E" w:rsidRDefault="00FA2CE7" w:rsidP="004F1B76">
            <w:pPr>
              <w:pStyle w:val="Tabletext"/>
            </w:pPr>
            <w:r w:rsidRPr="0082254E">
              <w:t xml:space="preserve">For people with normal </w:t>
            </w:r>
            <w:r w:rsidR="008E721D">
              <w:t xml:space="preserve">serum </w:t>
            </w:r>
            <w:r w:rsidRPr="0082254E">
              <w:t>potassium levels after the correction p</w:t>
            </w:r>
            <w:r w:rsidR="00792725" w:rsidRPr="0082254E">
              <w:t>hase</w:t>
            </w:r>
            <w:r w:rsidR="00D40C63" w:rsidRPr="0082254E">
              <w:t>,</w:t>
            </w:r>
            <w:r w:rsidR="00792725" w:rsidRPr="0082254E">
              <w:t xml:space="preserve"> the minimal effective dose of sodium zirconium cyclosilicate to prevent recurrence of hyperkalaemia should be established. A starting dose of 5</w:t>
            </w:r>
            <w:r w:rsidR="00D40C63" w:rsidRPr="0082254E">
              <w:t> </w:t>
            </w:r>
            <w:r w:rsidR="00792725" w:rsidRPr="0082254E">
              <w:t>g once daily is recommended</w:t>
            </w:r>
            <w:r w:rsidR="00D40C63" w:rsidRPr="0082254E">
              <w:t>,</w:t>
            </w:r>
            <w:r w:rsidR="00792725" w:rsidRPr="0082254E">
              <w:t xml:space="preserve"> with possible titration up to </w:t>
            </w:r>
            <w:r w:rsidR="00D40C63" w:rsidRPr="0082254E">
              <w:t xml:space="preserve">a maximum </w:t>
            </w:r>
            <w:r w:rsidR="00792725" w:rsidRPr="0082254E">
              <w:t>10</w:t>
            </w:r>
            <w:r w:rsidR="00D40C63" w:rsidRPr="0082254E">
              <w:t> </w:t>
            </w:r>
            <w:r w:rsidR="00792725" w:rsidRPr="0082254E">
              <w:t>g once daily or down to 5</w:t>
            </w:r>
            <w:r w:rsidR="00D40C63" w:rsidRPr="0082254E">
              <w:t> </w:t>
            </w:r>
            <w:r w:rsidR="00792725" w:rsidRPr="0082254E">
              <w:t xml:space="preserve">g once every other day as needed to maintain a normal </w:t>
            </w:r>
            <w:r w:rsidR="008E721D">
              <w:t xml:space="preserve">serum </w:t>
            </w:r>
            <w:r w:rsidR="00792725" w:rsidRPr="0082254E">
              <w:t>potassium level.</w:t>
            </w:r>
          </w:p>
        </w:tc>
      </w:tr>
      <w:tr w:rsidR="00BC053C" w:rsidRPr="0082254E" w14:paraId="4AE8F1AB" w14:textId="77777777" w:rsidTr="00FB6CBF">
        <w:tc>
          <w:tcPr>
            <w:tcW w:w="3085" w:type="dxa"/>
            <w:shd w:val="clear" w:color="auto" w:fill="auto"/>
          </w:tcPr>
          <w:p w14:paraId="63F9C1E5" w14:textId="77777777" w:rsidR="00BC053C" w:rsidRPr="0082254E" w:rsidRDefault="00BC053C" w:rsidP="00FB6CBF">
            <w:pPr>
              <w:pStyle w:val="Tabletext"/>
              <w:rPr>
                <w:b/>
              </w:rPr>
            </w:pPr>
            <w:r w:rsidRPr="0082254E">
              <w:rPr>
                <w:b/>
              </w:rPr>
              <w:t>Price</w:t>
            </w:r>
          </w:p>
        </w:tc>
        <w:tc>
          <w:tcPr>
            <w:tcW w:w="5444" w:type="dxa"/>
            <w:shd w:val="clear" w:color="auto" w:fill="auto"/>
          </w:tcPr>
          <w:p w14:paraId="620A9452" w14:textId="1D625B5C" w:rsidR="00000574" w:rsidRPr="0082254E" w:rsidRDefault="00792725" w:rsidP="002418F3">
            <w:pPr>
              <w:pStyle w:val="Tabletext"/>
            </w:pPr>
            <w:r w:rsidRPr="0082254E">
              <w:t>The</w:t>
            </w:r>
            <w:r w:rsidR="002418F3" w:rsidRPr="0082254E">
              <w:t xml:space="preserve"> list price of sodium zirconium cyclosilicate is £14.24 per 10</w:t>
            </w:r>
            <w:r w:rsidR="00093B2D" w:rsidRPr="0082254E">
              <w:t> </w:t>
            </w:r>
            <w:r w:rsidR="002418F3" w:rsidRPr="0082254E">
              <w:t>g sachet or £7.12 per 5</w:t>
            </w:r>
            <w:r w:rsidR="00093B2D" w:rsidRPr="0082254E">
              <w:t> </w:t>
            </w:r>
            <w:r w:rsidR="002418F3" w:rsidRPr="0082254E">
              <w:t>g sachet</w:t>
            </w:r>
            <w:r w:rsidR="000703B3">
              <w:t xml:space="preserve"> (DHSC eXchange, </w:t>
            </w:r>
            <w:hyperlink r:id="rId10" w:history="1">
              <w:r w:rsidR="000703B3" w:rsidRPr="000703B3">
                <w:rPr>
                  <w:rStyle w:val="Hyperlink"/>
                </w:rPr>
                <w:t>maximum list prices</w:t>
              </w:r>
            </w:hyperlink>
            <w:r w:rsidR="000703B3">
              <w:t>, accessed April 2019)</w:t>
            </w:r>
            <w:r w:rsidR="002418F3" w:rsidRPr="0082254E">
              <w:t>.</w:t>
            </w:r>
            <w:r w:rsidR="002F63A7" w:rsidRPr="0082254E">
              <w:t xml:space="preserve"> </w:t>
            </w:r>
            <w:r w:rsidR="002418F3" w:rsidRPr="0082254E">
              <w:t>Costs may vary in different settings because of negotiated procurement discounts.</w:t>
            </w:r>
          </w:p>
        </w:tc>
      </w:tr>
    </w:tbl>
    <w:p w14:paraId="658C0BD4" w14:textId="77777777" w:rsidR="00FD17B1" w:rsidRPr="0082254E" w:rsidRDefault="007D7F83" w:rsidP="002418F3">
      <w:pPr>
        <w:pStyle w:val="Numberedheading1"/>
        <w:numPr>
          <w:ilvl w:val="0"/>
          <w:numId w:val="1"/>
        </w:numPr>
        <w:rPr>
          <w:lang w:val="en-GB"/>
        </w:rPr>
      </w:pPr>
      <w:r w:rsidRPr="0082254E">
        <w:rPr>
          <w:lang w:val="en-GB"/>
        </w:rPr>
        <w:t>Co</w:t>
      </w:r>
      <w:r w:rsidR="00D30C4A" w:rsidRPr="0082254E">
        <w:rPr>
          <w:lang w:val="en-GB"/>
        </w:rPr>
        <w:t>mmittee discussion</w:t>
      </w:r>
    </w:p>
    <w:p w14:paraId="48AEB4A2" w14:textId="61578EF8" w:rsidR="006032BF" w:rsidRPr="0082254E" w:rsidRDefault="006032BF" w:rsidP="002418F3">
      <w:pPr>
        <w:pStyle w:val="NICEnormal"/>
      </w:pPr>
      <w:r w:rsidRPr="0082254E">
        <w:t>The appraisal committee (section</w:t>
      </w:r>
      <w:r w:rsidR="002F1D4E" w:rsidRPr="0082254E">
        <w:t> </w:t>
      </w:r>
      <w:r w:rsidR="00B5294B">
        <w:t>6</w:t>
      </w:r>
      <w:r w:rsidRPr="0082254E">
        <w:t xml:space="preserve">) considered evidence submitted by </w:t>
      </w:r>
      <w:r w:rsidR="00792725" w:rsidRPr="0082254E">
        <w:t>AstraZeneca</w:t>
      </w:r>
      <w:r w:rsidRPr="0082254E">
        <w:t xml:space="preserve"> and a review of this submission by the evidence review group (ERG). See the </w:t>
      </w:r>
      <w:hyperlink r:id="rId11" w:history="1">
        <w:r w:rsidRPr="0082254E">
          <w:rPr>
            <w:rStyle w:val="Hyperlink"/>
          </w:rPr>
          <w:t>committee papers</w:t>
        </w:r>
      </w:hyperlink>
      <w:r w:rsidRPr="0082254E">
        <w:t xml:space="preserve"> for full details of the evidence.</w:t>
      </w:r>
    </w:p>
    <w:p w14:paraId="715484EA" w14:textId="77777777" w:rsidR="007D4925" w:rsidRPr="0082254E" w:rsidRDefault="00792725" w:rsidP="0070286B">
      <w:pPr>
        <w:pStyle w:val="Heading2"/>
      </w:pPr>
      <w:r w:rsidRPr="0082254E">
        <w:t>Treatment of hyperkalaemia</w:t>
      </w:r>
    </w:p>
    <w:p w14:paraId="527BEB95" w14:textId="0ACFC406" w:rsidR="007D4925" w:rsidRPr="0082254E" w:rsidRDefault="004A31FA" w:rsidP="00654F74">
      <w:pPr>
        <w:pStyle w:val="Heading3"/>
      </w:pPr>
      <w:r w:rsidRPr="0082254E">
        <w:t xml:space="preserve">Patients in the NHS with serum potassium levels above the normal range </w:t>
      </w:r>
      <w:r w:rsidR="00400078" w:rsidRPr="0082254E">
        <w:t xml:space="preserve">do </w:t>
      </w:r>
      <w:r w:rsidRPr="0082254E">
        <w:t xml:space="preserve">not </w:t>
      </w:r>
      <w:r w:rsidR="005053E9" w:rsidRPr="0082254E">
        <w:t>always</w:t>
      </w:r>
      <w:r w:rsidRPr="0082254E">
        <w:t xml:space="preserve"> </w:t>
      </w:r>
      <w:r w:rsidR="007F1DA0" w:rsidRPr="0082254E">
        <w:t xml:space="preserve">need </w:t>
      </w:r>
      <w:r w:rsidR="00400078" w:rsidRPr="0082254E">
        <w:t>treatment</w:t>
      </w:r>
      <w:r w:rsidRPr="0082254E">
        <w:t xml:space="preserve"> to lower potassium</w:t>
      </w:r>
    </w:p>
    <w:p w14:paraId="3E98AEFC" w14:textId="1D40457C" w:rsidR="00E431CB" w:rsidRPr="0082254E" w:rsidRDefault="00136EEB" w:rsidP="00707BDD">
      <w:pPr>
        <w:pStyle w:val="Numberedlevel2text"/>
        <w:rPr>
          <w:lang w:val="en-GB"/>
        </w:rPr>
      </w:pPr>
      <w:bookmarkStart w:id="2" w:name="_Ref5617579"/>
      <w:r w:rsidRPr="0082254E">
        <w:rPr>
          <w:lang w:val="en-GB"/>
        </w:rPr>
        <w:t>Hyperkalaemia is a high level of potassium in the blood</w:t>
      </w:r>
      <w:r w:rsidR="007F1DA0" w:rsidRPr="0082254E">
        <w:rPr>
          <w:lang w:val="en-GB"/>
        </w:rPr>
        <w:t>. The company defined high serum potassium values</w:t>
      </w:r>
      <w:r w:rsidR="00A4796C" w:rsidRPr="0082254E">
        <w:rPr>
          <w:lang w:val="en-GB"/>
        </w:rPr>
        <w:t xml:space="preserve"> as</w:t>
      </w:r>
      <w:r w:rsidR="007F1DA0" w:rsidRPr="0082254E">
        <w:rPr>
          <w:lang w:val="en-GB"/>
        </w:rPr>
        <w:t xml:space="preserve"> </w:t>
      </w:r>
      <w:r w:rsidRPr="0082254E">
        <w:rPr>
          <w:lang w:val="en-GB"/>
        </w:rPr>
        <w:t xml:space="preserve">above 5.0 mmol/litre, and the European Resuscitation Council </w:t>
      </w:r>
      <w:r w:rsidR="007F1DA0" w:rsidRPr="0082254E">
        <w:rPr>
          <w:lang w:val="en-GB"/>
        </w:rPr>
        <w:t xml:space="preserve">classifies hyperkalaemia </w:t>
      </w:r>
      <w:r w:rsidRPr="0082254E">
        <w:rPr>
          <w:lang w:val="en-GB"/>
        </w:rPr>
        <w:t>as mild (serum potassium level of 5.5 mmol/litre to 5.9 mmol/litre), moderate (6.0 mmol/litre to 6.4 mmol/litre) or severe (6.5 mmol/litre and above).</w:t>
      </w:r>
      <w:r w:rsidR="001B1180" w:rsidRPr="0082254E">
        <w:rPr>
          <w:lang w:val="en-GB"/>
        </w:rPr>
        <w:t xml:space="preserve"> </w:t>
      </w:r>
      <w:r w:rsidR="00E143E6" w:rsidRPr="0082254E">
        <w:rPr>
          <w:lang w:val="en-GB"/>
        </w:rPr>
        <w:t xml:space="preserve">The </w:t>
      </w:r>
      <w:r w:rsidR="00E143E6" w:rsidRPr="0082254E">
        <w:rPr>
          <w:lang w:val="en-GB"/>
        </w:rPr>
        <w:lastRenderedPageBreak/>
        <w:t>committee underst</w:t>
      </w:r>
      <w:r w:rsidR="00A4796C" w:rsidRPr="0082254E">
        <w:rPr>
          <w:lang w:val="en-GB"/>
        </w:rPr>
        <w:t>ood</w:t>
      </w:r>
      <w:r w:rsidR="00E143E6" w:rsidRPr="0082254E">
        <w:rPr>
          <w:lang w:val="en-GB"/>
        </w:rPr>
        <w:t xml:space="preserve"> that </w:t>
      </w:r>
      <w:r w:rsidR="00A4796C" w:rsidRPr="0082254E">
        <w:rPr>
          <w:lang w:val="en-GB"/>
        </w:rPr>
        <w:t xml:space="preserve">tests of </w:t>
      </w:r>
      <w:r w:rsidR="00E143E6" w:rsidRPr="0082254E">
        <w:rPr>
          <w:lang w:val="en-GB"/>
        </w:rPr>
        <w:t xml:space="preserve">serum potassium values </w:t>
      </w:r>
      <w:r w:rsidR="00A4796C" w:rsidRPr="0082254E">
        <w:rPr>
          <w:lang w:val="en-GB"/>
        </w:rPr>
        <w:t>may incorrectly identify hyperkalaemia</w:t>
      </w:r>
      <w:r w:rsidR="00E143E6" w:rsidRPr="0082254E">
        <w:rPr>
          <w:lang w:val="en-GB"/>
        </w:rPr>
        <w:t xml:space="preserve">, and often </w:t>
      </w:r>
      <w:r w:rsidR="008075B7" w:rsidRPr="0082254E">
        <w:rPr>
          <w:lang w:val="en-GB"/>
        </w:rPr>
        <w:t xml:space="preserve">need to be confirmed </w:t>
      </w:r>
      <w:r w:rsidR="00E143E6" w:rsidRPr="0082254E">
        <w:rPr>
          <w:lang w:val="en-GB"/>
        </w:rPr>
        <w:t xml:space="preserve">before </w:t>
      </w:r>
      <w:r w:rsidR="00A4796C" w:rsidRPr="0082254E">
        <w:rPr>
          <w:lang w:val="en-GB"/>
        </w:rPr>
        <w:t>hyperkalaemia is treated</w:t>
      </w:r>
      <w:r w:rsidR="00E143E6" w:rsidRPr="0082254E">
        <w:rPr>
          <w:lang w:val="en-GB"/>
        </w:rPr>
        <w:t>.</w:t>
      </w:r>
      <w:r w:rsidR="001B1180" w:rsidRPr="0082254E">
        <w:rPr>
          <w:lang w:val="en-GB"/>
        </w:rPr>
        <w:t xml:space="preserve"> </w:t>
      </w:r>
      <w:r w:rsidR="000460DB" w:rsidRPr="0082254E">
        <w:rPr>
          <w:lang w:val="en-GB"/>
        </w:rPr>
        <w:t xml:space="preserve">Hyperkalaemia occurs </w:t>
      </w:r>
      <w:r w:rsidR="00D40C63" w:rsidRPr="0082254E">
        <w:rPr>
          <w:lang w:val="en-GB"/>
        </w:rPr>
        <w:t xml:space="preserve">most </w:t>
      </w:r>
      <w:r w:rsidR="000460DB" w:rsidRPr="0082254E">
        <w:rPr>
          <w:lang w:val="en-GB"/>
        </w:rPr>
        <w:t xml:space="preserve">commonly in </w:t>
      </w:r>
      <w:r w:rsidR="00301008" w:rsidRPr="0082254E">
        <w:rPr>
          <w:lang w:val="en-GB"/>
        </w:rPr>
        <w:t xml:space="preserve">people with </w:t>
      </w:r>
      <w:r w:rsidR="00DA6CC1" w:rsidRPr="0082254E">
        <w:rPr>
          <w:lang w:val="en-GB"/>
        </w:rPr>
        <w:t>c</w:t>
      </w:r>
      <w:r w:rsidR="00792725" w:rsidRPr="0082254E">
        <w:rPr>
          <w:lang w:val="en-GB"/>
        </w:rPr>
        <w:t xml:space="preserve">hronic kidney disease </w:t>
      </w:r>
      <w:r w:rsidR="000460DB" w:rsidRPr="0082254E">
        <w:rPr>
          <w:lang w:val="en-GB"/>
        </w:rPr>
        <w:t>(stages</w:t>
      </w:r>
      <w:r w:rsidR="00D40C63" w:rsidRPr="0082254E">
        <w:rPr>
          <w:lang w:val="en-GB"/>
        </w:rPr>
        <w:t> </w:t>
      </w:r>
      <w:r w:rsidR="000460DB" w:rsidRPr="0082254E">
        <w:rPr>
          <w:lang w:val="en-GB"/>
        </w:rPr>
        <w:t>4 and</w:t>
      </w:r>
      <w:r w:rsidR="00D40C63" w:rsidRPr="0082254E">
        <w:rPr>
          <w:lang w:val="en-GB"/>
        </w:rPr>
        <w:t> </w:t>
      </w:r>
      <w:r w:rsidR="000460DB" w:rsidRPr="0082254E">
        <w:rPr>
          <w:lang w:val="en-GB"/>
        </w:rPr>
        <w:t>5),</w:t>
      </w:r>
      <w:r w:rsidR="002D005C" w:rsidRPr="0082254E">
        <w:rPr>
          <w:lang w:val="en-GB"/>
        </w:rPr>
        <w:t xml:space="preserve"> heart failure, liver disease</w:t>
      </w:r>
      <w:r w:rsidR="00CD688B" w:rsidRPr="0082254E">
        <w:rPr>
          <w:lang w:val="en-GB"/>
        </w:rPr>
        <w:t>, metabolic acidosis,</w:t>
      </w:r>
      <w:r w:rsidR="002D005C" w:rsidRPr="0082254E">
        <w:rPr>
          <w:lang w:val="en-GB"/>
        </w:rPr>
        <w:t xml:space="preserve"> and adrenal insufficiency. It </w:t>
      </w:r>
      <w:r w:rsidR="006B19A8" w:rsidRPr="0082254E">
        <w:rPr>
          <w:lang w:val="en-GB"/>
        </w:rPr>
        <w:t>can</w:t>
      </w:r>
      <w:r w:rsidR="002D005C" w:rsidRPr="0082254E">
        <w:rPr>
          <w:lang w:val="en-GB"/>
        </w:rPr>
        <w:t xml:space="preserve"> </w:t>
      </w:r>
      <w:r w:rsidR="00301008" w:rsidRPr="0082254E">
        <w:rPr>
          <w:lang w:val="en-GB"/>
        </w:rPr>
        <w:t xml:space="preserve">also </w:t>
      </w:r>
      <w:r w:rsidR="002D005C" w:rsidRPr="0082254E">
        <w:rPr>
          <w:lang w:val="en-GB"/>
        </w:rPr>
        <w:t xml:space="preserve">occur </w:t>
      </w:r>
      <w:r w:rsidR="007F1DA0" w:rsidRPr="0082254E">
        <w:rPr>
          <w:lang w:val="en-GB"/>
        </w:rPr>
        <w:t>after</w:t>
      </w:r>
      <w:r w:rsidR="00E72D31" w:rsidRPr="0082254E">
        <w:rPr>
          <w:lang w:val="en-GB"/>
        </w:rPr>
        <w:t xml:space="preserve"> treatments for high blood pressure, chronic kidney disease, proteinuria (protein in the urine) and heart failure</w:t>
      </w:r>
      <w:r w:rsidR="007F1DA0" w:rsidRPr="0082254E">
        <w:rPr>
          <w:lang w:val="en-GB"/>
        </w:rPr>
        <w:t>; these</w:t>
      </w:r>
      <w:r w:rsidR="007E6125">
        <w:rPr>
          <w:lang w:val="en-GB"/>
        </w:rPr>
        <w:t xml:space="preserve"> treatments</w:t>
      </w:r>
      <w:r w:rsidR="007F1DA0" w:rsidRPr="0082254E">
        <w:rPr>
          <w:lang w:val="en-GB"/>
        </w:rPr>
        <w:t xml:space="preserve"> include </w:t>
      </w:r>
      <w:r w:rsidR="000460DB" w:rsidRPr="0082254E">
        <w:rPr>
          <w:lang w:val="en-GB"/>
        </w:rPr>
        <w:t xml:space="preserve">potassium-sparing diuretics </w:t>
      </w:r>
      <w:r w:rsidR="002D005C" w:rsidRPr="0082254E">
        <w:rPr>
          <w:lang w:val="en-GB"/>
        </w:rPr>
        <w:t>or</w:t>
      </w:r>
      <w:r w:rsidR="000460DB" w:rsidRPr="0082254E">
        <w:rPr>
          <w:lang w:val="en-GB"/>
        </w:rPr>
        <w:t xml:space="preserve"> </w:t>
      </w:r>
      <w:r w:rsidR="00792725" w:rsidRPr="0082254E">
        <w:rPr>
          <w:lang w:val="en-GB"/>
        </w:rPr>
        <w:t>renin</w:t>
      </w:r>
      <w:r w:rsidR="001E0AA1" w:rsidRPr="0082254E">
        <w:rPr>
          <w:lang w:val="en-GB"/>
        </w:rPr>
        <w:t>-</w:t>
      </w:r>
      <w:r w:rsidR="003151D9" w:rsidRPr="0082254E">
        <w:rPr>
          <w:lang w:val="en-GB"/>
        </w:rPr>
        <w:t>angiotensin-aldosterone system</w:t>
      </w:r>
      <w:r w:rsidR="00542214" w:rsidRPr="0082254E">
        <w:rPr>
          <w:lang w:val="en-GB"/>
        </w:rPr>
        <w:t xml:space="preserve"> (RAAS)</w:t>
      </w:r>
      <w:r w:rsidR="003151D9" w:rsidRPr="0082254E">
        <w:rPr>
          <w:lang w:val="en-GB"/>
        </w:rPr>
        <w:t xml:space="preserve"> inhibitors. </w:t>
      </w:r>
      <w:r w:rsidR="00A4796C" w:rsidRPr="0082254E">
        <w:rPr>
          <w:lang w:val="en-GB"/>
        </w:rPr>
        <w:t>RAAS inhibitors</w:t>
      </w:r>
      <w:r w:rsidR="00487E19" w:rsidRPr="0082254E">
        <w:rPr>
          <w:lang w:val="en-GB"/>
        </w:rPr>
        <w:t xml:space="preserve"> </w:t>
      </w:r>
      <w:r w:rsidR="003151D9" w:rsidRPr="0082254E">
        <w:rPr>
          <w:lang w:val="en-GB"/>
        </w:rPr>
        <w:t>include angiotensin-converting enzyme (ACE) inhibitors, angiotensin</w:t>
      </w:r>
      <w:r w:rsidR="001863BC" w:rsidRPr="0082254E">
        <w:rPr>
          <w:lang w:val="en-GB"/>
        </w:rPr>
        <w:t> </w:t>
      </w:r>
      <w:r w:rsidR="003151D9" w:rsidRPr="0082254E">
        <w:rPr>
          <w:lang w:val="en-GB"/>
        </w:rPr>
        <w:t>II receptor blockers (ARB</w:t>
      </w:r>
      <w:r w:rsidR="001863BC" w:rsidRPr="0082254E">
        <w:rPr>
          <w:lang w:val="en-GB"/>
        </w:rPr>
        <w:t>s</w:t>
      </w:r>
      <w:r w:rsidR="003151D9" w:rsidRPr="0082254E">
        <w:rPr>
          <w:lang w:val="en-GB"/>
        </w:rPr>
        <w:t>) and aldosterone receptor antagonists</w:t>
      </w:r>
      <w:r w:rsidR="001863BC" w:rsidRPr="0082254E">
        <w:rPr>
          <w:lang w:val="en-GB"/>
        </w:rPr>
        <w:t>.</w:t>
      </w:r>
      <w:r w:rsidR="006B19A8" w:rsidRPr="0082254E">
        <w:rPr>
          <w:lang w:val="en-GB"/>
        </w:rPr>
        <w:t xml:space="preserve"> </w:t>
      </w:r>
      <w:r w:rsidR="008F40AD" w:rsidRPr="0082254E">
        <w:rPr>
          <w:lang w:val="en-GB"/>
        </w:rPr>
        <w:t>S</w:t>
      </w:r>
      <w:r w:rsidR="00DA6CC1" w:rsidRPr="0082254E">
        <w:rPr>
          <w:lang w:val="en-GB"/>
        </w:rPr>
        <w:t xml:space="preserve">erum </w:t>
      </w:r>
      <w:r w:rsidR="00B4464A" w:rsidRPr="0082254E">
        <w:rPr>
          <w:lang w:val="en-GB"/>
        </w:rPr>
        <w:t>potassium le</w:t>
      </w:r>
      <w:r w:rsidR="00CE7551" w:rsidRPr="0082254E">
        <w:rPr>
          <w:lang w:val="en-GB"/>
        </w:rPr>
        <w:t>vels in</w:t>
      </w:r>
      <w:r w:rsidR="00B4464A" w:rsidRPr="0082254E">
        <w:rPr>
          <w:lang w:val="en-GB"/>
        </w:rPr>
        <w:t xml:space="preserve"> people with chronic kidney disease and </w:t>
      </w:r>
      <w:r w:rsidR="009101ED" w:rsidRPr="0082254E">
        <w:rPr>
          <w:lang w:val="en-GB"/>
        </w:rPr>
        <w:t xml:space="preserve">in </w:t>
      </w:r>
      <w:r w:rsidR="00B4464A" w:rsidRPr="0082254E">
        <w:rPr>
          <w:lang w:val="en-GB"/>
        </w:rPr>
        <w:t xml:space="preserve">people </w:t>
      </w:r>
      <w:r w:rsidR="008F40AD" w:rsidRPr="0082254E">
        <w:rPr>
          <w:lang w:val="en-GB"/>
        </w:rPr>
        <w:t>ha</w:t>
      </w:r>
      <w:r w:rsidR="00400078" w:rsidRPr="0082254E">
        <w:rPr>
          <w:lang w:val="en-GB"/>
        </w:rPr>
        <w:t>v</w:t>
      </w:r>
      <w:r w:rsidR="00B4464A" w:rsidRPr="0082254E">
        <w:rPr>
          <w:lang w:val="en-GB"/>
        </w:rPr>
        <w:t>ing RAAS in</w:t>
      </w:r>
      <w:r w:rsidR="009420A3" w:rsidRPr="0082254E">
        <w:rPr>
          <w:lang w:val="en-GB"/>
        </w:rPr>
        <w:t>hibitors are</w:t>
      </w:r>
      <w:r w:rsidR="00B4464A" w:rsidRPr="0082254E">
        <w:rPr>
          <w:lang w:val="en-GB"/>
        </w:rPr>
        <w:t xml:space="preserve"> routinely monitored.</w:t>
      </w:r>
      <w:r w:rsidR="009A5958" w:rsidRPr="0082254E">
        <w:rPr>
          <w:lang w:val="en-GB"/>
        </w:rPr>
        <w:t xml:space="preserve"> </w:t>
      </w:r>
      <w:r w:rsidR="002A2F01" w:rsidRPr="0082254E">
        <w:rPr>
          <w:lang w:val="en-GB"/>
        </w:rPr>
        <w:t xml:space="preserve">The clinical experts </w:t>
      </w:r>
      <w:r w:rsidR="00ED6951" w:rsidRPr="0082254E">
        <w:rPr>
          <w:lang w:val="en-GB"/>
        </w:rPr>
        <w:t xml:space="preserve">present at the second committee meeting </w:t>
      </w:r>
      <w:r w:rsidR="002A2F01" w:rsidRPr="0082254E">
        <w:rPr>
          <w:lang w:val="en-GB"/>
        </w:rPr>
        <w:t xml:space="preserve">explained that people with heart failure </w:t>
      </w:r>
      <w:r w:rsidR="00341C21" w:rsidRPr="0082254E">
        <w:rPr>
          <w:lang w:val="en-GB"/>
        </w:rPr>
        <w:t>may have</w:t>
      </w:r>
      <w:r w:rsidR="002A2F01" w:rsidRPr="0082254E">
        <w:rPr>
          <w:lang w:val="en-GB"/>
        </w:rPr>
        <w:t xml:space="preserve"> treatment for hyperkalaemia at </w:t>
      </w:r>
      <w:r w:rsidR="00CD11BE" w:rsidRPr="0082254E">
        <w:rPr>
          <w:lang w:val="en-GB"/>
        </w:rPr>
        <w:t xml:space="preserve">serum </w:t>
      </w:r>
      <w:r w:rsidR="002A2F01" w:rsidRPr="0082254E">
        <w:rPr>
          <w:lang w:val="en-GB"/>
        </w:rPr>
        <w:t xml:space="preserve">potassium levels </w:t>
      </w:r>
      <w:r w:rsidR="00AA0128" w:rsidRPr="0082254E">
        <w:rPr>
          <w:lang w:val="en-GB"/>
        </w:rPr>
        <w:t>above 5.</w:t>
      </w:r>
      <w:r w:rsidR="003B286E" w:rsidRPr="0082254E">
        <w:rPr>
          <w:lang w:val="en-GB"/>
        </w:rPr>
        <w:t>5</w:t>
      </w:r>
      <w:r w:rsidR="005A4AAA" w:rsidRPr="0082254E">
        <w:rPr>
          <w:lang w:val="en-GB"/>
        </w:rPr>
        <w:t> </w:t>
      </w:r>
      <w:r w:rsidR="00AA0128" w:rsidRPr="0082254E">
        <w:rPr>
          <w:lang w:val="en-GB"/>
        </w:rPr>
        <w:t xml:space="preserve">mmol/litre, whereas people with chronic kidney disease </w:t>
      </w:r>
      <w:r w:rsidR="00341C21" w:rsidRPr="0082254E">
        <w:rPr>
          <w:lang w:val="en-GB"/>
        </w:rPr>
        <w:t>may have</w:t>
      </w:r>
      <w:r w:rsidR="00AA0128" w:rsidRPr="0082254E">
        <w:rPr>
          <w:lang w:val="en-GB"/>
        </w:rPr>
        <w:t xml:space="preserve"> treatment at </w:t>
      </w:r>
      <w:r w:rsidR="00CD11BE" w:rsidRPr="0082254E">
        <w:rPr>
          <w:lang w:val="en-GB"/>
        </w:rPr>
        <w:t xml:space="preserve">serum </w:t>
      </w:r>
      <w:r w:rsidR="00AA0128" w:rsidRPr="0082254E">
        <w:rPr>
          <w:lang w:val="en-GB"/>
        </w:rPr>
        <w:t>potassium levels above 6.0</w:t>
      </w:r>
      <w:r w:rsidR="005A4AAA" w:rsidRPr="0082254E">
        <w:rPr>
          <w:lang w:val="en-GB"/>
        </w:rPr>
        <w:t> </w:t>
      </w:r>
      <w:r w:rsidR="00AA0128" w:rsidRPr="0082254E">
        <w:rPr>
          <w:lang w:val="en-GB"/>
        </w:rPr>
        <w:t>mmol/litre</w:t>
      </w:r>
      <w:r w:rsidR="00323DE8" w:rsidRPr="0082254E">
        <w:rPr>
          <w:lang w:val="en-GB"/>
        </w:rPr>
        <w:t>.</w:t>
      </w:r>
      <w:r w:rsidR="002F63A7" w:rsidRPr="0082254E">
        <w:rPr>
          <w:lang w:val="en-GB"/>
        </w:rPr>
        <w:t xml:space="preserve"> </w:t>
      </w:r>
      <w:r w:rsidR="00BA6985" w:rsidRPr="0082254E">
        <w:rPr>
          <w:lang w:val="en-GB"/>
        </w:rPr>
        <w:t>The</w:t>
      </w:r>
      <w:r w:rsidR="005A4AAA" w:rsidRPr="0082254E">
        <w:rPr>
          <w:lang w:val="en-GB"/>
        </w:rPr>
        <w:t>y</w:t>
      </w:r>
      <w:r w:rsidR="00BA6985" w:rsidRPr="0082254E">
        <w:rPr>
          <w:lang w:val="en-GB"/>
        </w:rPr>
        <w:t xml:space="preserve"> explained that</w:t>
      </w:r>
      <w:r w:rsidR="00CD11BE" w:rsidRPr="0082254E">
        <w:rPr>
          <w:lang w:val="en-GB"/>
        </w:rPr>
        <w:t xml:space="preserve"> the reason</w:t>
      </w:r>
      <w:r w:rsidR="00BA6985" w:rsidRPr="0082254E">
        <w:rPr>
          <w:lang w:val="en-GB"/>
        </w:rPr>
        <w:t xml:space="preserve"> </w:t>
      </w:r>
      <w:r w:rsidR="00CD11BE" w:rsidRPr="0082254E">
        <w:rPr>
          <w:lang w:val="en-GB"/>
        </w:rPr>
        <w:t>treatment for people</w:t>
      </w:r>
      <w:r w:rsidR="00341C21" w:rsidRPr="0082254E">
        <w:rPr>
          <w:lang w:val="en-GB"/>
        </w:rPr>
        <w:t xml:space="preserve"> with heart failure </w:t>
      </w:r>
      <w:r w:rsidR="00CD11BE" w:rsidRPr="0082254E">
        <w:rPr>
          <w:lang w:val="en-GB"/>
        </w:rPr>
        <w:t xml:space="preserve">is </w:t>
      </w:r>
      <w:r w:rsidR="00341C21" w:rsidRPr="0082254E">
        <w:rPr>
          <w:lang w:val="en-GB"/>
        </w:rPr>
        <w:t>considered at a lower serum potassium level</w:t>
      </w:r>
      <w:r w:rsidR="007E6125">
        <w:rPr>
          <w:lang w:val="en-GB"/>
        </w:rPr>
        <w:t xml:space="preserve"> than for people with chronic kidney disease</w:t>
      </w:r>
      <w:r w:rsidR="00341C21" w:rsidRPr="0082254E">
        <w:rPr>
          <w:lang w:val="en-GB"/>
        </w:rPr>
        <w:t xml:space="preserve"> </w:t>
      </w:r>
      <w:r w:rsidR="00CD11BE" w:rsidRPr="0082254E">
        <w:rPr>
          <w:lang w:val="en-GB"/>
        </w:rPr>
        <w:t xml:space="preserve">is </w:t>
      </w:r>
      <w:r w:rsidR="00341C21" w:rsidRPr="0082254E">
        <w:rPr>
          <w:lang w:val="en-GB"/>
        </w:rPr>
        <w:t xml:space="preserve">because they </w:t>
      </w:r>
      <w:r w:rsidR="00CD11BE" w:rsidRPr="0082254E">
        <w:rPr>
          <w:lang w:val="en-GB"/>
        </w:rPr>
        <w:t>a</w:t>
      </w:r>
      <w:r w:rsidR="00341C21" w:rsidRPr="0082254E">
        <w:rPr>
          <w:lang w:val="en-GB"/>
        </w:rPr>
        <w:t>re at higher risk from arrythmia</w:t>
      </w:r>
      <w:r w:rsidR="007E6125">
        <w:rPr>
          <w:lang w:val="en-GB"/>
        </w:rPr>
        <w:t>s</w:t>
      </w:r>
      <w:r w:rsidR="00341C21" w:rsidRPr="0082254E">
        <w:rPr>
          <w:lang w:val="en-GB"/>
        </w:rPr>
        <w:t xml:space="preserve">, which </w:t>
      </w:r>
      <w:r w:rsidR="00E143E6" w:rsidRPr="0082254E">
        <w:rPr>
          <w:lang w:val="en-GB"/>
        </w:rPr>
        <w:t xml:space="preserve">a sudden change in serum potassium can </w:t>
      </w:r>
      <w:r w:rsidR="00A4796C" w:rsidRPr="0082254E">
        <w:rPr>
          <w:lang w:val="en-GB"/>
        </w:rPr>
        <w:t>induce</w:t>
      </w:r>
      <w:r w:rsidR="00341C21" w:rsidRPr="0082254E">
        <w:rPr>
          <w:lang w:val="en-GB"/>
        </w:rPr>
        <w:t xml:space="preserve">. </w:t>
      </w:r>
      <w:r w:rsidR="00E143E6" w:rsidRPr="0082254E">
        <w:rPr>
          <w:lang w:val="en-GB"/>
        </w:rPr>
        <w:t>The committee heard that</w:t>
      </w:r>
      <w:r w:rsidR="00A4796C" w:rsidRPr="0082254E">
        <w:rPr>
          <w:lang w:val="en-GB"/>
        </w:rPr>
        <w:t xml:space="preserve"> some</w:t>
      </w:r>
      <w:r w:rsidR="00E143E6" w:rsidRPr="0082254E">
        <w:rPr>
          <w:lang w:val="en-GB"/>
        </w:rPr>
        <w:t xml:space="preserve"> people, often </w:t>
      </w:r>
      <w:r w:rsidR="00490046" w:rsidRPr="0082254E">
        <w:rPr>
          <w:lang w:val="en-GB"/>
        </w:rPr>
        <w:t>those</w:t>
      </w:r>
      <w:r w:rsidR="00E143E6" w:rsidRPr="0082254E">
        <w:rPr>
          <w:lang w:val="en-GB"/>
        </w:rPr>
        <w:t xml:space="preserve"> with renal disease, can accommodate high</w:t>
      </w:r>
      <w:r w:rsidR="00676B51" w:rsidRPr="0082254E">
        <w:rPr>
          <w:lang w:val="en-GB"/>
        </w:rPr>
        <w:t xml:space="preserve"> but stable</w:t>
      </w:r>
      <w:r w:rsidR="00E143E6" w:rsidRPr="0082254E">
        <w:rPr>
          <w:lang w:val="en-GB"/>
        </w:rPr>
        <w:t xml:space="preserve"> potassium levels. </w:t>
      </w:r>
      <w:r w:rsidR="005A4AAA" w:rsidRPr="0082254E">
        <w:rPr>
          <w:lang w:val="en-GB"/>
        </w:rPr>
        <w:t>It</w:t>
      </w:r>
      <w:r w:rsidR="00E72D31" w:rsidRPr="0082254E">
        <w:rPr>
          <w:lang w:val="en-GB"/>
        </w:rPr>
        <w:t xml:space="preserve"> understood that</w:t>
      </w:r>
      <w:r w:rsidR="005A4AAA" w:rsidRPr="0082254E">
        <w:rPr>
          <w:lang w:val="en-GB"/>
        </w:rPr>
        <w:t>,</w:t>
      </w:r>
      <w:r w:rsidR="00676B51" w:rsidRPr="0082254E">
        <w:rPr>
          <w:lang w:val="en-GB"/>
        </w:rPr>
        <w:t xml:space="preserve"> once the diagnosis of hyperkalaemia </w:t>
      </w:r>
      <w:r w:rsidR="005A4AAA" w:rsidRPr="0082254E">
        <w:rPr>
          <w:lang w:val="en-GB"/>
        </w:rPr>
        <w:t xml:space="preserve">is </w:t>
      </w:r>
      <w:r w:rsidR="00676B51" w:rsidRPr="0082254E">
        <w:rPr>
          <w:lang w:val="en-GB"/>
        </w:rPr>
        <w:t>confirmed</w:t>
      </w:r>
      <w:r w:rsidR="005A4AAA" w:rsidRPr="0082254E">
        <w:rPr>
          <w:lang w:val="en-GB"/>
        </w:rPr>
        <w:t>,</w:t>
      </w:r>
      <w:r w:rsidR="00E72D31" w:rsidRPr="0082254E">
        <w:rPr>
          <w:lang w:val="en-GB"/>
        </w:rPr>
        <w:t xml:space="preserve"> </w:t>
      </w:r>
      <w:r w:rsidR="007E158C" w:rsidRPr="0082254E">
        <w:rPr>
          <w:lang w:val="en-GB"/>
        </w:rPr>
        <w:t>t</w:t>
      </w:r>
      <w:r w:rsidR="00FE509F" w:rsidRPr="0082254E">
        <w:rPr>
          <w:lang w:val="en-GB"/>
        </w:rPr>
        <w:t xml:space="preserve">he decision to </w:t>
      </w:r>
      <w:r w:rsidR="00295FFE" w:rsidRPr="0082254E">
        <w:rPr>
          <w:lang w:val="en-GB"/>
        </w:rPr>
        <w:t>use</w:t>
      </w:r>
      <w:r w:rsidR="00FE509F" w:rsidRPr="0082254E">
        <w:rPr>
          <w:lang w:val="en-GB"/>
        </w:rPr>
        <w:t xml:space="preserve"> </w:t>
      </w:r>
      <w:r w:rsidR="00490046" w:rsidRPr="0082254E">
        <w:rPr>
          <w:lang w:val="en-GB"/>
        </w:rPr>
        <w:t>a treatment that actively lower</w:t>
      </w:r>
      <w:r w:rsidR="008E721D">
        <w:rPr>
          <w:lang w:val="en-GB"/>
        </w:rPr>
        <w:t>s serum</w:t>
      </w:r>
      <w:r w:rsidR="00490046" w:rsidRPr="0082254E">
        <w:rPr>
          <w:lang w:val="en-GB"/>
        </w:rPr>
        <w:t xml:space="preserve"> </w:t>
      </w:r>
      <w:r w:rsidR="00FE509F" w:rsidRPr="0082254E">
        <w:rPr>
          <w:lang w:val="en-GB"/>
        </w:rPr>
        <w:t>potassium</w:t>
      </w:r>
      <w:r w:rsidR="00490046" w:rsidRPr="0082254E">
        <w:rPr>
          <w:lang w:val="en-GB"/>
        </w:rPr>
        <w:t xml:space="preserve"> </w:t>
      </w:r>
      <w:r w:rsidR="00BC2D21" w:rsidRPr="0082254E">
        <w:rPr>
          <w:lang w:val="en-GB"/>
        </w:rPr>
        <w:t>take</w:t>
      </w:r>
      <w:r w:rsidR="005A4AAA" w:rsidRPr="0082254E">
        <w:rPr>
          <w:lang w:val="en-GB"/>
        </w:rPr>
        <w:t>s</w:t>
      </w:r>
      <w:r w:rsidR="00BC2D21" w:rsidRPr="0082254E">
        <w:rPr>
          <w:lang w:val="en-GB"/>
        </w:rPr>
        <w:t xml:space="preserve"> into account </w:t>
      </w:r>
      <w:r w:rsidR="005F5B7B" w:rsidRPr="0082254E">
        <w:rPr>
          <w:lang w:val="en-GB"/>
        </w:rPr>
        <w:t xml:space="preserve">whether </w:t>
      </w:r>
      <w:r w:rsidR="00236A4D">
        <w:rPr>
          <w:lang w:val="en-GB"/>
        </w:rPr>
        <w:t>the rise in serum potassium is acute</w:t>
      </w:r>
      <w:r w:rsidR="00FE509F" w:rsidRPr="0082254E">
        <w:rPr>
          <w:lang w:val="en-GB"/>
        </w:rPr>
        <w:t xml:space="preserve"> and changes on electrocardiogra</w:t>
      </w:r>
      <w:r w:rsidR="00490046" w:rsidRPr="0082254E">
        <w:rPr>
          <w:lang w:val="en-GB"/>
        </w:rPr>
        <w:t>m</w:t>
      </w:r>
      <w:r w:rsidR="00610F9E" w:rsidRPr="0082254E">
        <w:rPr>
          <w:lang w:val="en-GB"/>
        </w:rPr>
        <w:t xml:space="preserve"> (ECG)</w:t>
      </w:r>
      <w:r w:rsidR="00FE509F" w:rsidRPr="0082254E">
        <w:rPr>
          <w:lang w:val="en-GB"/>
        </w:rPr>
        <w:t>.</w:t>
      </w:r>
      <w:r w:rsidR="001141E5" w:rsidRPr="0082254E">
        <w:rPr>
          <w:lang w:val="en-GB"/>
        </w:rPr>
        <w:t xml:space="preserve"> </w:t>
      </w:r>
      <w:r w:rsidR="004E240F" w:rsidRPr="0082254E">
        <w:rPr>
          <w:lang w:val="en-GB"/>
        </w:rPr>
        <w:t xml:space="preserve">The committee concluded that the company’s clinical definition of hyperkalaemia </w:t>
      </w:r>
      <w:r w:rsidR="00676B51" w:rsidRPr="0082254E">
        <w:rPr>
          <w:lang w:val="en-GB"/>
        </w:rPr>
        <w:t>as serum potassium levels above 5.0</w:t>
      </w:r>
      <w:r w:rsidR="005A4AAA" w:rsidRPr="0082254E">
        <w:rPr>
          <w:lang w:val="en-GB"/>
        </w:rPr>
        <w:t> </w:t>
      </w:r>
      <w:r w:rsidR="00676B51" w:rsidRPr="0082254E">
        <w:rPr>
          <w:lang w:val="en-GB"/>
        </w:rPr>
        <w:t xml:space="preserve">mmol/litre </w:t>
      </w:r>
      <w:r w:rsidR="004E240F" w:rsidRPr="0082254E">
        <w:rPr>
          <w:lang w:val="en-GB"/>
        </w:rPr>
        <w:t>was not widely accepted.</w:t>
      </w:r>
      <w:r w:rsidR="001B1180" w:rsidRPr="0082254E">
        <w:rPr>
          <w:lang w:val="en-GB"/>
        </w:rPr>
        <w:t xml:space="preserve"> </w:t>
      </w:r>
      <w:r w:rsidR="005A4AAA" w:rsidRPr="0082254E">
        <w:rPr>
          <w:lang w:val="en-GB"/>
        </w:rPr>
        <w:t>It</w:t>
      </w:r>
      <w:r w:rsidR="004E240F" w:rsidRPr="0082254E">
        <w:rPr>
          <w:lang w:val="en-GB"/>
        </w:rPr>
        <w:t xml:space="preserve"> also </w:t>
      </w:r>
      <w:r w:rsidR="00917626" w:rsidRPr="0082254E">
        <w:rPr>
          <w:lang w:val="en-GB"/>
        </w:rPr>
        <w:t>concluded that</w:t>
      </w:r>
      <w:r w:rsidR="006100C7">
        <w:rPr>
          <w:lang w:val="en-GB"/>
        </w:rPr>
        <w:t>, unless they need emergency treatment,</w:t>
      </w:r>
      <w:r w:rsidR="00917626" w:rsidRPr="0082254E">
        <w:rPr>
          <w:lang w:val="en-GB"/>
        </w:rPr>
        <w:t xml:space="preserve"> </w:t>
      </w:r>
      <w:r w:rsidR="00490046" w:rsidRPr="0082254E">
        <w:rPr>
          <w:lang w:val="en-GB"/>
        </w:rPr>
        <w:t xml:space="preserve">few </w:t>
      </w:r>
      <w:r w:rsidR="00917626" w:rsidRPr="0082254E">
        <w:rPr>
          <w:lang w:val="en-GB"/>
        </w:rPr>
        <w:t xml:space="preserve">patients in the NHS with serum potassium levels above </w:t>
      </w:r>
      <w:r w:rsidR="00490046" w:rsidRPr="0082254E">
        <w:rPr>
          <w:lang w:val="en-GB"/>
        </w:rPr>
        <w:t>5.0</w:t>
      </w:r>
      <w:r w:rsidR="005A4AAA" w:rsidRPr="0082254E">
        <w:rPr>
          <w:lang w:val="en-GB"/>
        </w:rPr>
        <w:t> </w:t>
      </w:r>
      <w:r w:rsidR="00490046" w:rsidRPr="0082254E">
        <w:rPr>
          <w:lang w:val="en-GB"/>
        </w:rPr>
        <w:t>mmol/l</w:t>
      </w:r>
      <w:r w:rsidR="00A66904">
        <w:rPr>
          <w:lang w:val="en-GB"/>
        </w:rPr>
        <w:t>itre</w:t>
      </w:r>
      <w:r w:rsidR="00917626" w:rsidRPr="0082254E">
        <w:rPr>
          <w:lang w:val="en-GB"/>
        </w:rPr>
        <w:t xml:space="preserve"> </w:t>
      </w:r>
      <w:r w:rsidR="008F40AD" w:rsidRPr="0082254E">
        <w:rPr>
          <w:lang w:val="en-GB"/>
        </w:rPr>
        <w:t xml:space="preserve">have treatment </w:t>
      </w:r>
      <w:r w:rsidR="00917626" w:rsidRPr="0082254E">
        <w:rPr>
          <w:lang w:val="en-GB"/>
        </w:rPr>
        <w:t>to lower potassium.</w:t>
      </w:r>
      <w:bookmarkEnd w:id="2"/>
    </w:p>
    <w:p w14:paraId="0E75364E" w14:textId="58D24C37" w:rsidR="00EC57EF" w:rsidRPr="0082254E" w:rsidRDefault="000F2082" w:rsidP="007E0D48">
      <w:pPr>
        <w:pStyle w:val="Heading3"/>
      </w:pPr>
      <w:r>
        <w:lastRenderedPageBreak/>
        <w:t>The treatment of life-threatening acute hyperkalaemia and chronic hyperkalaemia differs</w:t>
      </w:r>
    </w:p>
    <w:p w14:paraId="092DC369" w14:textId="6DE28615" w:rsidR="004D3F32" w:rsidRPr="0082254E" w:rsidRDefault="004D3F32" w:rsidP="000F2082">
      <w:pPr>
        <w:pStyle w:val="Numberedlevel2text"/>
      </w:pPr>
      <w:r w:rsidRPr="00B0704C">
        <w:rPr>
          <w:lang w:val="en-GB"/>
        </w:rPr>
        <w:t>The</w:t>
      </w:r>
      <w:r w:rsidR="005053E9" w:rsidRPr="00B0704C">
        <w:rPr>
          <w:lang w:val="en-GB"/>
        </w:rPr>
        <w:t xml:space="preserve"> need </w:t>
      </w:r>
      <w:r w:rsidR="008F40AD" w:rsidRPr="00B0704C">
        <w:rPr>
          <w:lang w:val="en-GB"/>
        </w:rPr>
        <w:t xml:space="preserve">for, </w:t>
      </w:r>
      <w:r w:rsidR="005053E9" w:rsidRPr="00B0704C">
        <w:rPr>
          <w:lang w:val="en-GB"/>
        </w:rPr>
        <w:t>and type of</w:t>
      </w:r>
      <w:r w:rsidR="008F40AD" w:rsidRPr="00B0704C">
        <w:rPr>
          <w:lang w:val="en-GB"/>
        </w:rPr>
        <w:t>,</w:t>
      </w:r>
      <w:r w:rsidR="005053E9" w:rsidRPr="00B0704C">
        <w:rPr>
          <w:lang w:val="en-GB"/>
        </w:rPr>
        <w:t xml:space="preserve"> treatment for</w:t>
      </w:r>
      <w:r w:rsidRPr="00B0704C">
        <w:rPr>
          <w:lang w:val="en-GB"/>
        </w:rPr>
        <w:t xml:space="preserve"> </w:t>
      </w:r>
      <w:r w:rsidR="00AA48D6" w:rsidRPr="00B0704C">
        <w:rPr>
          <w:lang w:val="en-GB"/>
        </w:rPr>
        <w:t>hyperkalaemia</w:t>
      </w:r>
      <w:r w:rsidRPr="00B0704C">
        <w:rPr>
          <w:lang w:val="en-GB"/>
        </w:rPr>
        <w:t xml:space="preserve"> depends on its severity</w:t>
      </w:r>
      <w:r w:rsidR="00EB1E69" w:rsidRPr="00B0704C">
        <w:rPr>
          <w:lang w:val="en-GB"/>
        </w:rPr>
        <w:t xml:space="preserve">. </w:t>
      </w:r>
      <w:bookmarkStart w:id="3" w:name="_Ref5618541"/>
      <w:r w:rsidR="008F40AD" w:rsidRPr="0082254E">
        <w:t>L</w:t>
      </w:r>
      <w:r w:rsidRPr="0082254E">
        <w:t>ife</w:t>
      </w:r>
      <w:r w:rsidR="000460DB" w:rsidRPr="0082254E">
        <w:t>-</w:t>
      </w:r>
      <w:r w:rsidRPr="0082254E">
        <w:t xml:space="preserve">threatening </w:t>
      </w:r>
      <w:r w:rsidR="005F5B7B" w:rsidRPr="0082254E">
        <w:t xml:space="preserve">acute </w:t>
      </w:r>
      <w:r w:rsidRPr="0082254E">
        <w:t>hyperkalaem</w:t>
      </w:r>
      <w:r w:rsidR="008F40AD" w:rsidRPr="0082254E">
        <w:t>i</w:t>
      </w:r>
      <w:r w:rsidRPr="0082254E">
        <w:t>a</w:t>
      </w:r>
      <w:r w:rsidR="00400BD8" w:rsidRPr="0082254E">
        <w:t xml:space="preserve"> </w:t>
      </w:r>
      <w:r w:rsidR="007A6459">
        <w:t>needs</w:t>
      </w:r>
      <w:r w:rsidR="007A6459" w:rsidRPr="0082254E">
        <w:t xml:space="preserve"> </w:t>
      </w:r>
      <w:r w:rsidR="00E47A48">
        <w:rPr>
          <w:lang w:val="en-US"/>
        </w:rPr>
        <w:t>emergency</w:t>
      </w:r>
      <w:r w:rsidR="005579A8">
        <w:t xml:space="preserve"> </w:t>
      </w:r>
      <w:r w:rsidR="00400BD8" w:rsidRPr="0082254E">
        <w:t>treat</w:t>
      </w:r>
      <w:r w:rsidR="005F5B7B" w:rsidRPr="0082254E">
        <w:t>ment</w:t>
      </w:r>
      <w:r w:rsidR="00400BD8" w:rsidRPr="0082254E">
        <w:t xml:space="preserve"> in hospital</w:t>
      </w:r>
      <w:r w:rsidR="005F5B7B" w:rsidRPr="0082254E">
        <w:t>.</w:t>
      </w:r>
      <w:r w:rsidR="00C766CB" w:rsidRPr="0082254E">
        <w:t xml:space="preserve"> </w:t>
      </w:r>
      <w:r w:rsidR="006B0CD0" w:rsidRPr="0082254E">
        <w:t xml:space="preserve">NICE-accredited clinical practice guidelines for the treatment of acute hyperkalaemia from the UK Renal Association </w:t>
      </w:r>
      <w:r w:rsidR="006B0CD0">
        <w:rPr>
          <w:lang w:val="en-US"/>
        </w:rPr>
        <w:t>state</w:t>
      </w:r>
      <w:r w:rsidR="00C47AA5" w:rsidRPr="0082254E">
        <w:t xml:space="preserve"> that the risk of cardiac arrhythmias increases with serum potassium </w:t>
      </w:r>
      <w:r w:rsidR="008E721D">
        <w:rPr>
          <w:lang w:val="en-US"/>
        </w:rPr>
        <w:t>levels</w:t>
      </w:r>
      <w:r w:rsidR="008E721D" w:rsidRPr="0082254E">
        <w:t xml:space="preserve"> </w:t>
      </w:r>
      <w:r w:rsidR="006B0CD0">
        <w:rPr>
          <w:lang w:val="en-US"/>
        </w:rPr>
        <w:t>above</w:t>
      </w:r>
      <w:r w:rsidR="000F2082" w:rsidRPr="0082254E">
        <w:t xml:space="preserve"> </w:t>
      </w:r>
      <w:r w:rsidR="00C47AA5" w:rsidRPr="0082254E">
        <w:t>6.5</w:t>
      </w:r>
      <w:r w:rsidR="00A66904">
        <w:t> </w:t>
      </w:r>
      <w:r w:rsidR="00C47AA5" w:rsidRPr="0082254E">
        <w:t>mmol/</w:t>
      </w:r>
      <w:r w:rsidR="00A66904">
        <w:t>litre. S</w:t>
      </w:r>
      <w:r w:rsidR="00C47AA5" w:rsidRPr="0082254E">
        <w:t xml:space="preserve">mall rises in serum potassium above this can cause </w:t>
      </w:r>
      <w:r w:rsidR="00610F9E" w:rsidRPr="0082254E">
        <w:t>changes on ECG.</w:t>
      </w:r>
      <w:r w:rsidR="00C47AA5" w:rsidRPr="0082254E" w:rsidDel="005F5B7B">
        <w:t xml:space="preserve"> </w:t>
      </w:r>
      <w:r w:rsidR="005F5B7B" w:rsidRPr="0082254E">
        <w:t>To lower the</w:t>
      </w:r>
      <w:r w:rsidRPr="0082254E">
        <w:t xml:space="preserve"> risk of cardiac arrest</w:t>
      </w:r>
      <w:r w:rsidR="005F5B7B" w:rsidRPr="0082254E">
        <w:t xml:space="preserve">, physicians </w:t>
      </w:r>
      <w:r w:rsidR="008B2715" w:rsidRPr="0082254E">
        <w:t xml:space="preserve">treat </w:t>
      </w:r>
      <w:r w:rsidRPr="0082254E">
        <w:t>with active potassium</w:t>
      </w:r>
      <w:r w:rsidR="00A85A3C" w:rsidRPr="0082254E">
        <w:t>-</w:t>
      </w:r>
      <w:r w:rsidRPr="0082254E">
        <w:t>lowering treatments</w:t>
      </w:r>
      <w:r w:rsidR="00C766CB" w:rsidRPr="0082254E">
        <w:t>,</w:t>
      </w:r>
      <w:r w:rsidR="000460DB" w:rsidRPr="0082254E">
        <w:t xml:space="preserve"> </w:t>
      </w:r>
      <w:r w:rsidR="005F5B7B" w:rsidRPr="0082254E">
        <w:t xml:space="preserve">then </w:t>
      </w:r>
      <w:r w:rsidR="000460DB" w:rsidRPr="0082254E">
        <w:t>identify and remov</w:t>
      </w:r>
      <w:r w:rsidR="005F5B7B" w:rsidRPr="0082254E">
        <w:t>e</w:t>
      </w:r>
      <w:r w:rsidR="000460DB" w:rsidRPr="0082254E">
        <w:t xml:space="preserve"> the cause</w:t>
      </w:r>
      <w:r w:rsidR="00610F9E" w:rsidRPr="0082254E">
        <w:t xml:space="preserve"> of hyperkalaemia</w:t>
      </w:r>
      <w:r w:rsidRPr="0082254E">
        <w:t>.</w:t>
      </w:r>
      <w:r w:rsidR="001B1180" w:rsidRPr="0082254E">
        <w:t xml:space="preserve"> </w:t>
      </w:r>
      <w:r w:rsidR="006B0CD0">
        <w:rPr>
          <w:lang w:val="en-US"/>
        </w:rPr>
        <w:t xml:space="preserve">The guidelines </w:t>
      </w:r>
      <w:r w:rsidR="008C613D" w:rsidRPr="0082254E">
        <w:t>include the following t</w:t>
      </w:r>
      <w:r w:rsidR="00D20885" w:rsidRPr="0082254E">
        <w:t>reatments:</w:t>
      </w:r>
      <w:bookmarkEnd w:id="3"/>
    </w:p>
    <w:p w14:paraId="296B2A41" w14:textId="2FA1EA83" w:rsidR="00D20885" w:rsidRPr="0082254E" w:rsidRDefault="002835BF" w:rsidP="000F2082">
      <w:pPr>
        <w:pStyle w:val="Bulletindent1"/>
      </w:pPr>
      <w:r w:rsidRPr="0082254E">
        <w:t xml:space="preserve">calcium </w:t>
      </w:r>
      <w:r w:rsidR="00A625C7" w:rsidRPr="0082254E">
        <w:t xml:space="preserve">chloride or calcium </w:t>
      </w:r>
      <w:r w:rsidR="00D20885" w:rsidRPr="0082254E">
        <w:t xml:space="preserve">gluconate </w:t>
      </w:r>
      <w:r w:rsidRPr="0082254E">
        <w:t>intravenously</w:t>
      </w:r>
      <w:r w:rsidR="00A625C7" w:rsidRPr="0082254E">
        <w:t xml:space="preserve"> </w:t>
      </w:r>
      <w:r w:rsidR="00A66904" w:rsidRPr="0082254E">
        <w:t xml:space="preserve">to protect the heart </w:t>
      </w:r>
      <w:r w:rsidR="00A66904">
        <w:t>if there is</w:t>
      </w:r>
      <w:r w:rsidR="00A625C7" w:rsidRPr="0082254E">
        <w:t xml:space="preserve"> ECG evidence of hyperkalaemia</w:t>
      </w:r>
    </w:p>
    <w:p w14:paraId="0F40CC45" w14:textId="4AFC328A" w:rsidR="00D20885" w:rsidRPr="0082254E" w:rsidRDefault="002835BF" w:rsidP="000F2082">
      <w:pPr>
        <w:pStyle w:val="Bulletindent1"/>
      </w:pPr>
      <w:r w:rsidRPr="0082254E">
        <w:t>i</w:t>
      </w:r>
      <w:r w:rsidR="00D20885" w:rsidRPr="0082254E">
        <w:t xml:space="preserve">nsulin and glucose </w:t>
      </w:r>
      <w:r w:rsidRPr="0082254E">
        <w:t>intravenously</w:t>
      </w:r>
      <w:r w:rsidR="00D20885" w:rsidRPr="0082254E">
        <w:t xml:space="preserve">, which </w:t>
      </w:r>
      <w:r w:rsidR="007A69F7" w:rsidRPr="0082254E">
        <w:t xml:space="preserve">moves </w:t>
      </w:r>
      <w:r w:rsidR="00D20885" w:rsidRPr="0082254E">
        <w:t>potassium from the blood into cells</w:t>
      </w:r>
    </w:p>
    <w:p w14:paraId="482BBC76" w14:textId="39398515" w:rsidR="00FD31C0" w:rsidRPr="0082254E" w:rsidRDefault="00FD31C0" w:rsidP="000F2082">
      <w:pPr>
        <w:pStyle w:val="Bulletindent1"/>
      </w:pPr>
      <w:r w:rsidRPr="0082254E">
        <w:t>nebulised salbutamol</w:t>
      </w:r>
      <w:r w:rsidR="00C40C92" w:rsidRPr="0082254E">
        <w:t xml:space="preserve"> as an adjunctive therapy to insulin and glucose</w:t>
      </w:r>
      <w:r w:rsidRPr="0082254E">
        <w:t xml:space="preserve"> for serum potassium</w:t>
      </w:r>
      <w:r w:rsidR="00A66904">
        <w:t xml:space="preserve"> levels of</w:t>
      </w:r>
      <w:r w:rsidRPr="0082254E">
        <w:t xml:space="preserve"> 6.5</w:t>
      </w:r>
      <w:r w:rsidR="00A66904">
        <w:t> </w:t>
      </w:r>
      <w:r w:rsidRPr="0082254E">
        <w:t>mmol/</w:t>
      </w:r>
      <w:r w:rsidR="00A66904">
        <w:t xml:space="preserve">litre </w:t>
      </w:r>
      <w:r w:rsidR="00B0704C">
        <w:rPr>
          <w:lang w:val="en-US"/>
        </w:rPr>
        <w:t>and above</w:t>
      </w:r>
      <w:r w:rsidR="00A66904">
        <w:t>,</w:t>
      </w:r>
      <w:r w:rsidRPr="0082254E">
        <w:t xml:space="preserve"> which moves potassium from the blood into cells</w:t>
      </w:r>
    </w:p>
    <w:p w14:paraId="2DDBDD5C" w14:textId="6E40DBA7" w:rsidR="00BC1B65" w:rsidRPr="0082254E" w:rsidRDefault="00A66904" w:rsidP="000F2082">
      <w:pPr>
        <w:pStyle w:val="Bulletindent1"/>
      </w:pPr>
      <w:r>
        <w:t>after</w:t>
      </w:r>
      <w:r w:rsidRPr="0082254E">
        <w:t xml:space="preserve"> </w:t>
      </w:r>
      <w:r w:rsidR="00627D58" w:rsidRPr="0082254E">
        <w:t>severe hyperkalaemia</w:t>
      </w:r>
      <w:r w:rsidR="00480245">
        <w:t xml:space="preserve"> </w:t>
      </w:r>
      <w:r w:rsidR="00AB15C4">
        <w:t>has resolved</w:t>
      </w:r>
      <w:r w:rsidR="00627D58" w:rsidRPr="0082254E">
        <w:t xml:space="preserve">, </w:t>
      </w:r>
      <w:r w:rsidR="002835BF" w:rsidRPr="0082254E">
        <w:t>potassium</w:t>
      </w:r>
      <w:r w:rsidR="006277B5" w:rsidRPr="0082254E">
        <w:t>-</w:t>
      </w:r>
      <w:r w:rsidR="00D20885" w:rsidRPr="0082254E">
        <w:t>binding agents</w:t>
      </w:r>
      <w:r w:rsidR="00C40C92" w:rsidRPr="0082254E">
        <w:t xml:space="preserve"> may be offered</w:t>
      </w:r>
      <w:r w:rsidR="007A69F7" w:rsidRPr="0082254E">
        <w:t xml:space="preserve"> for 3</w:t>
      </w:r>
      <w:r w:rsidR="003460FF" w:rsidRPr="0082254E">
        <w:t> </w:t>
      </w:r>
      <w:r w:rsidR="007A69F7" w:rsidRPr="0082254E">
        <w:t>or more days</w:t>
      </w:r>
      <w:r w:rsidR="002835BF" w:rsidRPr="0082254E">
        <w:t xml:space="preserve"> (</w:t>
      </w:r>
      <w:r w:rsidR="00D20885" w:rsidRPr="0082254E">
        <w:t>namely, calcium resonium given orally</w:t>
      </w:r>
      <w:r w:rsidR="002835BF" w:rsidRPr="0082254E">
        <w:t>)</w:t>
      </w:r>
      <w:r w:rsidR="00D20885" w:rsidRPr="0082254E">
        <w:t xml:space="preserve"> </w:t>
      </w:r>
      <w:r w:rsidR="002835BF" w:rsidRPr="0082254E">
        <w:t xml:space="preserve">to </w:t>
      </w:r>
      <w:r w:rsidR="00D20885" w:rsidRPr="0082254E">
        <w:t>remove potassium from the body</w:t>
      </w:r>
    </w:p>
    <w:p w14:paraId="080740B2" w14:textId="303A7344" w:rsidR="009A5958" w:rsidRPr="002D6D99" w:rsidRDefault="007A69F7" w:rsidP="00DF2F13">
      <w:pPr>
        <w:pStyle w:val="Bulletindent1last"/>
      </w:pPr>
      <w:r w:rsidRPr="0082254E">
        <w:t xml:space="preserve">stopping </w:t>
      </w:r>
      <w:r w:rsidRPr="00DF2F13">
        <w:t>or</w:t>
      </w:r>
      <w:r w:rsidRPr="0082254E">
        <w:t xml:space="preserve"> reducing RAAS inhibitors (</w:t>
      </w:r>
      <w:r w:rsidR="003460FF" w:rsidRPr="0082254E">
        <w:t xml:space="preserve">because </w:t>
      </w:r>
      <w:r w:rsidRPr="0082254E">
        <w:t>these can increase potassium levels)</w:t>
      </w:r>
      <w:r w:rsidR="003460FF" w:rsidRPr="0082254E">
        <w:t>.</w:t>
      </w:r>
      <w:r w:rsidR="00EB1E69">
        <w:br/>
      </w:r>
      <w:r w:rsidR="00EB1E69">
        <w:br/>
      </w:r>
      <w:r w:rsidR="00627D58" w:rsidRPr="002D6D99">
        <w:t>Chronic</w:t>
      </w:r>
      <w:r w:rsidR="00301008" w:rsidRPr="002D6D99">
        <w:t xml:space="preserve"> hyperkalaemia</w:t>
      </w:r>
      <w:r w:rsidR="00400BD8" w:rsidRPr="002D6D99">
        <w:t xml:space="preserve"> </w:t>
      </w:r>
      <w:r w:rsidR="00945462" w:rsidRPr="002D6D99">
        <w:t xml:space="preserve">is </w:t>
      </w:r>
      <w:r w:rsidR="00400BD8" w:rsidRPr="002D6D99">
        <w:t>treated in an outpatient setting</w:t>
      </w:r>
      <w:r w:rsidR="00945462" w:rsidRPr="002D6D99">
        <w:t>.</w:t>
      </w:r>
      <w:r w:rsidR="00C766CB" w:rsidRPr="002D6D99">
        <w:t xml:space="preserve"> </w:t>
      </w:r>
      <w:r w:rsidR="00987BB0" w:rsidRPr="002D6D99">
        <w:t>The aim of treatment is</w:t>
      </w:r>
      <w:r w:rsidR="00B37FEF" w:rsidRPr="002D6D99">
        <w:t xml:space="preserve"> </w:t>
      </w:r>
      <w:r w:rsidR="004D3F32" w:rsidRPr="002D6D99">
        <w:t xml:space="preserve">to lower </w:t>
      </w:r>
      <w:r w:rsidR="009A5958" w:rsidRPr="002D6D99">
        <w:t>potassium levels to prevent</w:t>
      </w:r>
      <w:r w:rsidR="00ED6951" w:rsidRPr="002D6D99">
        <w:t xml:space="preserve"> </w:t>
      </w:r>
      <w:r w:rsidR="00627D58" w:rsidRPr="002D6D99">
        <w:t xml:space="preserve">acute </w:t>
      </w:r>
      <w:r w:rsidR="009A5958" w:rsidRPr="002D6D99">
        <w:t xml:space="preserve">hyperkalaemia </w:t>
      </w:r>
      <w:r w:rsidR="00627D58" w:rsidRPr="002D6D99">
        <w:t>and</w:t>
      </w:r>
      <w:r w:rsidR="00ED6951" w:rsidRPr="002D6D99">
        <w:t xml:space="preserve"> </w:t>
      </w:r>
      <w:r w:rsidR="009A5958" w:rsidRPr="002D6D99">
        <w:t>hospital treatment.</w:t>
      </w:r>
      <w:r w:rsidR="00D20885" w:rsidRPr="002D6D99">
        <w:t xml:space="preserve"> Treatment includes:</w:t>
      </w:r>
    </w:p>
    <w:p w14:paraId="6AF46A1C" w14:textId="50DF2DB7" w:rsidR="00D20885" w:rsidRPr="0082254E" w:rsidRDefault="00AA48D6" w:rsidP="00987BB0">
      <w:pPr>
        <w:pStyle w:val="Bulletindent1"/>
      </w:pPr>
      <w:r w:rsidRPr="0082254E">
        <w:t xml:space="preserve">advice </w:t>
      </w:r>
      <w:r w:rsidR="00D20885" w:rsidRPr="0082254E">
        <w:t>to</w:t>
      </w:r>
      <w:r w:rsidR="007E0D48" w:rsidRPr="0082254E">
        <w:t xml:space="preserve"> people with chronic kidney disease to</w:t>
      </w:r>
      <w:r w:rsidR="00D20885" w:rsidRPr="0082254E">
        <w:t xml:space="preserve"> avoid foods high in potassium, as part of a wider restrictive diet</w:t>
      </w:r>
    </w:p>
    <w:p w14:paraId="5FC9AC85" w14:textId="371E587E" w:rsidR="007A69F7" w:rsidRPr="0082254E" w:rsidRDefault="00AA48D6" w:rsidP="00987BB0">
      <w:pPr>
        <w:pStyle w:val="Bulletindent1"/>
      </w:pPr>
      <w:r w:rsidRPr="0082254E">
        <w:t xml:space="preserve">stopping </w:t>
      </w:r>
      <w:r w:rsidR="00D20885" w:rsidRPr="0082254E">
        <w:t>or reducing RAAS inhibitors</w:t>
      </w:r>
      <w:r w:rsidR="00627D58" w:rsidRPr="0082254E">
        <w:t xml:space="preserve"> and potassium-sparing </w:t>
      </w:r>
      <w:r w:rsidR="00945462" w:rsidRPr="0082254E">
        <w:t>diuretics</w:t>
      </w:r>
    </w:p>
    <w:p w14:paraId="45F3245C" w14:textId="47F229CD" w:rsidR="0023014E" w:rsidRPr="0082254E" w:rsidRDefault="00DC7F4B" w:rsidP="00987BB0">
      <w:pPr>
        <w:pStyle w:val="Bulletindent1last"/>
      </w:pPr>
      <w:r>
        <w:lastRenderedPageBreak/>
        <w:t>a</w:t>
      </w:r>
      <w:r w:rsidR="00627D58" w:rsidRPr="0082254E">
        <w:t>voiding non-steroidal anti-inflammatory drugs and trimethopri</w:t>
      </w:r>
      <w:r w:rsidR="009167B3" w:rsidRPr="0082254E">
        <w:t>m</w:t>
      </w:r>
      <w:r>
        <w:t>.</w:t>
      </w:r>
      <w:r w:rsidR="00EB1E69">
        <w:br/>
      </w:r>
      <w:r w:rsidR="00EB1E69">
        <w:br/>
      </w:r>
      <w:r w:rsidR="00DF2F13" w:rsidRPr="0082254E">
        <w:t xml:space="preserve">The clinical expert present at the first committee meeting explained that people </w:t>
      </w:r>
      <w:r w:rsidR="00DF2F13">
        <w:t>who have</w:t>
      </w:r>
      <w:r w:rsidR="00DF2F13" w:rsidRPr="0082254E">
        <w:t xml:space="preserve"> normal serum potassium levels after </w:t>
      </w:r>
      <w:r w:rsidR="00DF2F13">
        <w:t>emergency treatment</w:t>
      </w:r>
      <w:r w:rsidR="00DF2F13" w:rsidRPr="0082254E">
        <w:t xml:space="preserve"> do not have long-term maintenance treatment with a potassium-lowering drug in current clinical practice</w:t>
      </w:r>
      <w:r w:rsidR="00DF2F13">
        <w:t>. However</w:t>
      </w:r>
      <w:r w:rsidR="00DF2F13" w:rsidRPr="0082254E">
        <w:t>,</w:t>
      </w:r>
      <w:r w:rsidR="00DF2F13">
        <w:t xml:space="preserve"> he</w:t>
      </w:r>
      <w:r w:rsidR="00DF2F13" w:rsidRPr="0082254E">
        <w:t xml:space="preserve"> also noted that calcium </w:t>
      </w:r>
      <w:proofErr w:type="spellStart"/>
      <w:r w:rsidR="00DF2F13" w:rsidRPr="0082254E">
        <w:t>resonium</w:t>
      </w:r>
      <w:proofErr w:type="spellEnd"/>
      <w:r w:rsidR="00DF2F13" w:rsidRPr="0082254E">
        <w:t xml:space="preserve"> is poorly tolerated by patients.</w:t>
      </w:r>
      <w:r w:rsidR="00DF2F13">
        <w:t xml:space="preserve"> </w:t>
      </w:r>
      <w:r w:rsidR="009A5958" w:rsidRPr="0082254E">
        <w:t>The committee</w:t>
      </w:r>
      <w:r w:rsidR="00E431CB" w:rsidRPr="0082254E">
        <w:t xml:space="preserve"> concluded that manag</w:t>
      </w:r>
      <w:r w:rsidR="009167B3" w:rsidRPr="0082254E">
        <w:t>ing</w:t>
      </w:r>
      <w:r w:rsidR="00E431CB" w:rsidRPr="0082254E">
        <w:t xml:space="preserve"> </w:t>
      </w:r>
      <w:r w:rsidR="009167B3" w:rsidRPr="0082254E">
        <w:t xml:space="preserve">acute </w:t>
      </w:r>
      <w:r w:rsidR="00E431CB" w:rsidRPr="0082254E">
        <w:t>life-threatening hyperkalaemia</w:t>
      </w:r>
      <w:r w:rsidR="00AA48D6" w:rsidRPr="0082254E">
        <w:t xml:space="preserve"> differs from </w:t>
      </w:r>
      <w:r w:rsidR="00945462" w:rsidRPr="0082254E">
        <w:t>managing</w:t>
      </w:r>
      <w:r w:rsidR="00E431CB" w:rsidRPr="0082254E">
        <w:t xml:space="preserve"> </w:t>
      </w:r>
      <w:r w:rsidR="008B2715" w:rsidRPr="0082254E">
        <w:t xml:space="preserve">persistently raised but </w:t>
      </w:r>
      <w:r w:rsidR="00C766CB" w:rsidRPr="0082254E">
        <w:t>non-life-</w:t>
      </w:r>
      <w:r w:rsidR="008B2715" w:rsidRPr="0082254E">
        <w:t>threatening</w:t>
      </w:r>
      <w:r w:rsidR="001B1180" w:rsidRPr="0082254E">
        <w:t xml:space="preserve"> </w:t>
      </w:r>
      <w:r w:rsidR="00945462" w:rsidRPr="0082254E">
        <w:t>serum potassium levels</w:t>
      </w:r>
      <w:r w:rsidR="00AA48D6" w:rsidRPr="0082254E">
        <w:t xml:space="preserve">, which </w:t>
      </w:r>
      <w:r w:rsidR="00E431CB" w:rsidRPr="0082254E">
        <w:t xml:space="preserve">justified </w:t>
      </w:r>
      <w:r w:rsidR="00AA48D6" w:rsidRPr="0082254E">
        <w:t xml:space="preserve">the </w:t>
      </w:r>
      <w:r w:rsidR="00E431CB" w:rsidRPr="0082254E">
        <w:t xml:space="preserve">separate analyses </w:t>
      </w:r>
      <w:r w:rsidR="00AA48D6" w:rsidRPr="0082254E">
        <w:t xml:space="preserve">for </w:t>
      </w:r>
      <w:r w:rsidR="00E431CB" w:rsidRPr="0082254E">
        <w:t>sodium zirconium cyclosilicate</w:t>
      </w:r>
      <w:r w:rsidR="00121637" w:rsidRPr="0082254E">
        <w:t xml:space="preserve"> in these populations</w:t>
      </w:r>
      <w:r w:rsidR="00E431CB" w:rsidRPr="0082254E">
        <w:t>.</w:t>
      </w:r>
    </w:p>
    <w:p w14:paraId="39D6DE3C" w14:textId="5869E7D0" w:rsidR="00FC50AA" w:rsidRPr="0082254E" w:rsidRDefault="00FC50AA" w:rsidP="00FC50AA">
      <w:pPr>
        <w:pStyle w:val="Heading3"/>
      </w:pPr>
      <w:r w:rsidRPr="0082254E">
        <w:t>People</w:t>
      </w:r>
      <w:r w:rsidR="00945462" w:rsidRPr="0082254E">
        <w:t xml:space="preserve"> with chronic hyperkalaemia</w:t>
      </w:r>
      <w:r w:rsidRPr="0082254E">
        <w:t xml:space="preserve"> would welcome a</w:t>
      </w:r>
      <w:r w:rsidR="00AA48D6" w:rsidRPr="0082254E">
        <w:t>n alternative</w:t>
      </w:r>
      <w:r w:rsidRPr="0082254E">
        <w:t xml:space="preserve"> to stopping RAAS inhibitors</w:t>
      </w:r>
    </w:p>
    <w:p w14:paraId="145E4277" w14:textId="26322D2E" w:rsidR="0023014E" w:rsidRPr="0082254E" w:rsidRDefault="00EB1E69" w:rsidP="008B2715">
      <w:pPr>
        <w:pStyle w:val="Numberedlevel2text"/>
        <w:rPr>
          <w:lang w:val="en-GB"/>
        </w:rPr>
      </w:pPr>
      <w:bookmarkStart w:id="4" w:name="_Ref5617552"/>
      <w:r>
        <w:rPr>
          <w:lang w:val="en-GB"/>
        </w:rPr>
        <w:t>T</w:t>
      </w:r>
      <w:r w:rsidR="00FC50AA" w:rsidRPr="0082254E">
        <w:rPr>
          <w:lang w:val="en-GB"/>
        </w:rPr>
        <w:t>he company proposed that people</w:t>
      </w:r>
      <w:r w:rsidR="00E3161F">
        <w:rPr>
          <w:lang w:val="en-GB"/>
        </w:rPr>
        <w:t xml:space="preserve"> with chronic hyperkalaemia</w:t>
      </w:r>
      <w:r w:rsidR="00FC50AA" w:rsidRPr="0082254E">
        <w:rPr>
          <w:lang w:val="en-GB"/>
        </w:rPr>
        <w:t xml:space="preserve"> </w:t>
      </w:r>
      <w:r w:rsidR="009167B3" w:rsidRPr="0082254E">
        <w:rPr>
          <w:lang w:val="en-GB"/>
        </w:rPr>
        <w:t xml:space="preserve">who take </w:t>
      </w:r>
      <w:r w:rsidR="00FC50AA" w:rsidRPr="0082254E">
        <w:rPr>
          <w:lang w:val="en-GB"/>
        </w:rPr>
        <w:t>sodium zirconium cyclosilicate</w:t>
      </w:r>
      <w:r w:rsidR="00EA1131" w:rsidRPr="0082254E">
        <w:rPr>
          <w:lang w:val="en-GB"/>
        </w:rPr>
        <w:t xml:space="preserve"> </w:t>
      </w:r>
      <w:r w:rsidR="009167B3" w:rsidRPr="0082254E">
        <w:rPr>
          <w:lang w:val="en-GB"/>
        </w:rPr>
        <w:t xml:space="preserve">would </w:t>
      </w:r>
      <w:r w:rsidR="00FC50AA" w:rsidRPr="0082254E">
        <w:rPr>
          <w:lang w:val="en-GB"/>
        </w:rPr>
        <w:t>be less likely to stop RAAS inhibitors</w:t>
      </w:r>
      <w:r w:rsidR="00AA48D6" w:rsidRPr="0082254E">
        <w:rPr>
          <w:lang w:val="en-GB"/>
        </w:rPr>
        <w:t xml:space="preserve">, so </w:t>
      </w:r>
      <w:r w:rsidR="009167B3" w:rsidRPr="0082254E">
        <w:rPr>
          <w:lang w:val="en-GB"/>
        </w:rPr>
        <w:t xml:space="preserve">would </w:t>
      </w:r>
      <w:r w:rsidR="00AA48D6" w:rsidRPr="0082254E">
        <w:rPr>
          <w:lang w:val="en-GB"/>
        </w:rPr>
        <w:t>liv</w:t>
      </w:r>
      <w:r w:rsidR="00EA1131" w:rsidRPr="0082254E">
        <w:rPr>
          <w:lang w:val="en-GB"/>
        </w:rPr>
        <w:t>e</w:t>
      </w:r>
      <w:r w:rsidR="00FC50AA" w:rsidRPr="0082254E">
        <w:rPr>
          <w:lang w:val="en-GB"/>
        </w:rPr>
        <w:t xml:space="preserve"> longer </w:t>
      </w:r>
      <w:r w:rsidR="0018055C">
        <w:rPr>
          <w:lang w:val="en-GB"/>
        </w:rPr>
        <w:t xml:space="preserve">and </w:t>
      </w:r>
      <w:r w:rsidR="00634006">
        <w:rPr>
          <w:lang w:val="en-GB"/>
        </w:rPr>
        <w:t xml:space="preserve">have a </w:t>
      </w:r>
      <w:r w:rsidR="0018055C">
        <w:rPr>
          <w:lang w:val="en-GB"/>
        </w:rPr>
        <w:t>lower</w:t>
      </w:r>
      <w:r w:rsidR="00017DBB">
        <w:rPr>
          <w:lang w:val="en-GB"/>
        </w:rPr>
        <w:t xml:space="preserve"> </w:t>
      </w:r>
      <w:r w:rsidR="0018055C">
        <w:rPr>
          <w:lang w:val="en-GB"/>
        </w:rPr>
        <w:t xml:space="preserve">risk of </w:t>
      </w:r>
      <w:r w:rsidR="00017DBB">
        <w:rPr>
          <w:lang w:val="en-GB"/>
        </w:rPr>
        <w:t xml:space="preserve">their </w:t>
      </w:r>
      <w:r w:rsidR="0018055C">
        <w:rPr>
          <w:lang w:val="en-GB"/>
        </w:rPr>
        <w:t>kidney disease or heart failure getting worse</w:t>
      </w:r>
      <w:r w:rsidR="00FC50AA" w:rsidRPr="0082254E">
        <w:rPr>
          <w:lang w:val="en-GB"/>
        </w:rPr>
        <w:t xml:space="preserve">. </w:t>
      </w:r>
      <w:r w:rsidRPr="0082254E">
        <w:rPr>
          <w:lang w:val="en-GB"/>
        </w:rPr>
        <w:t>I</w:t>
      </w:r>
      <w:r>
        <w:rPr>
          <w:lang w:val="en-GB"/>
        </w:rPr>
        <w:t>t did not prov</w:t>
      </w:r>
      <w:r w:rsidR="007A6AEA">
        <w:rPr>
          <w:lang w:val="en-GB"/>
        </w:rPr>
        <w:t>id</w:t>
      </w:r>
      <w:r>
        <w:rPr>
          <w:lang w:val="en-GB"/>
        </w:rPr>
        <w:t xml:space="preserve">e any </w:t>
      </w:r>
      <w:r w:rsidR="00B0704C">
        <w:rPr>
          <w:lang w:val="en-GB"/>
        </w:rPr>
        <w:t>clinical</w:t>
      </w:r>
      <w:r w:rsidRPr="0082254E">
        <w:rPr>
          <w:lang w:val="en-GB"/>
        </w:rPr>
        <w:t xml:space="preserve"> evidence </w:t>
      </w:r>
      <w:r>
        <w:rPr>
          <w:lang w:val="en-GB"/>
        </w:rPr>
        <w:t>for this</w:t>
      </w:r>
      <w:r w:rsidRPr="0082254E">
        <w:rPr>
          <w:lang w:val="en-GB"/>
        </w:rPr>
        <w:t xml:space="preserve"> (see section</w:t>
      </w:r>
      <w:r w:rsidR="00074152">
        <w:rPr>
          <w:lang w:val="en-GB"/>
        </w:rPr>
        <w:t> </w:t>
      </w:r>
      <w:r w:rsidR="00BF5136">
        <w:rPr>
          <w:lang w:val="en-GB"/>
        </w:rPr>
        <w:fldChar w:fldCharType="begin"/>
      </w:r>
      <w:r w:rsidR="00BF5136">
        <w:rPr>
          <w:lang w:val="en-GB"/>
        </w:rPr>
        <w:instrText xml:space="preserve"> REF _Ref5617525 \r \h </w:instrText>
      </w:r>
      <w:r w:rsidR="00BF5136">
        <w:rPr>
          <w:lang w:val="en-GB"/>
        </w:rPr>
      </w:r>
      <w:r w:rsidR="00BF5136">
        <w:rPr>
          <w:lang w:val="en-GB"/>
        </w:rPr>
        <w:fldChar w:fldCharType="separate"/>
      </w:r>
      <w:r w:rsidR="00DA520D">
        <w:rPr>
          <w:lang w:val="en-GB"/>
        </w:rPr>
        <w:t>3.14</w:t>
      </w:r>
      <w:r w:rsidR="00BF5136">
        <w:rPr>
          <w:lang w:val="en-GB"/>
        </w:rPr>
        <w:fldChar w:fldCharType="end"/>
      </w:r>
      <w:r w:rsidRPr="0082254E">
        <w:rPr>
          <w:lang w:val="en-GB"/>
        </w:rPr>
        <w:t>)</w:t>
      </w:r>
      <w:r>
        <w:rPr>
          <w:lang w:val="en-GB"/>
        </w:rPr>
        <w:t>.</w:t>
      </w:r>
      <w:r w:rsidRPr="0082254E">
        <w:rPr>
          <w:lang w:val="en-GB"/>
        </w:rPr>
        <w:t xml:space="preserve"> </w:t>
      </w:r>
      <w:r w:rsidR="00D974AF" w:rsidRPr="0082254E">
        <w:rPr>
          <w:lang w:val="en-GB"/>
        </w:rPr>
        <w:t>NICE</w:t>
      </w:r>
      <w:r w:rsidR="00AA48D6" w:rsidRPr="0082254E">
        <w:rPr>
          <w:lang w:val="en-GB"/>
        </w:rPr>
        <w:t>’s</w:t>
      </w:r>
      <w:r w:rsidR="00D974AF" w:rsidRPr="0082254E">
        <w:rPr>
          <w:lang w:val="en-GB"/>
        </w:rPr>
        <w:t xml:space="preserve"> clinical guideline </w:t>
      </w:r>
      <w:r w:rsidR="00AA48D6" w:rsidRPr="0082254E">
        <w:rPr>
          <w:lang w:val="en-GB"/>
        </w:rPr>
        <w:t>on</w:t>
      </w:r>
      <w:r w:rsidR="00D974AF" w:rsidRPr="0082254E">
        <w:rPr>
          <w:lang w:val="en-GB"/>
        </w:rPr>
        <w:t xml:space="preserve"> </w:t>
      </w:r>
      <w:hyperlink r:id="rId12" w:history="1">
        <w:r w:rsidR="00AA48D6" w:rsidRPr="0082254E">
          <w:rPr>
            <w:rStyle w:val="Hyperlink"/>
            <w:lang w:val="en-GB"/>
          </w:rPr>
          <w:t>c</w:t>
        </w:r>
        <w:r w:rsidR="00D974AF" w:rsidRPr="0082254E">
          <w:rPr>
            <w:rStyle w:val="Hyperlink"/>
            <w:lang w:val="en-GB"/>
          </w:rPr>
          <w:t xml:space="preserve">hronic </w:t>
        </w:r>
        <w:r w:rsidR="00AA48D6" w:rsidRPr="0082254E">
          <w:rPr>
            <w:rStyle w:val="Hyperlink"/>
            <w:lang w:val="en-GB"/>
          </w:rPr>
          <w:t>k</w:t>
        </w:r>
        <w:r w:rsidR="00D974AF" w:rsidRPr="0082254E">
          <w:rPr>
            <w:rStyle w:val="Hyperlink"/>
            <w:lang w:val="en-GB"/>
          </w:rPr>
          <w:t xml:space="preserve">idney </w:t>
        </w:r>
        <w:r w:rsidR="00AA48D6" w:rsidRPr="0082254E">
          <w:rPr>
            <w:rStyle w:val="Hyperlink"/>
            <w:lang w:val="en-GB"/>
          </w:rPr>
          <w:t>d</w:t>
        </w:r>
        <w:r w:rsidR="00D974AF" w:rsidRPr="0082254E">
          <w:rPr>
            <w:rStyle w:val="Hyperlink"/>
            <w:lang w:val="en-GB"/>
          </w:rPr>
          <w:t xml:space="preserve">isease in </w:t>
        </w:r>
        <w:r w:rsidR="00AA48D6" w:rsidRPr="0082254E">
          <w:rPr>
            <w:rStyle w:val="Hyperlink"/>
            <w:lang w:val="en-GB"/>
          </w:rPr>
          <w:t>a</w:t>
        </w:r>
        <w:r w:rsidR="00D974AF" w:rsidRPr="0082254E">
          <w:rPr>
            <w:rStyle w:val="Hyperlink"/>
            <w:lang w:val="en-GB"/>
          </w:rPr>
          <w:t xml:space="preserve">dults: </w:t>
        </w:r>
        <w:r w:rsidR="00AA48D6" w:rsidRPr="0082254E">
          <w:rPr>
            <w:rStyle w:val="Hyperlink"/>
            <w:lang w:val="en-GB"/>
          </w:rPr>
          <w:t>a</w:t>
        </w:r>
        <w:r w:rsidR="00D974AF" w:rsidRPr="0082254E">
          <w:rPr>
            <w:rStyle w:val="Hyperlink"/>
            <w:lang w:val="en-GB"/>
          </w:rPr>
          <w:t xml:space="preserve">ssessment and </w:t>
        </w:r>
        <w:r w:rsidR="00AA48D6" w:rsidRPr="0082254E">
          <w:rPr>
            <w:rStyle w:val="Hyperlink"/>
            <w:lang w:val="en-GB"/>
          </w:rPr>
          <w:t>m</w:t>
        </w:r>
        <w:r w:rsidR="00D974AF" w:rsidRPr="0082254E">
          <w:rPr>
            <w:rStyle w:val="Hyperlink"/>
            <w:lang w:val="en-GB"/>
          </w:rPr>
          <w:t>anagement</w:t>
        </w:r>
      </w:hyperlink>
      <w:r w:rsidR="00D974AF" w:rsidRPr="0082254E">
        <w:rPr>
          <w:lang w:val="en-GB"/>
        </w:rPr>
        <w:t xml:space="preserve"> states that RAAS</w:t>
      </w:r>
      <w:r w:rsidR="0073775D" w:rsidRPr="0082254E">
        <w:rPr>
          <w:lang w:val="en-GB"/>
        </w:rPr>
        <w:t xml:space="preserve"> inhibitors</w:t>
      </w:r>
      <w:r w:rsidR="00D974AF" w:rsidRPr="0082254E">
        <w:rPr>
          <w:lang w:val="en-GB"/>
        </w:rPr>
        <w:t xml:space="preserve"> should not be </w:t>
      </w:r>
      <w:r w:rsidR="00442999" w:rsidRPr="0082254E">
        <w:rPr>
          <w:lang w:val="en-GB"/>
        </w:rPr>
        <w:t>‘</w:t>
      </w:r>
      <w:r w:rsidR="00D974AF" w:rsidRPr="0082254E">
        <w:rPr>
          <w:lang w:val="en-GB"/>
        </w:rPr>
        <w:t>routinely</w:t>
      </w:r>
      <w:r w:rsidR="00442999" w:rsidRPr="0082254E">
        <w:rPr>
          <w:lang w:val="en-GB"/>
        </w:rPr>
        <w:t>’</w:t>
      </w:r>
      <w:r w:rsidR="00D974AF" w:rsidRPr="0082254E">
        <w:rPr>
          <w:lang w:val="en-GB"/>
        </w:rPr>
        <w:t xml:space="preserve"> started in people with </w:t>
      </w:r>
      <w:r w:rsidR="002D288F" w:rsidRPr="0082254E">
        <w:rPr>
          <w:lang w:val="en-GB"/>
        </w:rPr>
        <w:t xml:space="preserve">serum </w:t>
      </w:r>
      <w:r w:rsidR="00D974AF" w:rsidRPr="0082254E">
        <w:rPr>
          <w:lang w:val="en-GB"/>
        </w:rPr>
        <w:t>potassium levels of 5.0</w:t>
      </w:r>
      <w:r w:rsidR="00AA48D6" w:rsidRPr="0082254E">
        <w:rPr>
          <w:lang w:val="en-GB"/>
        </w:rPr>
        <w:t> </w:t>
      </w:r>
      <w:r w:rsidR="00D974AF" w:rsidRPr="0082254E">
        <w:rPr>
          <w:lang w:val="en-GB"/>
        </w:rPr>
        <w:t>mmol/</w:t>
      </w:r>
      <w:r w:rsidR="00AA48D6" w:rsidRPr="0082254E">
        <w:rPr>
          <w:lang w:val="en-GB"/>
        </w:rPr>
        <w:t xml:space="preserve">litre </w:t>
      </w:r>
      <w:r w:rsidR="00B0704C">
        <w:rPr>
          <w:lang w:val="en-GB"/>
        </w:rPr>
        <w:t>and above</w:t>
      </w:r>
      <w:r w:rsidR="00AA48D6" w:rsidRPr="0082254E">
        <w:rPr>
          <w:lang w:val="en-GB"/>
        </w:rPr>
        <w:t>,</w:t>
      </w:r>
      <w:r w:rsidR="00D974AF" w:rsidRPr="0082254E">
        <w:rPr>
          <w:lang w:val="en-GB"/>
        </w:rPr>
        <w:t xml:space="preserve"> and should be stopped in people with levels of 6.0</w:t>
      </w:r>
      <w:r w:rsidR="00AA48D6" w:rsidRPr="0082254E">
        <w:rPr>
          <w:lang w:val="en-GB"/>
        </w:rPr>
        <w:t> </w:t>
      </w:r>
      <w:r w:rsidR="00D974AF" w:rsidRPr="0082254E">
        <w:rPr>
          <w:lang w:val="en-GB"/>
        </w:rPr>
        <w:t>mmol/</w:t>
      </w:r>
      <w:r w:rsidR="00AA48D6" w:rsidRPr="0082254E">
        <w:rPr>
          <w:lang w:val="en-GB"/>
        </w:rPr>
        <w:t xml:space="preserve">litre </w:t>
      </w:r>
      <w:r w:rsidR="00B0704C">
        <w:rPr>
          <w:lang w:val="en-GB"/>
        </w:rPr>
        <w:t>and above</w:t>
      </w:r>
      <w:r w:rsidR="00D974AF" w:rsidRPr="0082254E">
        <w:rPr>
          <w:lang w:val="en-GB"/>
        </w:rPr>
        <w:t>.</w:t>
      </w:r>
      <w:r w:rsidR="001776DA" w:rsidRPr="0082254E">
        <w:rPr>
          <w:lang w:val="en-GB"/>
        </w:rPr>
        <w:t xml:space="preserve"> </w:t>
      </w:r>
      <w:r w:rsidR="00C94861">
        <w:rPr>
          <w:lang w:val="en-GB"/>
        </w:rPr>
        <w:t>NICE</w:t>
      </w:r>
      <w:r w:rsidR="006B0CD0">
        <w:rPr>
          <w:lang w:val="en-GB"/>
        </w:rPr>
        <w:t>’s</w:t>
      </w:r>
      <w:r w:rsidR="00C94861">
        <w:rPr>
          <w:lang w:val="en-GB"/>
        </w:rPr>
        <w:t xml:space="preserve"> clinical guideline on</w:t>
      </w:r>
      <w:r w:rsidR="006B0CD0">
        <w:rPr>
          <w:lang w:val="en-GB"/>
        </w:rPr>
        <w:t xml:space="preserve"> </w:t>
      </w:r>
      <w:hyperlink r:id="rId13" w:history="1">
        <w:r w:rsidR="006B0CD0" w:rsidRPr="006B0CD0">
          <w:rPr>
            <w:rStyle w:val="Hyperlink"/>
            <w:lang w:val="en-GB"/>
          </w:rPr>
          <w:t>chronic heart failure in adults: assessment and management</w:t>
        </w:r>
      </w:hyperlink>
      <w:r w:rsidR="00C94861">
        <w:rPr>
          <w:lang w:val="en-GB"/>
        </w:rPr>
        <w:t xml:space="preserve"> </w:t>
      </w:r>
      <w:r w:rsidR="006B0CD0">
        <w:rPr>
          <w:lang w:val="en-GB"/>
        </w:rPr>
        <w:t xml:space="preserve">states that serum potassium levels should be monitored before and after starting a RAAS inhibitor or changing RAAS inhibitor dose, but does not specify serum potassium levels at which RAAS inhibitors should be </w:t>
      </w:r>
      <w:r w:rsidR="004F64BD">
        <w:rPr>
          <w:lang w:val="en-GB"/>
        </w:rPr>
        <w:t>avoided or stopped</w:t>
      </w:r>
      <w:r w:rsidR="006B0CD0">
        <w:rPr>
          <w:lang w:val="en-GB"/>
        </w:rPr>
        <w:t xml:space="preserve">. </w:t>
      </w:r>
      <w:r w:rsidR="00D974AF" w:rsidRPr="0082254E">
        <w:rPr>
          <w:lang w:val="en-GB"/>
        </w:rPr>
        <w:t>The committee and the clinical expert</w:t>
      </w:r>
      <w:r w:rsidR="00AD7E8F">
        <w:rPr>
          <w:lang w:val="en-GB"/>
        </w:rPr>
        <w:t>s</w:t>
      </w:r>
      <w:r w:rsidR="00ED6951" w:rsidRPr="0082254E">
        <w:rPr>
          <w:lang w:val="en-GB"/>
        </w:rPr>
        <w:t xml:space="preserve"> present at </w:t>
      </w:r>
      <w:r w:rsidR="00442999" w:rsidRPr="0082254E">
        <w:rPr>
          <w:lang w:val="en-GB"/>
        </w:rPr>
        <w:t xml:space="preserve">both </w:t>
      </w:r>
      <w:r w:rsidR="00ED6951" w:rsidRPr="0082254E">
        <w:rPr>
          <w:lang w:val="en-GB"/>
        </w:rPr>
        <w:t>committee meeting</w:t>
      </w:r>
      <w:r w:rsidR="00945462" w:rsidRPr="0082254E">
        <w:rPr>
          <w:lang w:val="en-GB"/>
        </w:rPr>
        <w:t>s</w:t>
      </w:r>
      <w:r w:rsidR="00D974AF" w:rsidRPr="0082254E">
        <w:rPr>
          <w:lang w:val="en-GB"/>
        </w:rPr>
        <w:t xml:space="preserve"> </w:t>
      </w:r>
      <w:r w:rsidR="000C039E" w:rsidRPr="0082254E">
        <w:rPr>
          <w:lang w:val="en-GB"/>
        </w:rPr>
        <w:t>a</w:t>
      </w:r>
      <w:r w:rsidR="00007E4E" w:rsidRPr="0082254E">
        <w:rPr>
          <w:lang w:val="en-GB"/>
        </w:rPr>
        <w:t>gre</w:t>
      </w:r>
      <w:r w:rsidR="000C039E" w:rsidRPr="0082254E">
        <w:rPr>
          <w:lang w:val="en-GB"/>
        </w:rPr>
        <w:t>ed</w:t>
      </w:r>
      <w:r w:rsidR="00AA7A10" w:rsidRPr="0082254E">
        <w:rPr>
          <w:lang w:val="en-GB"/>
        </w:rPr>
        <w:t xml:space="preserve"> </w:t>
      </w:r>
      <w:r w:rsidR="00AA48D6" w:rsidRPr="0082254E">
        <w:rPr>
          <w:lang w:val="en-GB"/>
        </w:rPr>
        <w:t xml:space="preserve">that </w:t>
      </w:r>
      <w:r w:rsidR="00AA7A10" w:rsidRPr="0082254E">
        <w:rPr>
          <w:lang w:val="en-GB"/>
        </w:rPr>
        <w:t xml:space="preserve">RAAS inhibitors would be </w:t>
      </w:r>
      <w:r w:rsidR="002B74CC" w:rsidRPr="0082254E">
        <w:rPr>
          <w:lang w:val="en-GB"/>
        </w:rPr>
        <w:t>used</w:t>
      </w:r>
      <w:r w:rsidR="0085543C" w:rsidRPr="0082254E">
        <w:rPr>
          <w:lang w:val="en-GB"/>
        </w:rPr>
        <w:t xml:space="preserve"> in the NHS </w:t>
      </w:r>
      <w:r w:rsidR="006277B5" w:rsidRPr="0082254E">
        <w:rPr>
          <w:lang w:val="en-GB"/>
        </w:rPr>
        <w:t xml:space="preserve">for </w:t>
      </w:r>
      <w:r w:rsidR="0085543C" w:rsidRPr="0082254E">
        <w:rPr>
          <w:lang w:val="en-GB"/>
        </w:rPr>
        <w:t>some people with serum potassium levels 5.0</w:t>
      </w:r>
      <w:r w:rsidR="003460FF" w:rsidRPr="0082254E">
        <w:rPr>
          <w:lang w:val="en-GB"/>
        </w:rPr>
        <w:t> </w:t>
      </w:r>
      <w:r w:rsidR="0085543C" w:rsidRPr="0082254E">
        <w:rPr>
          <w:lang w:val="en-GB"/>
        </w:rPr>
        <w:t>mmol/litre</w:t>
      </w:r>
      <w:r w:rsidR="00987BB0">
        <w:rPr>
          <w:lang w:val="en-GB"/>
        </w:rPr>
        <w:t xml:space="preserve"> and above</w:t>
      </w:r>
      <w:r w:rsidR="0085543C" w:rsidRPr="0082254E">
        <w:rPr>
          <w:lang w:val="en-GB"/>
        </w:rPr>
        <w:t xml:space="preserve"> and would be </w:t>
      </w:r>
      <w:r w:rsidR="00AA7A10" w:rsidRPr="0082254E">
        <w:rPr>
          <w:lang w:val="en-GB"/>
        </w:rPr>
        <w:t xml:space="preserve">stopped </w:t>
      </w:r>
      <w:r w:rsidR="00AA48D6" w:rsidRPr="0082254E">
        <w:rPr>
          <w:lang w:val="en-GB"/>
        </w:rPr>
        <w:t xml:space="preserve">when </w:t>
      </w:r>
      <w:r w:rsidR="00AA7A10" w:rsidRPr="0082254E">
        <w:rPr>
          <w:lang w:val="en-GB"/>
        </w:rPr>
        <w:t xml:space="preserve">serum potassium levels </w:t>
      </w:r>
      <w:r w:rsidR="00AA48D6" w:rsidRPr="0082254E">
        <w:rPr>
          <w:lang w:val="en-GB"/>
        </w:rPr>
        <w:t xml:space="preserve">are </w:t>
      </w:r>
      <w:r w:rsidR="00AA7A10" w:rsidRPr="0082254E">
        <w:rPr>
          <w:lang w:val="en-GB"/>
        </w:rPr>
        <w:t>6.0</w:t>
      </w:r>
      <w:r w:rsidR="00AA48D6" w:rsidRPr="0082254E">
        <w:rPr>
          <w:lang w:val="en-GB"/>
        </w:rPr>
        <w:t> </w:t>
      </w:r>
      <w:r w:rsidR="00AA7A10" w:rsidRPr="0082254E">
        <w:rPr>
          <w:lang w:val="en-GB"/>
        </w:rPr>
        <w:t>mmol/</w:t>
      </w:r>
      <w:r w:rsidR="00AA48D6" w:rsidRPr="0082254E">
        <w:rPr>
          <w:lang w:val="en-GB"/>
        </w:rPr>
        <w:t xml:space="preserve">litre </w:t>
      </w:r>
      <w:r w:rsidR="00B0704C">
        <w:rPr>
          <w:lang w:val="en-GB"/>
        </w:rPr>
        <w:t>and</w:t>
      </w:r>
      <w:r w:rsidR="00B0704C" w:rsidRPr="0082254E">
        <w:rPr>
          <w:lang w:val="en-GB"/>
        </w:rPr>
        <w:t xml:space="preserve"> </w:t>
      </w:r>
      <w:r w:rsidR="00B0704C">
        <w:rPr>
          <w:lang w:val="en-GB"/>
        </w:rPr>
        <w:t>above</w:t>
      </w:r>
      <w:r w:rsidR="00AA7A10" w:rsidRPr="0082254E">
        <w:rPr>
          <w:lang w:val="en-GB"/>
        </w:rPr>
        <w:t>. At levels</w:t>
      </w:r>
      <w:r w:rsidR="009167B3" w:rsidRPr="0082254E">
        <w:rPr>
          <w:lang w:val="en-GB"/>
        </w:rPr>
        <w:t xml:space="preserve"> of serum potassium below 6.0</w:t>
      </w:r>
      <w:r w:rsidR="00B0704C">
        <w:rPr>
          <w:lang w:val="en-GB"/>
        </w:rPr>
        <w:t> </w:t>
      </w:r>
      <w:r w:rsidR="009167B3" w:rsidRPr="0082254E">
        <w:rPr>
          <w:lang w:val="en-GB"/>
        </w:rPr>
        <w:t>mmol/litre</w:t>
      </w:r>
      <w:r w:rsidR="00AA48D6" w:rsidRPr="0082254E">
        <w:rPr>
          <w:lang w:val="en-GB"/>
        </w:rPr>
        <w:t>,</w:t>
      </w:r>
      <w:r w:rsidR="00AA7A10" w:rsidRPr="0082254E">
        <w:rPr>
          <w:lang w:val="en-GB"/>
        </w:rPr>
        <w:t xml:space="preserve"> the</w:t>
      </w:r>
      <w:r w:rsidR="009167B3" w:rsidRPr="0082254E">
        <w:rPr>
          <w:lang w:val="en-GB"/>
        </w:rPr>
        <w:t xml:space="preserve"> </w:t>
      </w:r>
      <w:r w:rsidR="00AA7A10" w:rsidRPr="0082254E">
        <w:rPr>
          <w:lang w:val="en-GB"/>
        </w:rPr>
        <w:t>RAAS inhibitor</w:t>
      </w:r>
      <w:r w:rsidR="0082254E" w:rsidRPr="0082254E">
        <w:rPr>
          <w:lang w:val="en-GB"/>
        </w:rPr>
        <w:t xml:space="preserve"> </w:t>
      </w:r>
      <w:r w:rsidR="00B54641" w:rsidRPr="0082254E">
        <w:rPr>
          <w:lang w:val="en-GB"/>
        </w:rPr>
        <w:t xml:space="preserve">dose </w:t>
      </w:r>
      <w:r w:rsidR="005420FD" w:rsidRPr="0082254E">
        <w:rPr>
          <w:lang w:val="en-GB"/>
        </w:rPr>
        <w:t xml:space="preserve">would </w:t>
      </w:r>
      <w:r w:rsidR="00AA7A10" w:rsidRPr="0082254E">
        <w:rPr>
          <w:lang w:val="en-GB"/>
        </w:rPr>
        <w:t>be</w:t>
      </w:r>
      <w:r w:rsidR="009A52F3">
        <w:rPr>
          <w:lang w:val="en-GB"/>
        </w:rPr>
        <w:t xml:space="preserve"> more likely to be</w:t>
      </w:r>
      <w:r w:rsidR="00AA7A10" w:rsidRPr="0082254E">
        <w:rPr>
          <w:lang w:val="en-GB"/>
        </w:rPr>
        <w:t xml:space="preserve"> reduced, rather than stopped</w:t>
      </w:r>
      <w:r w:rsidR="005420FD" w:rsidRPr="0082254E">
        <w:rPr>
          <w:lang w:val="en-GB"/>
        </w:rPr>
        <w:t>. This is</w:t>
      </w:r>
      <w:r w:rsidR="00AA7A10" w:rsidRPr="0082254E">
        <w:rPr>
          <w:lang w:val="en-GB"/>
        </w:rPr>
        <w:t xml:space="preserve"> because </w:t>
      </w:r>
      <w:r w:rsidR="00AA7A10" w:rsidRPr="0082254E">
        <w:rPr>
          <w:lang w:val="en-GB"/>
        </w:rPr>
        <w:lastRenderedPageBreak/>
        <w:t xml:space="preserve">the perceived benefits of being on treatment outweigh the risks of having a </w:t>
      </w:r>
      <w:r w:rsidR="002D288F" w:rsidRPr="0082254E">
        <w:rPr>
          <w:lang w:val="en-GB"/>
        </w:rPr>
        <w:t xml:space="preserve">serum </w:t>
      </w:r>
      <w:r w:rsidR="00AA7A10" w:rsidRPr="0082254E">
        <w:rPr>
          <w:lang w:val="en-GB"/>
        </w:rPr>
        <w:t>potassium level of between 5.0</w:t>
      </w:r>
      <w:r w:rsidR="001218EB" w:rsidRPr="0082254E">
        <w:rPr>
          <w:lang w:val="en-GB"/>
        </w:rPr>
        <w:t xml:space="preserve"> mmol/litre </w:t>
      </w:r>
      <w:r w:rsidR="00AA7A10" w:rsidRPr="0082254E">
        <w:rPr>
          <w:lang w:val="en-GB"/>
        </w:rPr>
        <w:t>and 6.0</w:t>
      </w:r>
      <w:r w:rsidR="001218EB" w:rsidRPr="0082254E">
        <w:rPr>
          <w:lang w:val="en-GB"/>
        </w:rPr>
        <w:t> </w:t>
      </w:r>
      <w:r w:rsidR="00AA7A10" w:rsidRPr="0082254E">
        <w:rPr>
          <w:lang w:val="en-GB"/>
        </w:rPr>
        <w:t>mmol/</w:t>
      </w:r>
      <w:r w:rsidR="001218EB" w:rsidRPr="0082254E">
        <w:rPr>
          <w:lang w:val="en-GB"/>
        </w:rPr>
        <w:t>litre</w:t>
      </w:r>
      <w:r w:rsidR="00AA7A10" w:rsidRPr="0082254E">
        <w:rPr>
          <w:lang w:val="en-GB"/>
        </w:rPr>
        <w:t>.</w:t>
      </w:r>
      <w:r w:rsidR="003460FF" w:rsidRPr="0082254E">
        <w:rPr>
          <w:lang w:val="en-GB"/>
        </w:rPr>
        <w:t xml:space="preserve"> </w:t>
      </w:r>
      <w:r w:rsidR="00442999" w:rsidRPr="0082254E">
        <w:rPr>
          <w:lang w:val="en-GB"/>
        </w:rPr>
        <w:t xml:space="preserve">The committee noted that some people stop RAAS inhibitors for reasons other than hyperkalaemia. </w:t>
      </w:r>
      <w:r w:rsidR="003460FF" w:rsidRPr="0082254E">
        <w:rPr>
          <w:lang w:val="en-GB"/>
        </w:rPr>
        <w:t xml:space="preserve">The committee </w:t>
      </w:r>
      <w:r w:rsidR="00AC48C6" w:rsidRPr="0082254E">
        <w:rPr>
          <w:lang w:val="en-GB"/>
        </w:rPr>
        <w:t xml:space="preserve">concluded that </w:t>
      </w:r>
      <w:r w:rsidR="0085543C" w:rsidRPr="0082254E">
        <w:rPr>
          <w:lang w:val="en-GB"/>
        </w:rPr>
        <w:t xml:space="preserve">patients and </w:t>
      </w:r>
      <w:r w:rsidR="00512D4F" w:rsidRPr="0082254E">
        <w:rPr>
          <w:lang w:val="en-GB"/>
        </w:rPr>
        <w:t>clinicians</w:t>
      </w:r>
      <w:r w:rsidR="0085543C" w:rsidRPr="0082254E">
        <w:rPr>
          <w:lang w:val="en-GB"/>
        </w:rPr>
        <w:t xml:space="preserve"> </w:t>
      </w:r>
      <w:r w:rsidR="00512D4F" w:rsidRPr="0082254E">
        <w:rPr>
          <w:lang w:val="en-GB"/>
        </w:rPr>
        <w:t xml:space="preserve">are </w:t>
      </w:r>
      <w:r w:rsidR="0085543C" w:rsidRPr="0082254E">
        <w:rPr>
          <w:lang w:val="en-GB"/>
        </w:rPr>
        <w:t>keen for new treatments that would allow them to continue RAAS inhibitors</w:t>
      </w:r>
      <w:r w:rsidR="00E450A7" w:rsidRPr="0082254E">
        <w:rPr>
          <w:lang w:val="en-GB"/>
        </w:rPr>
        <w:t>.</w:t>
      </w:r>
      <w:bookmarkEnd w:id="4"/>
    </w:p>
    <w:p w14:paraId="7A450CDC" w14:textId="6B4A0CBC" w:rsidR="00AD6F56" w:rsidRPr="0082254E" w:rsidRDefault="00AD6F56" w:rsidP="00E919EE">
      <w:pPr>
        <w:pStyle w:val="Heading3"/>
      </w:pPr>
      <w:r w:rsidRPr="0082254E">
        <w:t xml:space="preserve">The </w:t>
      </w:r>
      <w:r w:rsidR="002B74CC" w:rsidRPr="0082254E">
        <w:t>long</w:t>
      </w:r>
      <w:r w:rsidR="00343AEE" w:rsidRPr="0082254E">
        <w:t>-</w:t>
      </w:r>
      <w:r w:rsidR="002B74CC" w:rsidRPr="0082254E">
        <w:t>term benefit of continuing</w:t>
      </w:r>
      <w:r w:rsidR="00405225" w:rsidRPr="0082254E">
        <w:t xml:space="preserve"> RAAS inhibitors on quality of life and survival in people with hyperkalaemia may vary </w:t>
      </w:r>
      <w:r w:rsidR="00442999" w:rsidRPr="0082254E">
        <w:t xml:space="preserve">between </w:t>
      </w:r>
      <w:r w:rsidR="00B54641">
        <w:t xml:space="preserve">patient </w:t>
      </w:r>
      <w:r w:rsidR="00442999" w:rsidRPr="0082254E">
        <w:t>subgroups</w:t>
      </w:r>
    </w:p>
    <w:p w14:paraId="1B07EA4F" w14:textId="793D639E" w:rsidR="00AD6F56" w:rsidRPr="0082254E" w:rsidRDefault="00AD6F56" w:rsidP="00AD6F56">
      <w:pPr>
        <w:pStyle w:val="Numberedlevel2text"/>
        <w:numPr>
          <w:ilvl w:val="1"/>
          <w:numId w:val="1"/>
        </w:numPr>
        <w:rPr>
          <w:lang w:val="en-GB"/>
        </w:rPr>
      </w:pPr>
      <w:r w:rsidRPr="0082254E">
        <w:rPr>
          <w:lang w:val="en-GB"/>
        </w:rPr>
        <w:t>The clinical expert</w:t>
      </w:r>
      <w:r w:rsidR="00927199" w:rsidRPr="0082254E">
        <w:rPr>
          <w:lang w:val="en-GB"/>
        </w:rPr>
        <w:t xml:space="preserve"> at the first committee meeting</w:t>
      </w:r>
      <w:r w:rsidRPr="0082254E">
        <w:rPr>
          <w:lang w:val="en-GB"/>
        </w:rPr>
        <w:t xml:space="preserve"> explained that the benefit</w:t>
      </w:r>
      <w:r w:rsidR="007254AE" w:rsidRPr="0082254E">
        <w:rPr>
          <w:lang w:val="en-GB"/>
        </w:rPr>
        <w:t>,</w:t>
      </w:r>
      <w:r w:rsidR="001B48E7" w:rsidRPr="0082254E">
        <w:rPr>
          <w:lang w:val="en-GB"/>
        </w:rPr>
        <w:t xml:space="preserve"> or potential harm</w:t>
      </w:r>
      <w:r w:rsidR="007254AE" w:rsidRPr="0082254E">
        <w:rPr>
          <w:lang w:val="en-GB"/>
        </w:rPr>
        <w:t>,</w:t>
      </w:r>
      <w:r w:rsidR="001B48E7" w:rsidRPr="0082254E">
        <w:rPr>
          <w:lang w:val="en-GB"/>
        </w:rPr>
        <w:t xml:space="preserve"> </w:t>
      </w:r>
      <w:r w:rsidRPr="0082254E">
        <w:rPr>
          <w:lang w:val="en-GB"/>
        </w:rPr>
        <w:t xml:space="preserve">of being on </w:t>
      </w:r>
      <w:r w:rsidR="00405225" w:rsidRPr="0082254E">
        <w:rPr>
          <w:lang w:val="en-GB"/>
        </w:rPr>
        <w:t xml:space="preserve">RAAS inhibitor </w:t>
      </w:r>
      <w:r w:rsidRPr="0082254E">
        <w:rPr>
          <w:lang w:val="en-GB"/>
        </w:rPr>
        <w:t xml:space="preserve">treatment depended on: the underlying </w:t>
      </w:r>
      <w:r w:rsidR="0058438D">
        <w:rPr>
          <w:lang w:val="en-GB"/>
        </w:rPr>
        <w:t>condition</w:t>
      </w:r>
      <w:r w:rsidRPr="0082254E">
        <w:rPr>
          <w:lang w:val="en-GB"/>
        </w:rPr>
        <w:t>; the class of RAAS inhibitor (ACE</w:t>
      </w:r>
      <w:r w:rsidR="00343AEE" w:rsidRPr="0082254E">
        <w:rPr>
          <w:lang w:val="en-GB"/>
        </w:rPr>
        <w:t xml:space="preserve"> inhibitor</w:t>
      </w:r>
      <w:r w:rsidR="00512D4F" w:rsidRPr="0082254E">
        <w:rPr>
          <w:lang w:val="en-GB"/>
        </w:rPr>
        <w:t>s</w:t>
      </w:r>
      <w:r w:rsidRPr="0082254E">
        <w:rPr>
          <w:lang w:val="en-GB"/>
        </w:rPr>
        <w:t>, ARB</w:t>
      </w:r>
      <w:r w:rsidR="00512D4F" w:rsidRPr="0082254E">
        <w:rPr>
          <w:lang w:val="en-GB"/>
        </w:rPr>
        <w:t>s,</w:t>
      </w:r>
      <w:r w:rsidRPr="0082254E">
        <w:rPr>
          <w:lang w:val="en-GB"/>
        </w:rPr>
        <w:t xml:space="preserve"> aldosterone receptor antagonist</w:t>
      </w:r>
      <w:r w:rsidR="00512D4F" w:rsidRPr="0082254E">
        <w:rPr>
          <w:lang w:val="en-GB"/>
        </w:rPr>
        <w:t>s</w:t>
      </w:r>
      <w:r w:rsidRPr="0082254E">
        <w:rPr>
          <w:lang w:val="en-GB"/>
        </w:rPr>
        <w:t>); and outcome (for example, cardiovascular disease, worsening of renal disease, death).</w:t>
      </w:r>
      <w:r w:rsidR="00405225" w:rsidRPr="0082254E">
        <w:rPr>
          <w:lang w:val="en-GB"/>
        </w:rPr>
        <w:t xml:space="preserve"> </w:t>
      </w:r>
      <w:r w:rsidR="001B48E7" w:rsidRPr="0082254E">
        <w:rPr>
          <w:lang w:val="en-GB"/>
        </w:rPr>
        <w:t xml:space="preserve">The committee was aware that an NIHR-funded trial </w:t>
      </w:r>
      <w:r w:rsidR="00CC7452">
        <w:rPr>
          <w:lang w:val="en-GB"/>
        </w:rPr>
        <w:t>i</w:t>
      </w:r>
      <w:r w:rsidR="001B48E7" w:rsidRPr="0082254E">
        <w:rPr>
          <w:lang w:val="en-GB"/>
        </w:rPr>
        <w:t xml:space="preserve">s evaluating the potential benefit of withdrawing ACE inhibitors and ARBs in people with </w:t>
      </w:r>
      <w:r w:rsidR="00B54641">
        <w:rPr>
          <w:lang w:val="en-GB"/>
        </w:rPr>
        <w:t>stage 4 or 5 chronic kidney disease</w:t>
      </w:r>
      <w:r w:rsidR="001B48E7" w:rsidRPr="0082254E">
        <w:rPr>
          <w:lang w:val="en-GB"/>
        </w:rPr>
        <w:t>.</w:t>
      </w:r>
      <w:r w:rsidR="001B1180" w:rsidRPr="0082254E">
        <w:rPr>
          <w:lang w:val="en-GB"/>
        </w:rPr>
        <w:t xml:space="preserve"> </w:t>
      </w:r>
      <w:r w:rsidR="001B48E7" w:rsidRPr="0082254E">
        <w:rPr>
          <w:lang w:val="en-GB"/>
        </w:rPr>
        <w:t>T</w:t>
      </w:r>
      <w:r w:rsidR="008362A4" w:rsidRPr="0082254E">
        <w:rPr>
          <w:lang w:val="en-GB"/>
        </w:rPr>
        <w:t xml:space="preserve">he British Society for Heart Failure’s response to consultation and a clinical expert present at the second meeting both noted that RAAS </w:t>
      </w:r>
      <w:r w:rsidR="00CB6E85" w:rsidRPr="0082254E">
        <w:rPr>
          <w:lang w:val="en-GB"/>
        </w:rPr>
        <w:t xml:space="preserve">inhibitors may be of greater benefit in people with heart failure with reduced ejection fraction compared with people with preserved ejection fraction. </w:t>
      </w:r>
      <w:r w:rsidR="00405225" w:rsidRPr="0082254E">
        <w:rPr>
          <w:lang w:val="en-GB"/>
        </w:rPr>
        <w:t>The committee acknowledged that</w:t>
      </w:r>
      <w:r w:rsidR="00B54641">
        <w:rPr>
          <w:lang w:val="en-GB"/>
        </w:rPr>
        <w:t>, rather than stopping RAAS</w:t>
      </w:r>
      <w:r w:rsidR="009A52F3">
        <w:rPr>
          <w:lang w:val="en-GB"/>
        </w:rPr>
        <w:t xml:space="preserve"> inhibitor</w:t>
      </w:r>
      <w:r w:rsidR="00B54641">
        <w:rPr>
          <w:lang w:val="en-GB"/>
        </w:rPr>
        <w:t xml:space="preserve"> treatment,</w:t>
      </w:r>
      <w:r w:rsidR="001B48E7" w:rsidRPr="0082254E">
        <w:rPr>
          <w:lang w:val="en-GB"/>
        </w:rPr>
        <w:t xml:space="preserve"> </w:t>
      </w:r>
      <w:r w:rsidR="00405225" w:rsidRPr="0082254E">
        <w:rPr>
          <w:lang w:val="en-GB"/>
        </w:rPr>
        <w:t xml:space="preserve">the </w:t>
      </w:r>
      <w:r w:rsidR="001B48E7" w:rsidRPr="0082254E">
        <w:rPr>
          <w:lang w:val="en-GB"/>
        </w:rPr>
        <w:t xml:space="preserve">dose </w:t>
      </w:r>
      <w:r w:rsidR="00405225" w:rsidRPr="0082254E">
        <w:rPr>
          <w:lang w:val="en-GB"/>
        </w:rPr>
        <w:t xml:space="preserve">may be reduced </w:t>
      </w:r>
      <w:r w:rsidR="00B54641" w:rsidRPr="0082254E">
        <w:rPr>
          <w:lang w:val="en-GB"/>
        </w:rPr>
        <w:t xml:space="preserve">for some people with hyperkalaemia </w:t>
      </w:r>
      <w:r w:rsidR="005C4BAE" w:rsidRPr="0082254E">
        <w:rPr>
          <w:lang w:val="en-GB"/>
        </w:rPr>
        <w:t>(see section</w:t>
      </w:r>
      <w:r w:rsidR="00343AEE" w:rsidRPr="0082254E">
        <w:rPr>
          <w:lang w:val="en-GB"/>
        </w:rPr>
        <w:t> </w:t>
      </w:r>
      <w:r w:rsidR="00BF5136">
        <w:rPr>
          <w:lang w:val="en-GB"/>
        </w:rPr>
        <w:fldChar w:fldCharType="begin"/>
      </w:r>
      <w:r w:rsidR="00BF5136">
        <w:rPr>
          <w:lang w:val="en-GB"/>
        </w:rPr>
        <w:instrText xml:space="preserve"> REF _Ref5617552 \r \h </w:instrText>
      </w:r>
      <w:r w:rsidR="00BF5136">
        <w:rPr>
          <w:lang w:val="en-GB"/>
        </w:rPr>
      </w:r>
      <w:r w:rsidR="00BF5136">
        <w:rPr>
          <w:lang w:val="en-GB"/>
        </w:rPr>
        <w:fldChar w:fldCharType="separate"/>
      </w:r>
      <w:r w:rsidR="00DA520D">
        <w:rPr>
          <w:lang w:val="en-GB"/>
        </w:rPr>
        <w:t>3.3</w:t>
      </w:r>
      <w:r w:rsidR="00BF5136">
        <w:rPr>
          <w:lang w:val="en-GB"/>
        </w:rPr>
        <w:fldChar w:fldCharType="end"/>
      </w:r>
      <w:r w:rsidR="005C4BAE" w:rsidRPr="0082254E">
        <w:rPr>
          <w:lang w:val="en-GB"/>
        </w:rPr>
        <w:t>)</w:t>
      </w:r>
      <w:r w:rsidR="00B54641">
        <w:rPr>
          <w:lang w:val="en-GB"/>
        </w:rPr>
        <w:t>. It also acknowledged</w:t>
      </w:r>
      <w:r w:rsidR="00405225" w:rsidRPr="0082254E">
        <w:rPr>
          <w:lang w:val="en-GB"/>
        </w:rPr>
        <w:t xml:space="preserve"> that</w:t>
      </w:r>
      <w:r w:rsidR="00B54641">
        <w:rPr>
          <w:lang w:val="en-GB"/>
        </w:rPr>
        <w:t>,</w:t>
      </w:r>
      <w:r w:rsidR="00B0704C">
        <w:rPr>
          <w:lang w:val="en-GB"/>
        </w:rPr>
        <w:t xml:space="preserve"> </w:t>
      </w:r>
      <w:r w:rsidR="001B48E7" w:rsidRPr="0082254E">
        <w:rPr>
          <w:lang w:val="en-GB"/>
        </w:rPr>
        <w:t xml:space="preserve">for </w:t>
      </w:r>
      <w:r w:rsidR="006277B5" w:rsidRPr="0082254E">
        <w:rPr>
          <w:lang w:val="en-GB"/>
        </w:rPr>
        <w:t xml:space="preserve">people </w:t>
      </w:r>
      <w:r w:rsidR="00405225" w:rsidRPr="0082254E">
        <w:rPr>
          <w:lang w:val="en-GB"/>
        </w:rPr>
        <w:t>on</w:t>
      </w:r>
      <w:r w:rsidR="005C4BAE" w:rsidRPr="0082254E">
        <w:rPr>
          <w:lang w:val="en-GB"/>
        </w:rPr>
        <w:t xml:space="preserve"> </w:t>
      </w:r>
      <w:r w:rsidR="001B48E7" w:rsidRPr="0082254E">
        <w:rPr>
          <w:lang w:val="en-GB"/>
        </w:rPr>
        <w:t xml:space="preserve">more than </w:t>
      </w:r>
      <w:r w:rsidR="007254AE" w:rsidRPr="0082254E">
        <w:rPr>
          <w:lang w:val="en-GB"/>
        </w:rPr>
        <w:t>1</w:t>
      </w:r>
      <w:r w:rsidR="00B54641">
        <w:rPr>
          <w:lang w:val="en-GB"/>
        </w:rPr>
        <w:t> </w:t>
      </w:r>
      <w:r w:rsidR="005C4BAE" w:rsidRPr="0082254E">
        <w:rPr>
          <w:lang w:val="en-GB"/>
        </w:rPr>
        <w:t>RAAS inhibitor</w:t>
      </w:r>
      <w:r w:rsidR="00B54641">
        <w:rPr>
          <w:lang w:val="en-GB"/>
        </w:rPr>
        <w:t>,</w:t>
      </w:r>
      <w:r w:rsidR="007254AE" w:rsidRPr="0082254E">
        <w:rPr>
          <w:lang w:val="en-GB"/>
        </w:rPr>
        <w:t xml:space="preserve"> it may not be necessary to stop more than</w:t>
      </w:r>
      <w:r w:rsidR="00B54641">
        <w:rPr>
          <w:lang w:val="en-GB"/>
        </w:rPr>
        <w:t> </w:t>
      </w:r>
      <w:r w:rsidR="007254AE" w:rsidRPr="0082254E">
        <w:rPr>
          <w:lang w:val="en-GB"/>
        </w:rPr>
        <w:t>1 to resolve hyperkalaemia</w:t>
      </w:r>
      <w:r w:rsidR="00512D4F" w:rsidRPr="0082254E">
        <w:rPr>
          <w:lang w:val="en-GB"/>
        </w:rPr>
        <w:t>.</w:t>
      </w:r>
      <w:r w:rsidRPr="0082254E">
        <w:rPr>
          <w:lang w:val="en-GB"/>
        </w:rPr>
        <w:t xml:space="preserve"> T</w:t>
      </w:r>
      <w:r w:rsidR="005C4BAE" w:rsidRPr="0082254E">
        <w:rPr>
          <w:lang w:val="en-GB"/>
        </w:rPr>
        <w:t xml:space="preserve">he committee concluded that the </w:t>
      </w:r>
      <w:r w:rsidR="00512D4F" w:rsidRPr="0082254E">
        <w:rPr>
          <w:lang w:val="en-GB"/>
        </w:rPr>
        <w:t xml:space="preserve">harms </w:t>
      </w:r>
      <w:r w:rsidR="005C4BAE" w:rsidRPr="0082254E">
        <w:rPr>
          <w:lang w:val="en-GB"/>
        </w:rPr>
        <w:t>and benefits of stopping RAAS</w:t>
      </w:r>
      <w:r w:rsidR="00D900B2" w:rsidRPr="0082254E">
        <w:rPr>
          <w:lang w:val="en-GB"/>
        </w:rPr>
        <w:t xml:space="preserve"> inhibitors</w:t>
      </w:r>
      <w:r w:rsidR="005C4BAE" w:rsidRPr="0082254E">
        <w:rPr>
          <w:lang w:val="en-GB"/>
        </w:rPr>
        <w:t xml:space="preserve"> </w:t>
      </w:r>
      <w:r w:rsidR="00512D4F" w:rsidRPr="0082254E">
        <w:rPr>
          <w:lang w:val="en-GB"/>
        </w:rPr>
        <w:t xml:space="preserve">because of </w:t>
      </w:r>
      <w:r w:rsidR="005C4BAE" w:rsidRPr="0082254E">
        <w:rPr>
          <w:lang w:val="en-GB"/>
        </w:rPr>
        <w:t>hyperkalaemia</w:t>
      </w:r>
      <w:r w:rsidRPr="0082254E">
        <w:rPr>
          <w:lang w:val="en-GB"/>
        </w:rPr>
        <w:t xml:space="preserve"> compared </w:t>
      </w:r>
      <w:r w:rsidR="00512D4F" w:rsidRPr="0082254E">
        <w:rPr>
          <w:lang w:val="en-GB"/>
        </w:rPr>
        <w:t xml:space="preserve">with </w:t>
      </w:r>
      <w:r w:rsidRPr="0082254E">
        <w:rPr>
          <w:lang w:val="en-GB"/>
        </w:rPr>
        <w:t xml:space="preserve">standard care </w:t>
      </w:r>
      <w:r w:rsidR="008362A4" w:rsidRPr="0082254E">
        <w:rPr>
          <w:lang w:val="en-GB"/>
        </w:rPr>
        <w:t xml:space="preserve">could be </w:t>
      </w:r>
      <w:r w:rsidR="005C4BAE" w:rsidRPr="0082254E">
        <w:rPr>
          <w:lang w:val="en-GB"/>
        </w:rPr>
        <w:t xml:space="preserve">affected </w:t>
      </w:r>
      <w:r w:rsidRPr="0082254E">
        <w:rPr>
          <w:lang w:val="en-GB"/>
        </w:rPr>
        <w:t>by</w:t>
      </w:r>
      <w:r w:rsidR="00512D4F" w:rsidRPr="0082254E">
        <w:rPr>
          <w:lang w:val="en-GB"/>
        </w:rPr>
        <w:t xml:space="preserve"> the</w:t>
      </w:r>
      <w:r w:rsidRPr="0082254E">
        <w:rPr>
          <w:lang w:val="en-GB"/>
        </w:rPr>
        <w:t>:</w:t>
      </w:r>
    </w:p>
    <w:p w14:paraId="19B48D9A" w14:textId="0B52B613" w:rsidR="00AD6F56" w:rsidRPr="0082254E" w:rsidRDefault="00AD6F56" w:rsidP="00AD6F56">
      <w:pPr>
        <w:pStyle w:val="Bulletindent1"/>
        <w:ind w:left="1134" w:firstLine="0"/>
        <w:rPr>
          <w:rStyle w:val="Bulletindent1Char"/>
          <w:lang w:val="en-GB"/>
        </w:rPr>
      </w:pPr>
      <w:r w:rsidRPr="0082254E">
        <w:rPr>
          <w:rStyle w:val="Bulletindent1Char"/>
          <w:lang w:val="en-GB"/>
        </w:rPr>
        <w:t>underlying condition</w:t>
      </w:r>
    </w:p>
    <w:p w14:paraId="3EA90990" w14:textId="77777777" w:rsidR="00AD6F56" w:rsidRPr="0082254E" w:rsidRDefault="00AD6F56" w:rsidP="00AD6F56">
      <w:pPr>
        <w:pStyle w:val="Bulletindent1"/>
        <w:ind w:left="1134" w:firstLine="0"/>
        <w:rPr>
          <w:rStyle w:val="Bulletindent1Char"/>
          <w:lang w:val="en-GB"/>
        </w:rPr>
      </w:pPr>
      <w:r w:rsidRPr="0082254E">
        <w:rPr>
          <w:rStyle w:val="Bulletindent1Char"/>
          <w:lang w:val="en-GB"/>
        </w:rPr>
        <w:t>type of RAAS inhibitor</w:t>
      </w:r>
    </w:p>
    <w:p w14:paraId="75E0B120" w14:textId="77777777" w:rsidR="00AD6F56" w:rsidRPr="0082254E" w:rsidRDefault="00AD6F56" w:rsidP="00AD6F56">
      <w:pPr>
        <w:pStyle w:val="Bulletindent1"/>
        <w:ind w:left="1134" w:firstLine="0"/>
        <w:rPr>
          <w:rStyle w:val="Bulletindent1Char"/>
          <w:lang w:val="en-GB"/>
        </w:rPr>
      </w:pPr>
      <w:r w:rsidRPr="0082254E">
        <w:rPr>
          <w:rStyle w:val="Bulletindent1Char"/>
          <w:lang w:val="en-GB"/>
        </w:rPr>
        <w:t>dose of RAAS inhibitor</w:t>
      </w:r>
    </w:p>
    <w:p w14:paraId="47F81455" w14:textId="7F1FA248" w:rsidR="00AD6F56" w:rsidRPr="0082254E" w:rsidRDefault="00AD6F56" w:rsidP="00AD6F56">
      <w:pPr>
        <w:pStyle w:val="Bulletindent1"/>
        <w:ind w:left="1134" w:firstLine="0"/>
        <w:rPr>
          <w:lang w:val="en-GB"/>
        </w:rPr>
      </w:pPr>
      <w:r w:rsidRPr="0082254E">
        <w:rPr>
          <w:lang w:val="en-GB"/>
        </w:rPr>
        <w:t>number of RAAS inhibitors</w:t>
      </w:r>
    </w:p>
    <w:p w14:paraId="1330D686" w14:textId="32E598CA" w:rsidR="00AD6F56" w:rsidRPr="0082254E" w:rsidRDefault="00AD6F56" w:rsidP="00987BB0">
      <w:pPr>
        <w:pStyle w:val="Bulletindent1last"/>
      </w:pPr>
      <w:r w:rsidRPr="0082254E">
        <w:lastRenderedPageBreak/>
        <w:t xml:space="preserve">reason for stopping </w:t>
      </w:r>
      <w:r w:rsidR="00B54641">
        <w:t xml:space="preserve">a </w:t>
      </w:r>
      <w:r w:rsidRPr="0082254E">
        <w:t>RAAS inhibitor</w:t>
      </w:r>
      <w:r w:rsidR="00512D4F" w:rsidRPr="0082254E">
        <w:t>.</w:t>
      </w:r>
      <w:r w:rsidR="006F076E">
        <w:br/>
      </w:r>
      <w:r w:rsidR="006F076E">
        <w:br/>
      </w:r>
      <w:r w:rsidR="005C4BAE" w:rsidRPr="0082254E">
        <w:t>It further concluded that t</w:t>
      </w:r>
      <w:r w:rsidR="002B74CC" w:rsidRPr="0082254E">
        <w:t>he long</w:t>
      </w:r>
      <w:r w:rsidR="00512D4F" w:rsidRPr="0082254E">
        <w:t>-</w:t>
      </w:r>
      <w:r w:rsidR="002B74CC" w:rsidRPr="0082254E">
        <w:t>term benefit of continuing</w:t>
      </w:r>
      <w:r w:rsidR="005C4BAE" w:rsidRPr="0082254E">
        <w:t xml:space="preserve"> RAAS inhibitors on quality of life and survival in people with hyperkalaemia may vary</w:t>
      </w:r>
      <w:r w:rsidR="00512D4F" w:rsidRPr="0082254E">
        <w:t>,</w:t>
      </w:r>
      <w:r w:rsidR="005C4BAE" w:rsidRPr="0082254E">
        <w:t xml:space="preserve"> and </w:t>
      </w:r>
      <w:r w:rsidR="00512D4F" w:rsidRPr="0082254E">
        <w:t xml:space="preserve">that </w:t>
      </w:r>
      <w:r w:rsidR="005C4BAE" w:rsidRPr="0082254E">
        <w:t xml:space="preserve">the balance of </w:t>
      </w:r>
      <w:r w:rsidR="00EF4549" w:rsidRPr="0082254E">
        <w:t>benefits</w:t>
      </w:r>
      <w:r w:rsidR="00512D4F" w:rsidRPr="0082254E">
        <w:t xml:space="preserve"> and harms </w:t>
      </w:r>
      <w:r w:rsidR="00E859D7" w:rsidRPr="0082254E">
        <w:t xml:space="preserve">should be </w:t>
      </w:r>
      <w:r w:rsidR="0082254E" w:rsidRPr="0082254E">
        <w:t>considered</w:t>
      </w:r>
      <w:r w:rsidR="00E859D7" w:rsidRPr="0082254E">
        <w:t xml:space="preserve"> in its decision</w:t>
      </w:r>
      <w:r w:rsidR="0082254E">
        <w:t xml:space="preserve"> </w:t>
      </w:r>
      <w:r w:rsidR="00E859D7" w:rsidRPr="0082254E">
        <w:t>making.</w:t>
      </w:r>
    </w:p>
    <w:p w14:paraId="2F16F040" w14:textId="51E34520" w:rsidR="00B765F0" w:rsidRPr="0082254E" w:rsidRDefault="0041230C" w:rsidP="00B5110D">
      <w:pPr>
        <w:pStyle w:val="Heading3"/>
      </w:pPr>
      <w:r w:rsidRPr="0082254E">
        <w:t>Sodium zirconium cyclosilicate is unlikely to replace a low-potassium diet</w:t>
      </w:r>
    </w:p>
    <w:p w14:paraId="706EF8CE" w14:textId="3C609F36" w:rsidR="00393125" w:rsidRPr="0082254E" w:rsidRDefault="00B765F0" w:rsidP="00AC48C6">
      <w:pPr>
        <w:pStyle w:val="Numberedlevel2text"/>
        <w:rPr>
          <w:lang w:val="en-GB"/>
        </w:rPr>
      </w:pPr>
      <w:bookmarkStart w:id="5" w:name="_Ref5617841"/>
      <w:r w:rsidRPr="0082254E">
        <w:rPr>
          <w:lang w:val="en-GB"/>
        </w:rPr>
        <w:t>The p</w:t>
      </w:r>
      <w:r w:rsidR="00E42BFA" w:rsidRPr="0082254E">
        <w:rPr>
          <w:lang w:val="en-GB"/>
        </w:rPr>
        <w:t>atient expert</w:t>
      </w:r>
      <w:r w:rsidRPr="0082254E">
        <w:rPr>
          <w:lang w:val="en-GB"/>
        </w:rPr>
        <w:t>s</w:t>
      </w:r>
      <w:r w:rsidR="00E42BFA" w:rsidRPr="0082254E">
        <w:rPr>
          <w:lang w:val="en-GB"/>
        </w:rPr>
        <w:t xml:space="preserve"> noted that </w:t>
      </w:r>
      <w:r w:rsidR="00F30CE1">
        <w:rPr>
          <w:lang w:val="en-GB"/>
        </w:rPr>
        <w:t>maintaining</w:t>
      </w:r>
      <w:r w:rsidR="001B48E7" w:rsidRPr="0082254E">
        <w:rPr>
          <w:lang w:val="en-GB"/>
        </w:rPr>
        <w:t xml:space="preserve"> </w:t>
      </w:r>
      <w:r w:rsidR="004F1B76" w:rsidRPr="0082254E">
        <w:rPr>
          <w:lang w:val="en-GB"/>
        </w:rPr>
        <w:t xml:space="preserve">a </w:t>
      </w:r>
      <w:r w:rsidR="00301008" w:rsidRPr="0082254E">
        <w:rPr>
          <w:lang w:val="en-GB"/>
        </w:rPr>
        <w:t>low-</w:t>
      </w:r>
      <w:r w:rsidR="004F1B76" w:rsidRPr="0082254E">
        <w:rPr>
          <w:lang w:val="en-GB"/>
        </w:rPr>
        <w:t xml:space="preserve">potassium </w:t>
      </w:r>
      <w:r w:rsidR="00E42BFA" w:rsidRPr="0082254E">
        <w:rPr>
          <w:lang w:val="en-GB"/>
        </w:rPr>
        <w:t>diet</w:t>
      </w:r>
      <w:r w:rsidR="007254AE" w:rsidRPr="0082254E">
        <w:rPr>
          <w:lang w:val="en-GB"/>
        </w:rPr>
        <w:t xml:space="preserve"> is challenging</w:t>
      </w:r>
      <w:r w:rsidR="00E42BFA" w:rsidRPr="0082254E">
        <w:rPr>
          <w:lang w:val="en-GB"/>
        </w:rPr>
        <w:t xml:space="preserve"> </w:t>
      </w:r>
      <w:r w:rsidR="00FC085C" w:rsidRPr="0082254E">
        <w:rPr>
          <w:lang w:val="en-GB"/>
        </w:rPr>
        <w:t xml:space="preserve">because </w:t>
      </w:r>
      <w:r w:rsidR="008727CF" w:rsidRPr="0082254E">
        <w:rPr>
          <w:lang w:val="en-GB"/>
        </w:rPr>
        <w:t xml:space="preserve">so </w:t>
      </w:r>
      <w:r w:rsidR="00FC085C" w:rsidRPr="0082254E">
        <w:rPr>
          <w:lang w:val="en-GB"/>
        </w:rPr>
        <w:t>many foods contain potassium</w:t>
      </w:r>
      <w:r w:rsidR="00301008" w:rsidRPr="0082254E">
        <w:rPr>
          <w:lang w:val="en-GB"/>
        </w:rPr>
        <w:t>.</w:t>
      </w:r>
      <w:r w:rsidR="00E42BFA" w:rsidRPr="0082254E">
        <w:rPr>
          <w:lang w:val="en-GB"/>
        </w:rPr>
        <w:t xml:space="preserve"> </w:t>
      </w:r>
      <w:r w:rsidR="00053E00" w:rsidRPr="0082254E">
        <w:rPr>
          <w:lang w:val="en-GB"/>
        </w:rPr>
        <w:t>The</w:t>
      </w:r>
      <w:r w:rsidR="001B48E7" w:rsidRPr="0082254E">
        <w:rPr>
          <w:lang w:val="en-GB"/>
        </w:rPr>
        <w:t xml:space="preserve"> </w:t>
      </w:r>
      <w:r w:rsidR="00E42BFA" w:rsidRPr="0082254E">
        <w:rPr>
          <w:lang w:val="en-GB"/>
        </w:rPr>
        <w:t>clinical expert</w:t>
      </w:r>
      <w:r w:rsidR="00053E00" w:rsidRPr="0082254E">
        <w:rPr>
          <w:lang w:val="en-GB"/>
        </w:rPr>
        <w:t>s</w:t>
      </w:r>
      <w:r w:rsidR="00267122" w:rsidRPr="0082254E">
        <w:rPr>
          <w:lang w:val="en-GB"/>
        </w:rPr>
        <w:t xml:space="preserve"> </w:t>
      </w:r>
      <w:r w:rsidR="00393125" w:rsidRPr="0082254E">
        <w:rPr>
          <w:lang w:val="en-GB"/>
        </w:rPr>
        <w:t xml:space="preserve">explained that </w:t>
      </w:r>
      <w:r w:rsidR="00053E00" w:rsidRPr="0082254E">
        <w:rPr>
          <w:lang w:val="en-GB"/>
        </w:rPr>
        <w:t>they</w:t>
      </w:r>
      <w:r w:rsidR="00BE59B4" w:rsidRPr="0082254E">
        <w:rPr>
          <w:lang w:val="en-GB"/>
        </w:rPr>
        <w:t xml:space="preserve"> consider the </w:t>
      </w:r>
      <w:r w:rsidR="00E42BFA" w:rsidRPr="0082254E">
        <w:rPr>
          <w:lang w:val="en-GB"/>
        </w:rPr>
        <w:t>di</w:t>
      </w:r>
      <w:r w:rsidR="00FC085C" w:rsidRPr="0082254E">
        <w:rPr>
          <w:lang w:val="en-GB"/>
        </w:rPr>
        <w:t>et worth t</w:t>
      </w:r>
      <w:r w:rsidR="00E42BFA" w:rsidRPr="0082254E">
        <w:rPr>
          <w:lang w:val="en-GB"/>
        </w:rPr>
        <w:t>ry</w:t>
      </w:r>
      <w:r w:rsidR="00FC085C" w:rsidRPr="0082254E">
        <w:rPr>
          <w:lang w:val="en-GB"/>
        </w:rPr>
        <w:t>ing</w:t>
      </w:r>
      <w:r w:rsidR="00F57A9F" w:rsidRPr="0082254E">
        <w:rPr>
          <w:lang w:val="en-GB"/>
        </w:rPr>
        <w:t>,</w:t>
      </w:r>
      <w:r w:rsidR="001B1180" w:rsidRPr="0082254E">
        <w:rPr>
          <w:lang w:val="en-GB"/>
        </w:rPr>
        <w:t xml:space="preserve"> </w:t>
      </w:r>
      <w:r w:rsidR="00053E00" w:rsidRPr="0082254E">
        <w:rPr>
          <w:lang w:val="en-GB"/>
        </w:rPr>
        <w:t>that</w:t>
      </w:r>
      <w:r w:rsidR="00F57A9F" w:rsidRPr="0082254E">
        <w:rPr>
          <w:lang w:val="en-GB"/>
        </w:rPr>
        <w:t xml:space="preserve"> it</w:t>
      </w:r>
      <w:r w:rsidR="00D11538" w:rsidRPr="0082254E">
        <w:rPr>
          <w:lang w:val="en-GB"/>
        </w:rPr>
        <w:t xml:space="preserve"> </w:t>
      </w:r>
      <w:r w:rsidR="00862B84" w:rsidRPr="0082254E">
        <w:rPr>
          <w:lang w:val="en-GB"/>
        </w:rPr>
        <w:t>is recommend</w:t>
      </w:r>
      <w:r w:rsidR="00393125" w:rsidRPr="0082254E">
        <w:rPr>
          <w:lang w:val="en-GB"/>
        </w:rPr>
        <w:t>ed by NICE</w:t>
      </w:r>
      <w:r w:rsidR="00F57A9F" w:rsidRPr="0082254E">
        <w:rPr>
          <w:lang w:val="en-GB"/>
        </w:rPr>
        <w:t xml:space="preserve">, and that it </w:t>
      </w:r>
      <w:r w:rsidR="00862B84" w:rsidRPr="0082254E">
        <w:rPr>
          <w:lang w:val="en-GB"/>
        </w:rPr>
        <w:t>lower</w:t>
      </w:r>
      <w:r w:rsidR="00512D4F" w:rsidRPr="0082254E">
        <w:rPr>
          <w:lang w:val="en-GB"/>
        </w:rPr>
        <w:t>s</w:t>
      </w:r>
      <w:r w:rsidR="00862B84" w:rsidRPr="0082254E">
        <w:rPr>
          <w:lang w:val="en-GB"/>
        </w:rPr>
        <w:t xml:space="preserve"> </w:t>
      </w:r>
      <w:r w:rsidR="007C668E" w:rsidRPr="0082254E">
        <w:rPr>
          <w:lang w:val="en-GB"/>
        </w:rPr>
        <w:t xml:space="preserve">serum </w:t>
      </w:r>
      <w:r w:rsidR="00862B84" w:rsidRPr="0082254E">
        <w:rPr>
          <w:lang w:val="en-GB"/>
        </w:rPr>
        <w:t xml:space="preserve">potassium compared with </w:t>
      </w:r>
      <w:r w:rsidR="00512D4F" w:rsidRPr="0082254E">
        <w:rPr>
          <w:lang w:val="en-GB"/>
        </w:rPr>
        <w:t xml:space="preserve">an </w:t>
      </w:r>
      <w:r w:rsidR="00862B84" w:rsidRPr="0082254E">
        <w:rPr>
          <w:lang w:val="en-GB"/>
        </w:rPr>
        <w:t>unrestricted</w:t>
      </w:r>
      <w:r w:rsidR="00267122" w:rsidRPr="0082254E">
        <w:rPr>
          <w:lang w:val="en-GB"/>
        </w:rPr>
        <w:t xml:space="preserve"> diet</w:t>
      </w:r>
      <w:r w:rsidR="000E3ACE" w:rsidRPr="0082254E">
        <w:rPr>
          <w:lang w:val="en-GB"/>
        </w:rPr>
        <w:t>.</w:t>
      </w:r>
      <w:r w:rsidR="00267122" w:rsidRPr="0082254E">
        <w:rPr>
          <w:lang w:val="en-GB"/>
        </w:rPr>
        <w:t xml:space="preserve"> The</w:t>
      </w:r>
      <w:r w:rsidR="00B0704C">
        <w:rPr>
          <w:lang w:val="en-GB"/>
        </w:rPr>
        <w:t>y</w:t>
      </w:r>
      <w:r w:rsidR="00267122" w:rsidRPr="0082254E">
        <w:rPr>
          <w:lang w:val="en-GB"/>
        </w:rPr>
        <w:t xml:space="preserve"> added that a new</w:t>
      </w:r>
      <w:r w:rsidR="001B1180" w:rsidRPr="0082254E">
        <w:rPr>
          <w:lang w:val="en-GB"/>
        </w:rPr>
        <w:t xml:space="preserve"> </w:t>
      </w:r>
      <w:r w:rsidR="00267122" w:rsidRPr="0082254E">
        <w:rPr>
          <w:lang w:val="en-GB"/>
        </w:rPr>
        <w:t xml:space="preserve">treatment option </w:t>
      </w:r>
      <w:r w:rsidR="00512D4F" w:rsidRPr="0082254E">
        <w:rPr>
          <w:lang w:val="en-GB"/>
        </w:rPr>
        <w:t xml:space="preserve">would not replace dietary advice but </w:t>
      </w:r>
      <w:r w:rsidR="00BE59B4" w:rsidRPr="0082254E">
        <w:rPr>
          <w:lang w:val="en-GB"/>
        </w:rPr>
        <w:t>complement</w:t>
      </w:r>
      <w:r w:rsidR="00512D4F" w:rsidRPr="0082254E">
        <w:rPr>
          <w:lang w:val="en-GB"/>
        </w:rPr>
        <w:t xml:space="preserve"> it</w:t>
      </w:r>
      <w:r w:rsidR="00E92BDC" w:rsidRPr="0082254E">
        <w:rPr>
          <w:lang w:val="en-GB"/>
        </w:rPr>
        <w:t xml:space="preserve">, </w:t>
      </w:r>
      <w:r w:rsidR="00512D4F" w:rsidRPr="0082254E">
        <w:rPr>
          <w:lang w:val="en-GB"/>
        </w:rPr>
        <w:t>an</w:t>
      </w:r>
      <w:r w:rsidR="00E92BDC" w:rsidRPr="0082254E">
        <w:rPr>
          <w:lang w:val="en-GB"/>
        </w:rPr>
        <w:t>d</w:t>
      </w:r>
      <w:r w:rsidR="00267122" w:rsidRPr="0082254E">
        <w:rPr>
          <w:lang w:val="en-GB"/>
        </w:rPr>
        <w:t xml:space="preserve"> may mean that </w:t>
      </w:r>
      <w:r w:rsidR="001841EA" w:rsidRPr="0082254E">
        <w:rPr>
          <w:lang w:val="en-GB"/>
        </w:rPr>
        <w:t xml:space="preserve">the </w:t>
      </w:r>
      <w:r w:rsidR="00267122" w:rsidRPr="0082254E">
        <w:rPr>
          <w:lang w:val="en-GB"/>
        </w:rPr>
        <w:t xml:space="preserve">diet </w:t>
      </w:r>
      <w:r w:rsidR="00BE59B4" w:rsidRPr="0082254E">
        <w:rPr>
          <w:lang w:val="en-GB"/>
        </w:rPr>
        <w:t xml:space="preserve">need </w:t>
      </w:r>
      <w:r w:rsidR="00267122" w:rsidRPr="0082254E">
        <w:rPr>
          <w:lang w:val="en-GB"/>
        </w:rPr>
        <w:t>not be so strict.</w:t>
      </w:r>
      <w:r w:rsidR="000E3ACE" w:rsidRPr="0082254E">
        <w:rPr>
          <w:lang w:val="en-GB"/>
        </w:rPr>
        <w:t xml:space="preserve"> </w:t>
      </w:r>
      <w:r w:rsidR="007C668E" w:rsidRPr="0082254E">
        <w:rPr>
          <w:lang w:val="en-GB"/>
        </w:rPr>
        <w:t xml:space="preserve">The committee </w:t>
      </w:r>
      <w:r w:rsidR="002679D2" w:rsidRPr="0082254E">
        <w:rPr>
          <w:lang w:val="en-GB"/>
        </w:rPr>
        <w:t>concluded</w:t>
      </w:r>
      <w:r w:rsidR="00D11538" w:rsidRPr="0082254E">
        <w:rPr>
          <w:lang w:val="en-GB"/>
        </w:rPr>
        <w:t xml:space="preserve"> </w:t>
      </w:r>
      <w:r w:rsidR="00293C05" w:rsidRPr="0082254E">
        <w:rPr>
          <w:lang w:val="en-GB"/>
        </w:rPr>
        <w:t>that</w:t>
      </w:r>
      <w:r w:rsidR="00BE59B4" w:rsidRPr="0082254E">
        <w:rPr>
          <w:lang w:val="en-GB"/>
        </w:rPr>
        <w:t xml:space="preserve"> </w:t>
      </w:r>
      <w:r w:rsidR="002679D2" w:rsidRPr="0082254E">
        <w:rPr>
          <w:lang w:val="en-GB"/>
        </w:rPr>
        <w:t xml:space="preserve">sodium zirconium cyclosilicate </w:t>
      </w:r>
      <w:r w:rsidR="000978BE" w:rsidRPr="0082254E">
        <w:rPr>
          <w:lang w:val="en-GB"/>
        </w:rPr>
        <w:t xml:space="preserve">is </w:t>
      </w:r>
      <w:r w:rsidR="002679D2" w:rsidRPr="0082254E">
        <w:rPr>
          <w:lang w:val="en-GB"/>
        </w:rPr>
        <w:t xml:space="preserve">unlikely to replace a </w:t>
      </w:r>
      <w:r w:rsidR="00EA685A" w:rsidRPr="0082254E">
        <w:rPr>
          <w:lang w:val="en-GB"/>
        </w:rPr>
        <w:t>low-</w:t>
      </w:r>
      <w:r w:rsidR="000A56BD" w:rsidRPr="0082254E">
        <w:rPr>
          <w:lang w:val="en-GB"/>
        </w:rPr>
        <w:t>potassium</w:t>
      </w:r>
      <w:r w:rsidR="002679D2" w:rsidRPr="0082254E">
        <w:rPr>
          <w:lang w:val="en-GB"/>
        </w:rPr>
        <w:t xml:space="preserve"> diet</w:t>
      </w:r>
      <w:r w:rsidR="00E450A7" w:rsidRPr="0082254E">
        <w:rPr>
          <w:lang w:val="en-GB"/>
        </w:rPr>
        <w:t>.</w:t>
      </w:r>
      <w:bookmarkEnd w:id="5"/>
    </w:p>
    <w:p w14:paraId="0D90F6C6" w14:textId="0D57BCE2" w:rsidR="00B765F0" w:rsidRPr="0082254E" w:rsidRDefault="00B765F0" w:rsidP="00B765F0">
      <w:pPr>
        <w:pStyle w:val="Heading2"/>
      </w:pPr>
      <w:r w:rsidRPr="0082254E">
        <w:t>Company positioning of sodium zirconium cyclosilicate</w:t>
      </w:r>
    </w:p>
    <w:p w14:paraId="79F5F15B" w14:textId="5FCDCE07" w:rsidR="00B765F0" w:rsidRPr="0082254E" w:rsidRDefault="00862B84" w:rsidP="00B765F0">
      <w:pPr>
        <w:pStyle w:val="Heading3"/>
      </w:pPr>
      <w:r w:rsidRPr="0082254E">
        <w:t xml:space="preserve">The company </w:t>
      </w:r>
      <w:r w:rsidR="00146510" w:rsidRPr="0082254E">
        <w:t>proposes</w:t>
      </w:r>
      <w:r w:rsidRPr="0082254E">
        <w:t xml:space="preserve"> u</w:t>
      </w:r>
      <w:r w:rsidR="009F166F" w:rsidRPr="0082254E">
        <w:t>sing sodium zirconium cyclosilicate</w:t>
      </w:r>
      <w:r w:rsidR="003E2F90" w:rsidRPr="0082254E">
        <w:t xml:space="preserve"> in </w:t>
      </w:r>
      <w:r w:rsidRPr="0082254E">
        <w:t>a population</w:t>
      </w:r>
      <w:r w:rsidR="009F166F" w:rsidRPr="0082254E">
        <w:t xml:space="preserve"> narrower than </w:t>
      </w:r>
      <w:r w:rsidR="00D45259" w:rsidRPr="0082254E">
        <w:t xml:space="preserve">that in </w:t>
      </w:r>
      <w:r w:rsidR="009F166F" w:rsidRPr="0082254E">
        <w:t>the marketing authorisation</w:t>
      </w:r>
    </w:p>
    <w:p w14:paraId="6C84BE32" w14:textId="5B868112" w:rsidR="003E2F90" w:rsidRPr="0082254E" w:rsidRDefault="008478A0" w:rsidP="00831192">
      <w:pPr>
        <w:pStyle w:val="Numberedlevel2text"/>
        <w:rPr>
          <w:lang w:val="en-GB"/>
        </w:rPr>
      </w:pPr>
      <w:r w:rsidRPr="0082254E">
        <w:rPr>
          <w:lang w:val="en-GB"/>
        </w:rPr>
        <w:t>The marketing authorisation</w:t>
      </w:r>
      <w:r w:rsidR="007C4E71" w:rsidRPr="0082254E">
        <w:rPr>
          <w:lang w:val="en-GB"/>
        </w:rPr>
        <w:t xml:space="preserve"> indication for sodium zirconium cyclosilicate</w:t>
      </w:r>
      <w:r w:rsidRPr="0082254E">
        <w:rPr>
          <w:lang w:val="en-GB"/>
        </w:rPr>
        <w:t xml:space="preserve"> specifies ‘</w:t>
      </w:r>
      <w:r w:rsidR="007C4E71" w:rsidRPr="0082254E">
        <w:rPr>
          <w:lang w:val="en-GB"/>
        </w:rPr>
        <w:t xml:space="preserve">treatment for </w:t>
      </w:r>
      <w:r w:rsidRPr="0082254E">
        <w:rPr>
          <w:lang w:val="en-GB"/>
        </w:rPr>
        <w:t>hyperkalaemia’</w:t>
      </w:r>
      <w:r w:rsidR="00B0704C">
        <w:rPr>
          <w:lang w:val="en-GB"/>
        </w:rPr>
        <w:t>. It</w:t>
      </w:r>
      <w:r w:rsidRPr="0082254E">
        <w:rPr>
          <w:lang w:val="en-GB"/>
        </w:rPr>
        <w:t xml:space="preserve"> was based on the trials presented</w:t>
      </w:r>
      <w:r w:rsidR="001B1180" w:rsidRPr="0082254E">
        <w:rPr>
          <w:lang w:val="en-GB"/>
        </w:rPr>
        <w:t xml:space="preserve"> </w:t>
      </w:r>
      <w:r w:rsidRPr="0082254E">
        <w:rPr>
          <w:lang w:val="en-GB"/>
        </w:rPr>
        <w:t xml:space="preserve">by the company in which people with serum potassium </w:t>
      </w:r>
      <w:r w:rsidR="008E721D">
        <w:rPr>
          <w:lang w:val="en-GB"/>
        </w:rPr>
        <w:t>levels</w:t>
      </w:r>
      <w:r w:rsidR="008E721D" w:rsidRPr="0082254E">
        <w:rPr>
          <w:lang w:val="en-GB"/>
        </w:rPr>
        <w:t xml:space="preserve"> </w:t>
      </w:r>
      <w:r w:rsidR="00B0704C">
        <w:rPr>
          <w:lang w:val="en-GB"/>
        </w:rPr>
        <w:t>above</w:t>
      </w:r>
      <w:r w:rsidR="00B0704C" w:rsidRPr="0082254E">
        <w:rPr>
          <w:lang w:val="en-GB"/>
        </w:rPr>
        <w:t xml:space="preserve"> </w:t>
      </w:r>
      <w:r w:rsidRPr="0082254E">
        <w:rPr>
          <w:lang w:val="en-GB"/>
        </w:rPr>
        <w:t>5.0</w:t>
      </w:r>
      <w:r w:rsidR="00B0704C">
        <w:rPr>
          <w:lang w:val="en-GB"/>
        </w:rPr>
        <w:t> </w:t>
      </w:r>
      <w:r w:rsidRPr="0082254E">
        <w:rPr>
          <w:lang w:val="en-GB"/>
        </w:rPr>
        <w:t xml:space="preserve">mmol/litre were recruited and </w:t>
      </w:r>
      <w:r w:rsidR="0036294D">
        <w:rPr>
          <w:lang w:val="en-GB"/>
        </w:rPr>
        <w:t>had treatment</w:t>
      </w:r>
      <w:r w:rsidR="0036294D" w:rsidRPr="0082254E">
        <w:rPr>
          <w:lang w:val="en-GB"/>
        </w:rPr>
        <w:t xml:space="preserve"> </w:t>
      </w:r>
      <w:r w:rsidRPr="0082254E">
        <w:rPr>
          <w:lang w:val="en-GB"/>
        </w:rPr>
        <w:t>(see section</w:t>
      </w:r>
      <w:r w:rsidR="005A286D">
        <w:rPr>
          <w:lang w:val="en-GB"/>
        </w:rPr>
        <w:t> </w:t>
      </w:r>
      <w:r w:rsidR="00F87E97">
        <w:rPr>
          <w:lang w:val="en-GB"/>
        </w:rPr>
        <w:fldChar w:fldCharType="begin"/>
      </w:r>
      <w:r w:rsidR="00F87E97">
        <w:rPr>
          <w:lang w:val="en-GB"/>
        </w:rPr>
        <w:instrText xml:space="preserve"> REF _Ref5617748 \r \h </w:instrText>
      </w:r>
      <w:r w:rsidR="00F87E97">
        <w:rPr>
          <w:lang w:val="en-GB"/>
        </w:rPr>
      </w:r>
      <w:r w:rsidR="00F87E97">
        <w:rPr>
          <w:lang w:val="en-GB"/>
        </w:rPr>
        <w:fldChar w:fldCharType="separate"/>
      </w:r>
      <w:r w:rsidR="00DA520D">
        <w:rPr>
          <w:lang w:val="en-GB"/>
        </w:rPr>
        <w:t>3.8</w:t>
      </w:r>
      <w:r w:rsidR="00F87E97">
        <w:rPr>
          <w:lang w:val="en-GB"/>
        </w:rPr>
        <w:fldChar w:fldCharType="end"/>
      </w:r>
      <w:r w:rsidRPr="0082254E">
        <w:rPr>
          <w:lang w:val="en-GB"/>
        </w:rPr>
        <w:t>)</w:t>
      </w:r>
      <w:r w:rsidR="007C4E71" w:rsidRPr="0082254E">
        <w:rPr>
          <w:lang w:val="en-GB"/>
        </w:rPr>
        <w:t>.</w:t>
      </w:r>
      <w:r w:rsidRPr="0082254E">
        <w:rPr>
          <w:lang w:val="en-GB"/>
        </w:rPr>
        <w:t xml:space="preserve"> </w:t>
      </w:r>
      <w:r w:rsidR="003151D9" w:rsidRPr="0082254E">
        <w:rPr>
          <w:lang w:val="en-GB"/>
        </w:rPr>
        <w:t>The company focus</w:t>
      </w:r>
      <w:r w:rsidR="00911A44" w:rsidRPr="0082254E">
        <w:rPr>
          <w:lang w:val="en-GB"/>
        </w:rPr>
        <w:t>ed</w:t>
      </w:r>
      <w:r w:rsidR="003151D9" w:rsidRPr="0082254E">
        <w:rPr>
          <w:lang w:val="en-GB"/>
        </w:rPr>
        <w:t xml:space="preserve"> its submission on people with chronic kidney disease (stages</w:t>
      </w:r>
      <w:r w:rsidR="006F25B1" w:rsidRPr="0082254E">
        <w:rPr>
          <w:lang w:val="en-GB"/>
        </w:rPr>
        <w:t> </w:t>
      </w:r>
      <w:r w:rsidR="003151D9" w:rsidRPr="0082254E">
        <w:rPr>
          <w:lang w:val="en-GB"/>
        </w:rPr>
        <w:t>3 to</w:t>
      </w:r>
      <w:r w:rsidR="006F25B1" w:rsidRPr="0082254E">
        <w:rPr>
          <w:lang w:val="en-GB"/>
        </w:rPr>
        <w:t> </w:t>
      </w:r>
      <w:r w:rsidR="003151D9" w:rsidRPr="0082254E">
        <w:rPr>
          <w:lang w:val="en-GB"/>
        </w:rPr>
        <w:t>5</w:t>
      </w:r>
      <w:r w:rsidR="00427E16" w:rsidRPr="0082254E">
        <w:rPr>
          <w:lang w:val="en-GB"/>
        </w:rPr>
        <w:t>,</w:t>
      </w:r>
      <w:r w:rsidR="000A331F" w:rsidRPr="0082254E">
        <w:rPr>
          <w:lang w:val="en-GB"/>
        </w:rPr>
        <w:t xml:space="preserve"> excluding those on dialysis</w:t>
      </w:r>
      <w:r w:rsidR="003151D9" w:rsidRPr="0082254E">
        <w:rPr>
          <w:lang w:val="en-GB"/>
        </w:rPr>
        <w:t>)</w:t>
      </w:r>
      <w:r w:rsidR="00614114">
        <w:rPr>
          <w:lang w:val="en-GB"/>
        </w:rPr>
        <w:t xml:space="preserve"> or</w:t>
      </w:r>
      <w:r w:rsidRPr="0082254E">
        <w:rPr>
          <w:lang w:val="en-GB"/>
        </w:rPr>
        <w:t xml:space="preserve"> </w:t>
      </w:r>
      <w:r w:rsidR="003151D9" w:rsidRPr="0082254E">
        <w:rPr>
          <w:lang w:val="en-GB"/>
        </w:rPr>
        <w:t>heart failure</w:t>
      </w:r>
      <w:r w:rsidR="00E64AB8">
        <w:rPr>
          <w:lang w:val="en-GB"/>
        </w:rPr>
        <w:t>.</w:t>
      </w:r>
      <w:r w:rsidR="00E450A7" w:rsidRPr="0082254E">
        <w:rPr>
          <w:lang w:val="en-GB"/>
        </w:rPr>
        <w:t xml:space="preserve"> </w:t>
      </w:r>
      <w:r w:rsidR="004433A1" w:rsidRPr="0082254E">
        <w:rPr>
          <w:lang w:val="en-GB"/>
        </w:rPr>
        <w:t xml:space="preserve">The committee was aware that </w:t>
      </w:r>
      <w:r w:rsidR="00E64AB8">
        <w:rPr>
          <w:lang w:val="en-GB"/>
        </w:rPr>
        <w:t>some people in the trial may have had both chronic kidney disease and heart failure</w:t>
      </w:r>
      <w:r w:rsidR="004433A1" w:rsidRPr="0082254E">
        <w:rPr>
          <w:lang w:val="en-GB"/>
        </w:rPr>
        <w:t>.</w:t>
      </w:r>
      <w:r w:rsidR="001B1180" w:rsidRPr="0082254E">
        <w:rPr>
          <w:lang w:val="en-GB"/>
        </w:rPr>
        <w:t xml:space="preserve"> </w:t>
      </w:r>
      <w:r w:rsidR="007C4E71" w:rsidRPr="0082254E">
        <w:rPr>
          <w:lang w:val="en-GB"/>
        </w:rPr>
        <w:t>It</w:t>
      </w:r>
      <w:r w:rsidR="000A331F" w:rsidRPr="0082254E">
        <w:rPr>
          <w:lang w:val="en-GB"/>
        </w:rPr>
        <w:t xml:space="preserve"> noted that </w:t>
      </w:r>
      <w:r w:rsidR="00E450A7" w:rsidRPr="0082254E">
        <w:rPr>
          <w:lang w:val="en-GB"/>
        </w:rPr>
        <w:t>the population in the company</w:t>
      </w:r>
      <w:r w:rsidR="00064814" w:rsidRPr="0082254E">
        <w:rPr>
          <w:lang w:val="en-GB"/>
        </w:rPr>
        <w:t>’s submission</w:t>
      </w:r>
      <w:r w:rsidR="001841EA" w:rsidRPr="0082254E">
        <w:rPr>
          <w:lang w:val="en-GB"/>
        </w:rPr>
        <w:t xml:space="preserve"> is narrower than the marketing authorisation because</w:t>
      </w:r>
      <w:r w:rsidR="007C4E71" w:rsidRPr="0082254E">
        <w:rPr>
          <w:lang w:val="en-GB"/>
        </w:rPr>
        <w:t xml:space="preserve"> the marketing authorisation also</w:t>
      </w:r>
      <w:r w:rsidR="004433A1" w:rsidRPr="0082254E">
        <w:rPr>
          <w:lang w:val="en-GB"/>
        </w:rPr>
        <w:t xml:space="preserve"> includes </w:t>
      </w:r>
      <w:r w:rsidR="001841EA" w:rsidRPr="0082254E">
        <w:rPr>
          <w:lang w:val="en-GB"/>
        </w:rPr>
        <w:t xml:space="preserve">people with other conditions </w:t>
      </w:r>
      <w:r w:rsidR="004433A1" w:rsidRPr="0082254E">
        <w:rPr>
          <w:lang w:val="en-GB"/>
        </w:rPr>
        <w:t xml:space="preserve">and </w:t>
      </w:r>
      <w:r w:rsidR="007C4E71" w:rsidRPr="0082254E">
        <w:rPr>
          <w:lang w:val="en-GB"/>
        </w:rPr>
        <w:t>milder</w:t>
      </w:r>
      <w:r w:rsidR="004433A1" w:rsidRPr="0082254E">
        <w:rPr>
          <w:lang w:val="en-GB"/>
        </w:rPr>
        <w:t xml:space="preserve"> hyperkalaemia</w:t>
      </w:r>
      <w:r w:rsidR="002679D2" w:rsidRPr="0082254E">
        <w:rPr>
          <w:lang w:val="en-GB"/>
        </w:rPr>
        <w:t xml:space="preserve"> (see section</w:t>
      </w:r>
      <w:r w:rsidR="00427E16" w:rsidRPr="0082254E">
        <w:rPr>
          <w:lang w:val="en-GB"/>
        </w:rPr>
        <w:t> </w:t>
      </w:r>
      <w:r w:rsidR="00F87E97">
        <w:rPr>
          <w:lang w:val="en-GB"/>
        </w:rPr>
        <w:fldChar w:fldCharType="begin"/>
      </w:r>
      <w:r w:rsidR="00F87E97">
        <w:rPr>
          <w:lang w:val="en-GB"/>
        </w:rPr>
        <w:instrText xml:space="preserve"> REF _Ref5617579 \r \h </w:instrText>
      </w:r>
      <w:r w:rsidR="00F87E97">
        <w:rPr>
          <w:lang w:val="en-GB"/>
        </w:rPr>
      </w:r>
      <w:r w:rsidR="00F87E97">
        <w:rPr>
          <w:lang w:val="en-GB"/>
        </w:rPr>
        <w:fldChar w:fldCharType="separate"/>
      </w:r>
      <w:r w:rsidR="00DA520D">
        <w:rPr>
          <w:lang w:val="en-GB"/>
        </w:rPr>
        <w:t>3.1</w:t>
      </w:r>
      <w:r w:rsidR="00F87E97">
        <w:rPr>
          <w:lang w:val="en-GB"/>
        </w:rPr>
        <w:fldChar w:fldCharType="end"/>
      </w:r>
      <w:r w:rsidR="002679D2" w:rsidRPr="0082254E">
        <w:rPr>
          <w:lang w:val="en-GB"/>
        </w:rPr>
        <w:t>)</w:t>
      </w:r>
      <w:r w:rsidR="002770B7" w:rsidRPr="0082254E">
        <w:rPr>
          <w:lang w:val="en-GB"/>
        </w:rPr>
        <w:t>.</w:t>
      </w:r>
      <w:r w:rsidR="001B1180" w:rsidRPr="0082254E">
        <w:rPr>
          <w:lang w:val="en-GB"/>
        </w:rPr>
        <w:t xml:space="preserve"> </w:t>
      </w:r>
      <w:r w:rsidR="00427E16" w:rsidRPr="0082254E">
        <w:rPr>
          <w:lang w:val="en-GB"/>
        </w:rPr>
        <w:t xml:space="preserve">The committee </w:t>
      </w:r>
      <w:r w:rsidR="003C5027" w:rsidRPr="0082254E">
        <w:rPr>
          <w:lang w:val="en-GB"/>
        </w:rPr>
        <w:t>concluded that</w:t>
      </w:r>
      <w:r w:rsidR="00CB173F">
        <w:rPr>
          <w:lang w:val="en-GB"/>
        </w:rPr>
        <w:t>, given the evidence the company chose to present,</w:t>
      </w:r>
      <w:r w:rsidR="003C5027" w:rsidRPr="0082254E">
        <w:rPr>
          <w:lang w:val="en-GB"/>
        </w:rPr>
        <w:t xml:space="preserve"> it </w:t>
      </w:r>
      <w:r w:rsidR="00E431CB" w:rsidRPr="0082254E">
        <w:rPr>
          <w:lang w:val="en-GB"/>
        </w:rPr>
        <w:lastRenderedPageBreak/>
        <w:t>w</w:t>
      </w:r>
      <w:r w:rsidR="003C5027" w:rsidRPr="0082254E">
        <w:rPr>
          <w:lang w:val="en-GB"/>
        </w:rPr>
        <w:t xml:space="preserve">ould appraise sodium zirconium cyclosilicate within the population the company </w:t>
      </w:r>
      <w:r w:rsidR="00E431CB" w:rsidRPr="0082254E">
        <w:rPr>
          <w:lang w:val="en-GB"/>
        </w:rPr>
        <w:t>proposed</w:t>
      </w:r>
      <w:r w:rsidR="00600D04" w:rsidRPr="0082254E">
        <w:rPr>
          <w:lang w:val="en-GB"/>
        </w:rPr>
        <w:t>,</w:t>
      </w:r>
      <w:r w:rsidR="004C37EC" w:rsidRPr="0082254E">
        <w:rPr>
          <w:lang w:val="en-GB"/>
        </w:rPr>
        <w:t xml:space="preserve"> which</w:t>
      </w:r>
      <w:r w:rsidR="003C5027" w:rsidRPr="0082254E">
        <w:rPr>
          <w:lang w:val="en-GB"/>
        </w:rPr>
        <w:t xml:space="preserve"> was narrower than the marketing authorisation.</w:t>
      </w:r>
    </w:p>
    <w:p w14:paraId="1C1FAAE8" w14:textId="79800E8C" w:rsidR="003E2F90" w:rsidRPr="0082254E" w:rsidRDefault="008B3193" w:rsidP="00E827D8">
      <w:pPr>
        <w:pStyle w:val="Heading3"/>
      </w:pPr>
      <w:r w:rsidRPr="0082254E">
        <w:t>The c</w:t>
      </w:r>
      <w:r w:rsidR="003E2F90" w:rsidRPr="0082254E">
        <w:t>ompany propose</w:t>
      </w:r>
      <w:r w:rsidRPr="0082254E">
        <w:t>s</w:t>
      </w:r>
      <w:r w:rsidR="003E2F90" w:rsidRPr="0082254E">
        <w:t xml:space="preserve"> that sodium zirconium cyclosilicate will </w:t>
      </w:r>
      <w:r w:rsidR="00E859D7" w:rsidRPr="0082254E">
        <w:t xml:space="preserve">be used in </w:t>
      </w:r>
      <w:r w:rsidR="00E47A48">
        <w:t>emergency</w:t>
      </w:r>
      <w:r w:rsidR="004B09B5" w:rsidRPr="0082254E">
        <w:t xml:space="preserve"> care </w:t>
      </w:r>
      <w:r w:rsidR="009C73C2" w:rsidRPr="0082254E">
        <w:t>for acute</w:t>
      </w:r>
      <w:r w:rsidR="00DF2F13">
        <w:t>,</w:t>
      </w:r>
      <w:r w:rsidR="009C73C2" w:rsidRPr="0082254E">
        <w:t xml:space="preserve"> </w:t>
      </w:r>
      <w:r w:rsidR="00E859D7" w:rsidRPr="0082254E">
        <w:t>or outpatient</w:t>
      </w:r>
      <w:r w:rsidR="00DF2F13">
        <w:t xml:space="preserve"> care</w:t>
      </w:r>
      <w:r w:rsidR="009C73C2" w:rsidRPr="0082254E">
        <w:t xml:space="preserve"> for chronic</w:t>
      </w:r>
      <w:r w:rsidR="00DF2F13">
        <w:t>,</w:t>
      </w:r>
      <w:r w:rsidR="009C73C2" w:rsidRPr="0082254E">
        <w:t xml:space="preserve"> hyperkalaemia</w:t>
      </w:r>
    </w:p>
    <w:p w14:paraId="44D71866" w14:textId="4970607A" w:rsidR="006611FD" w:rsidRPr="0082254E" w:rsidRDefault="006611FD" w:rsidP="00831192">
      <w:pPr>
        <w:pStyle w:val="Numberedlevel2text"/>
        <w:rPr>
          <w:lang w:val="en-GB"/>
        </w:rPr>
      </w:pPr>
      <w:r w:rsidRPr="0082254E">
        <w:rPr>
          <w:lang w:val="en-GB"/>
        </w:rPr>
        <w:t xml:space="preserve">The marketing authorisation for sodium zirconium cyclosilicate covers </w:t>
      </w:r>
      <w:r w:rsidR="00110981" w:rsidRPr="0082254E">
        <w:rPr>
          <w:lang w:val="en-GB"/>
        </w:rPr>
        <w:t xml:space="preserve">using </w:t>
      </w:r>
      <w:r w:rsidRPr="0082254E">
        <w:rPr>
          <w:lang w:val="en-GB"/>
        </w:rPr>
        <w:t xml:space="preserve">it as a corrective treatment for lowering </w:t>
      </w:r>
      <w:r w:rsidR="002D288F" w:rsidRPr="0082254E">
        <w:rPr>
          <w:lang w:val="en-GB"/>
        </w:rPr>
        <w:t xml:space="preserve">serum </w:t>
      </w:r>
      <w:r w:rsidRPr="0082254E">
        <w:rPr>
          <w:lang w:val="en-GB"/>
        </w:rPr>
        <w:t xml:space="preserve">potassium levels followed by </w:t>
      </w:r>
      <w:r w:rsidR="009C73C2" w:rsidRPr="0082254E">
        <w:rPr>
          <w:lang w:val="en-GB"/>
        </w:rPr>
        <w:t>using it</w:t>
      </w:r>
      <w:r w:rsidRPr="0082254E">
        <w:rPr>
          <w:lang w:val="en-GB"/>
        </w:rPr>
        <w:t xml:space="preserve"> as a maintenance treatment (at a lower dose) for people whose</w:t>
      </w:r>
      <w:r w:rsidR="00892E91">
        <w:rPr>
          <w:lang w:val="en-GB"/>
        </w:rPr>
        <w:t xml:space="preserve"> serum potassium</w:t>
      </w:r>
      <w:r w:rsidRPr="0082254E">
        <w:rPr>
          <w:lang w:val="en-GB"/>
        </w:rPr>
        <w:t xml:space="preserve"> levels </w:t>
      </w:r>
      <w:r w:rsidR="004F64BD">
        <w:rPr>
          <w:lang w:val="en-GB"/>
        </w:rPr>
        <w:t>normalise</w:t>
      </w:r>
      <w:r w:rsidRPr="0082254E">
        <w:rPr>
          <w:lang w:val="en-GB"/>
        </w:rPr>
        <w:t xml:space="preserve"> after the corrective treatment. The maintenance dose </w:t>
      </w:r>
      <w:r w:rsidR="004D547A" w:rsidRPr="0082254E">
        <w:rPr>
          <w:lang w:val="en-GB"/>
        </w:rPr>
        <w:t xml:space="preserve">aims </w:t>
      </w:r>
      <w:r w:rsidRPr="0082254E">
        <w:rPr>
          <w:lang w:val="en-GB"/>
        </w:rPr>
        <w:t xml:space="preserve">to avoid repeat hyperkalaemia. </w:t>
      </w:r>
      <w:r w:rsidR="003C5027" w:rsidRPr="0082254E">
        <w:rPr>
          <w:lang w:val="en-GB"/>
        </w:rPr>
        <w:t xml:space="preserve">The committee noted that the marketing authorisation does not specify whether </w:t>
      </w:r>
      <w:r w:rsidR="00E827D8" w:rsidRPr="0082254E">
        <w:rPr>
          <w:lang w:val="en-GB"/>
        </w:rPr>
        <w:t xml:space="preserve">sodium zirconium cyclosilicate should be used to treat </w:t>
      </w:r>
      <w:r w:rsidR="0043759D" w:rsidRPr="0082254E">
        <w:rPr>
          <w:lang w:val="en-GB"/>
        </w:rPr>
        <w:t>life</w:t>
      </w:r>
      <w:r w:rsidR="00687911" w:rsidRPr="0082254E">
        <w:rPr>
          <w:lang w:val="en-GB"/>
        </w:rPr>
        <w:t>-</w:t>
      </w:r>
      <w:r w:rsidR="0043759D" w:rsidRPr="0082254E">
        <w:rPr>
          <w:lang w:val="en-GB"/>
        </w:rPr>
        <w:t>threatening</w:t>
      </w:r>
      <w:r w:rsidR="00DE4EF4" w:rsidRPr="0082254E">
        <w:rPr>
          <w:lang w:val="en-GB"/>
        </w:rPr>
        <w:t xml:space="preserve"> </w:t>
      </w:r>
      <w:r w:rsidR="00E827D8" w:rsidRPr="0082254E">
        <w:rPr>
          <w:lang w:val="en-GB"/>
        </w:rPr>
        <w:t xml:space="preserve">hyperkalaemia </w:t>
      </w:r>
      <w:r w:rsidR="00E47A48">
        <w:rPr>
          <w:lang w:val="en-GB"/>
        </w:rPr>
        <w:t>needing</w:t>
      </w:r>
      <w:r w:rsidR="00E47A48" w:rsidRPr="0082254E">
        <w:rPr>
          <w:lang w:val="en-GB"/>
        </w:rPr>
        <w:t xml:space="preserve"> </w:t>
      </w:r>
      <w:r w:rsidR="00E47A48">
        <w:rPr>
          <w:lang w:val="en-GB"/>
        </w:rPr>
        <w:t>emergency</w:t>
      </w:r>
      <w:r w:rsidR="00E47A48" w:rsidRPr="0082254E">
        <w:rPr>
          <w:lang w:val="en-GB"/>
        </w:rPr>
        <w:t xml:space="preserve"> </w:t>
      </w:r>
      <w:r w:rsidR="00A14313" w:rsidRPr="0082254E">
        <w:rPr>
          <w:lang w:val="en-GB"/>
        </w:rPr>
        <w:t>treatment</w:t>
      </w:r>
      <w:r w:rsidR="00E827D8" w:rsidRPr="0082254E">
        <w:rPr>
          <w:lang w:val="en-GB"/>
        </w:rPr>
        <w:t>, or</w:t>
      </w:r>
      <w:r w:rsidR="00FE509F" w:rsidRPr="0082254E">
        <w:rPr>
          <w:lang w:val="en-GB"/>
        </w:rPr>
        <w:t xml:space="preserve"> persistent</w:t>
      </w:r>
      <w:r w:rsidR="00DE4EF4" w:rsidRPr="0082254E">
        <w:rPr>
          <w:lang w:val="en-GB"/>
        </w:rPr>
        <w:t xml:space="preserve"> </w:t>
      </w:r>
      <w:r w:rsidR="00E827D8" w:rsidRPr="0082254E">
        <w:rPr>
          <w:lang w:val="en-GB"/>
        </w:rPr>
        <w:t>hyperkalaemia</w:t>
      </w:r>
      <w:r w:rsidR="0043759D" w:rsidRPr="0082254E">
        <w:rPr>
          <w:lang w:val="en-GB"/>
        </w:rPr>
        <w:t xml:space="preserve"> treated in the outpatient setting</w:t>
      </w:r>
      <w:r w:rsidR="006F25B1" w:rsidRPr="0082254E">
        <w:rPr>
          <w:lang w:val="en-GB"/>
        </w:rPr>
        <w:t>. It also noted that it</w:t>
      </w:r>
      <w:r w:rsidR="007C668E" w:rsidRPr="0082254E">
        <w:rPr>
          <w:lang w:val="en-GB"/>
        </w:rPr>
        <w:t xml:space="preserve"> does </w:t>
      </w:r>
      <w:r w:rsidR="006F25B1" w:rsidRPr="0082254E">
        <w:rPr>
          <w:lang w:val="en-GB"/>
        </w:rPr>
        <w:t>no</w:t>
      </w:r>
      <w:r w:rsidR="007C668E" w:rsidRPr="0082254E">
        <w:rPr>
          <w:lang w:val="en-GB"/>
        </w:rPr>
        <w:t xml:space="preserve">t specify the </w:t>
      </w:r>
      <w:r w:rsidR="00892E91">
        <w:rPr>
          <w:lang w:val="en-GB"/>
        </w:rPr>
        <w:t>level</w:t>
      </w:r>
      <w:r w:rsidR="00892E91" w:rsidRPr="0082254E">
        <w:rPr>
          <w:lang w:val="en-GB"/>
        </w:rPr>
        <w:t xml:space="preserve"> </w:t>
      </w:r>
      <w:r w:rsidR="007C668E" w:rsidRPr="0082254E">
        <w:rPr>
          <w:lang w:val="en-GB"/>
        </w:rPr>
        <w:t xml:space="preserve">of serum potassium at which treatment </w:t>
      </w:r>
      <w:r w:rsidR="006F25B1" w:rsidRPr="0082254E">
        <w:rPr>
          <w:lang w:val="en-GB"/>
        </w:rPr>
        <w:t xml:space="preserve">should </w:t>
      </w:r>
      <w:r w:rsidR="007C668E" w:rsidRPr="0082254E">
        <w:rPr>
          <w:lang w:val="en-GB"/>
        </w:rPr>
        <w:t>be started</w:t>
      </w:r>
      <w:r w:rsidR="00E827D8" w:rsidRPr="0082254E">
        <w:rPr>
          <w:lang w:val="en-GB"/>
        </w:rPr>
        <w:t xml:space="preserve">. </w:t>
      </w:r>
      <w:r w:rsidR="00831192" w:rsidRPr="0082254E">
        <w:rPr>
          <w:lang w:val="en-GB"/>
        </w:rPr>
        <w:t>The company proposed that sodium zirconium cyclosilicate would be used</w:t>
      </w:r>
      <w:r w:rsidRPr="0082254E">
        <w:rPr>
          <w:lang w:val="en-GB"/>
        </w:rPr>
        <w:t>:</w:t>
      </w:r>
    </w:p>
    <w:p w14:paraId="65AB16BA" w14:textId="570D9399" w:rsidR="006611FD" w:rsidRPr="0082254E" w:rsidRDefault="0043759D" w:rsidP="003C5027">
      <w:pPr>
        <w:pStyle w:val="Bulletindent1"/>
        <w:rPr>
          <w:lang w:val="en-GB"/>
        </w:rPr>
      </w:pPr>
      <w:r w:rsidRPr="0082254E">
        <w:rPr>
          <w:lang w:val="en-GB"/>
        </w:rPr>
        <w:t xml:space="preserve">In an </w:t>
      </w:r>
      <w:r w:rsidR="00E47A48">
        <w:rPr>
          <w:lang w:val="en-GB"/>
        </w:rPr>
        <w:t>emergency</w:t>
      </w:r>
      <w:r w:rsidR="00E47A48" w:rsidRPr="0082254E">
        <w:rPr>
          <w:lang w:val="en-GB"/>
        </w:rPr>
        <w:t xml:space="preserve"> </w:t>
      </w:r>
      <w:r w:rsidR="004B09B5" w:rsidRPr="0082254E">
        <w:rPr>
          <w:lang w:val="en-GB"/>
        </w:rPr>
        <w:t xml:space="preserve">care </w:t>
      </w:r>
      <w:r w:rsidR="00C11E61" w:rsidRPr="0082254E">
        <w:rPr>
          <w:lang w:val="en-GB"/>
        </w:rPr>
        <w:t>setting</w:t>
      </w:r>
      <w:r w:rsidR="006D216D">
        <w:rPr>
          <w:lang w:val="en-GB"/>
        </w:rPr>
        <w:t>,</w:t>
      </w:r>
      <w:r w:rsidRPr="0082254E">
        <w:rPr>
          <w:lang w:val="en-GB"/>
        </w:rPr>
        <w:t xml:space="preserve"> </w:t>
      </w:r>
      <w:r w:rsidR="00B4464A" w:rsidRPr="0082254E">
        <w:rPr>
          <w:lang w:val="en-GB"/>
        </w:rPr>
        <w:t>as</w:t>
      </w:r>
      <w:r w:rsidR="00831192" w:rsidRPr="0082254E">
        <w:rPr>
          <w:lang w:val="en-GB"/>
        </w:rPr>
        <w:t xml:space="preserve"> an alternative to calcium resonium</w:t>
      </w:r>
      <w:r w:rsidR="00EA685A" w:rsidRPr="0082254E">
        <w:rPr>
          <w:lang w:val="en-GB"/>
        </w:rPr>
        <w:t xml:space="preserve"> and </w:t>
      </w:r>
      <w:r w:rsidR="006C14C0" w:rsidRPr="0082254E">
        <w:rPr>
          <w:lang w:val="en-GB"/>
        </w:rPr>
        <w:t xml:space="preserve">permanently </w:t>
      </w:r>
      <w:r w:rsidR="00EA685A" w:rsidRPr="0082254E">
        <w:rPr>
          <w:lang w:val="en-GB"/>
        </w:rPr>
        <w:t>stopping RAAS inhibitors</w:t>
      </w:r>
      <w:r w:rsidR="006D216D">
        <w:rPr>
          <w:lang w:val="en-GB"/>
        </w:rPr>
        <w:t>,</w:t>
      </w:r>
      <w:r w:rsidR="00831192" w:rsidRPr="0082254E">
        <w:rPr>
          <w:lang w:val="en-GB"/>
        </w:rPr>
        <w:t xml:space="preserve"> in people with high levels of </w:t>
      </w:r>
      <w:r w:rsidR="002D288F" w:rsidRPr="0082254E">
        <w:rPr>
          <w:lang w:val="en-GB"/>
        </w:rPr>
        <w:t xml:space="preserve">serum </w:t>
      </w:r>
      <w:r w:rsidR="00831192" w:rsidRPr="0082254E">
        <w:rPr>
          <w:lang w:val="en-GB"/>
        </w:rPr>
        <w:t xml:space="preserve">potassium </w:t>
      </w:r>
      <w:r w:rsidR="009C73C2" w:rsidRPr="0082254E">
        <w:rPr>
          <w:lang w:val="en-GB"/>
        </w:rPr>
        <w:t xml:space="preserve">who </w:t>
      </w:r>
      <w:r w:rsidR="00831192" w:rsidRPr="0082254E">
        <w:rPr>
          <w:lang w:val="en-GB"/>
        </w:rPr>
        <w:t>need immediate</w:t>
      </w:r>
      <w:r w:rsidR="009F166F" w:rsidRPr="0082254E">
        <w:rPr>
          <w:lang w:val="en-GB"/>
        </w:rPr>
        <w:t xml:space="preserve"> hospital</w:t>
      </w:r>
      <w:r w:rsidR="00831192" w:rsidRPr="0082254E">
        <w:rPr>
          <w:lang w:val="en-GB"/>
        </w:rPr>
        <w:t xml:space="preserve"> treatment</w:t>
      </w:r>
      <w:r w:rsidR="00892E91">
        <w:rPr>
          <w:lang w:val="en-GB"/>
        </w:rPr>
        <w:t>;</w:t>
      </w:r>
      <w:r w:rsidR="006D216D">
        <w:rPr>
          <w:lang w:val="en-GB"/>
        </w:rPr>
        <w:t xml:space="preserve"> it explained</w:t>
      </w:r>
      <w:r w:rsidR="0072310E" w:rsidRPr="0082254E">
        <w:rPr>
          <w:lang w:val="en-GB"/>
        </w:rPr>
        <w:t xml:space="preserve"> that sodium zirconium cyclosilicate would complement rather than</w:t>
      </w:r>
      <w:r w:rsidRPr="0082254E">
        <w:rPr>
          <w:lang w:val="en-GB"/>
        </w:rPr>
        <w:t xml:space="preserve"> </w:t>
      </w:r>
      <w:r w:rsidR="0072310E" w:rsidRPr="0082254E">
        <w:rPr>
          <w:lang w:val="en-GB"/>
        </w:rPr>
        <w:t>replace the use of insulin and</w:t>
      </w:r>
      <w:r w:rsidRPr="0082254E">
        <w:rPr>
          <w:lang w:val="en-GB"/>
        </w:rPr>
        <w:t xml:space="preserve"> glucose in patients with </w:t>
      </w:r>
      <w:r w:rsidR="0072310E" w:rsidRPr="0082254E">
        <w:rPr>
          <w:lang w:val="en-GB"/>
        </w:rPr>
        <w:t>life-threatening hyperkalaemia.</w:t>
      </w:r>
    </w:p>
    <w:p w14:paraId="103C3A07" w14:textId="55E8032D" w:rsidR="00EA685A" w:rsidRPr="0082254E" w:rsidRDefault="0043759D" w:rsidP="0078567E">
      <w:pPr>
        <w:pStyle w:val="Bulletindent1last"/>
      </w:pPr>
      <w:r w:rsidRPr="0082254E">
        <w:t>In an o</w:t>
      </w:r>
      <w:r w:rsidR="00C11E61" w:rsidRPr="0082254E">
        <w:t>utpatient setting</w:t>
      </w:r>
      <w:r w:rsidR="006C14C0" w:rsidRPr="0082254E">
        <w:t xml:space="preserve">, </w:t>
      </w:r>
      <w:r w:rsidR="00A50B06" w:rsidRPr="0082254E">
        <w:t xml:space="preserve">as an alternative to stopping RAAS inhibitors and a strict low-potassium diet to manage </w:t>
      </w:r>
      <w:r w:rsidR="00A50B06">
        <w:t>chronic</w:t>
      </w:r>
      <w:r w:rsidR="00A50B06" w:rsidRPr="0082254E">
        <w:t xml:space="preserve"> hyperkalaemia and prevent it developing into life-threatening hyperkalaemia</w:t>
      </w:r>
      <w:r w:rsidR="00A50B06">
        <w:t xml:space="preserve">, </w:t>
      </w:r>
      <w:r w:rsidR="006C14C0" w:rsidRPr="0082254E">
        <w:t>in people with hyperkalaemia identified through routine monitoring</w:t>
      </w:r>
      <w:r w:rsidR="004047C9">
        <w:t>;</w:t>
      </w:r>
      <w:r w:rsidR="004F64BD">
        <w:t xml:space="preserve"> </w:t>
      </w:r>
      <w:r w:rsidR="004047C9">
        <w:t>t</w:t>
      </w:r>
      <w:r w:rsidRPr="0082254E">
        <w:t>he clinical and patient expert</w:t>
      </w:r>
      <w:r w:rsidR="00512D4F" w:rsidRPr="0082254E">
        <w:t>s</w:t>
      </w:r>
      <w:r w:rsidRPr="0082254E">
        <w:t xml:space="preserve"> did not expect sodium zirconium cyclosilicate to replace the need for a low</w:t>
      </w:r>
      <w:r w:rsidR="000A56BD" w:rsidRPr="0082254E">
        <w:t>-</w:t>
      </w:r>
      <w:r w:rsidRPr="0082254E">
        <w:t>potassium diet (see section</w:t>
      </w:r>
      <w:r w:rsidR="009B154A" w:rsidRPr="0082254E">
        <w:t> </w:t>
      </w:r>
      <w:r w:rsidR="00F87E97">
        <w:fldChar w:fldCharType="begin"/>
      </w:r>
      <w:r w:rsidR="00F87E97">
        <w:instrText xml:space="preserve"> REF _Ref5617841 \r \h </w:instrText>
      </w:r>
      <w:r w:rsidR="00F87E97">
        <w:fldChar w:fldCharType="separate"/>
      </w:r>
      <w:r w:rsidR="00DA520D">
        <w:t>3.5</w:t>
      </w:r>
      <w:r w:rsidR="00F87E97">
        <w:fldChar w:fldCharType="end"/>
      </w:r>
      <w:r w:rsidRPr="0082254E">
        <w:t>)</w:t>
      </w:r>
      <w:r w:rsidR="009B154A" w:rsidRPr="0082254E">
        <w:t>.</w:t>
      </w:r>
      <w:r w:rsidR="009B154A" w:rsidRPr="0082254E">
        <w:br/>
      </w:r>
      <w:r w:rsidR="009B154A" w:rsidRPr="0082254E">
        <w:br/>
      </w:r>
      <w:r w:rsidR="00BA1FD3" w:rsidRPr="0082254E">
        <w:t xml:space="preserve">The company </w:t>
      </w:r>
      <w:r w:rsidR="0010029B" w:rsidRPr="0082254E">
        <w:t>proposed</w:t>
      </w:r>
      <w:r w:rsidR="00BA1FD3" w:rsidRPr="0082254E">
        <w:t xml:space="preserve"> that sodium zirconium cyclosilicate would be started, and RAAS inhibitors stopped or reduced</w:t>
      </w:r>
      <w:r w:rsidR="00496644" w:rsidRPr="0082254E">
        <w:t>,</w:t>
      </w:r>
      <w:r w:rsidR="00BA1FD3" w:rsidRPr="0082254E">
        <w:t xml:space="preserve"> in people</w:t>
      </w:r>
      <w:r w:rsidR="006C14C0" w:rsidRPr="0082254E">
        <w:t xml:space="preserve"> with</w:t>
      </w:r>
      <w:r w:rsidR="00BA1FD3" w:rsidRPr="0082254E">
        <w:t xml:space="preserve"> </w:t>
      </w:r>
      <w:r w:rsidR="0010029B" w:rsidRPr="0082254E">
        <w:lastRenderedPageBreak/>
        <w:t xml:space="preserve">persistently high serum potassium levels </w:t>
      </w:r>
      <w:r w:rsidR="00BA1FD3" w:rsidRPr="0082254E">
        <w:t>of 5.5</w:t>
      </w:r>
      <w:r w:rsidR="00496644" w:rsidRPr="0082254E">
        <w:t> </w:t>
      </w:r>
      <w:r w:rsidR="00BA1FD3" w:rsidRPr="0082254E">
        <w:t>mmol/</w:t>
      </w:r>
      <w:r w:rsidR="00496644" w:rsidRPr="0082254E">
        <w:t xml:space="preserve">litre </w:t>
      </w:r>
      <w:r w:rsidR="00F077DE">
        <w:t>and above</w:t>
      </w:r>
      <w:r w:rsidR="004B09B5" w:rsidRPr="0082254E">
        <w:t xml:space="preserve"> (heart failure) or 6.0</w:t>
      </w:r>
      <w:r w:rsidR="00F077DE">
        <w:t> </w:t>
      </w:r>
      <w:r w:rsidR="004B09B5" w:rsidRPr="0082254E">
        <w:t xml:space="preserve">mmol/litre </w:t>
      </w:r>
      <w:r w:rsidR="00F077DE">
        <w:t>and above</w:t>
      </w:r>
      <w:r w:rsidR="004B09B5" w:rsidRPr="0082254E">
        <w:t xml:space="preserve"> (chronic kidney disease)</w:t>
      </w:r>
      <w:r w:rsidR="00BA1FD3" w:rsidRPr="0082254E">
        <w:t>.</w:t>
      </w:r>
      <w:r w:rsidR="00721E1C" w:rsidRPr="0082254E">
        <w:t xml:space="preserve"> </w:t>
      </w:r>
      <w:r w:rsidR="00DF2F13">
        <w:t xml:space="preserve">The committee </w:t>
      </w:r>
      <w:r w:rsidR="004F64BD">
        <w:t>accepted that</w:t>
      </w:r>
      <w:r w:rsidR="00F366E7">
        <w:t xml:space="preserve"> the levels proposed by the company were intended to align with clinical expert opinion (see section</w:t>
      </w:r>
      <w:r w:rsidR="00074152">
        <w:t> </w:t>
      </w:r>
      <w:r w:rsidR="00F366E7">
        <w:fldChar w:fldCharType="begin"/>
      </w:r>
      <w:r w:rsidR="00F366E7">
        <w:instrText xml:space="preserve"> REF _Ref5617579 \r \h </w:instrText>
      </w:r>
      <w:r w:rsidR="00F366E7">
        <w:fldChar w:fldCharType="separate"/>
      </w:r>
      <w:r w:rsidR="00DA520D">
        <w:t>3.1</w:t>
      </w:r>
      <w:r w:rsidR="00F366E7">
        <w:fldChar w:fldCharType="end"/>
      </w:r>
      <w:r w:rsidR="00F366E7">
        <w:t>)</w:t>
      </w:r>
      <w:r w:rsidR="00074152">
        <w:t>,</w:t>
      </w:r>
      <w:r w:rsidR="00F366E7">
        <w:t xml:space="preserve"> but noted that some clinicians may wish to treat </w:t>
      </w:r>
      <w:r w:rsidR="00074152">
        <w:t xml:space="preserve">hyperkalaemia </w:t>
      </w:r>
      <w:r w:rsidR="00F366E7">
        <w:t>at alternative serum potassium thresholds.</w:t>
      </w:r>
      <w:r w:rsidR="004F64BD">
        <w:t xml:space="preserve"> </w:t>
      </w:r>
      <w:r w:rsidRPr="0082254E">
        <w:t xml:space="preserve">It further concluded that the comparators were </w:t>
      </w:r>
      <w:r w:rsidR="006D216D">
        <w:t xml:space="preserve">both </w:t>
      </w:r>
      <w:r w:rsidRPr="0082254E">
        <w:t>calcium resonium and manag</w:t>
      </w:r>
      <w:r w:rsidR="006D216D">
        <w:t>ing</w:t>
      </w:r>
      <w:r w:rsidRPr="0082254E">
        <w:t xml:space="preserve"> RAAS inhibitors in the </w:t>
      </w:r>
      <w:r w:rsidR="00E47A48">
        <w:t>emergency</w:t>
      </w:r>
      <w:r w:rsidR="004B09B5" w:rsidRPr="0082254E">
        <w:t xml:space="preserve"> </w:t>
      </w:r>
      <w:r w:rsidR="00E47A48">
        <w:t xml:space="preserve">care </w:t>
      </w:r>
      <w:r w:rsidRPr="0082254E">
        <w:t>setting</w:t>
      </w:r>
      <w:r w:rsidR="009B154A" w:rsidRPr="0082254E">
        <w:t>,</w:t>
      </w:r>
      <w:r w:rsidRPr="0082254E">
        <w:t xml:space="preserve"> and manag</w:t>
      </w:r>
      <w:r w:rsidR="006D216D">
        <w:t>ing</w:t>
      </w:r>
      <w:r w:rsidRPr="0082254E">
        <w:t xml:space="preserve"> RAAS inhibitors in the outpatient setting.</w:t>
      </w:r>
    </w:p>
    <w:p w14:paraId="3BBE5551" w14:textId="718AE1FA" w:rsidR="00EC57EF" w:rsidRPr="0082254E" w:rsidRDefault="00737BB9" w:rsidP="00EA685A">
      <w:pPr>
        <w:pStyle w:val="Heading2"/>
      </w:pPr>
      <w:r w:rsidRPr="0082254E">
        <w:t>Clinical effectivenes</w:t>
      </w:r>
      <w:r w:rsidR="00721E1C" w:rsidRPr="0082254E">
        <w:t>s</w:t>
      </w:r>
    </w:p>
    <w:p w14:paraId="5CDFFB7A" w14:textId="33C65681" w:rsidR="00BC2FEA" w:rsidRPr="0082254E" w:rsidRDefault="003B3FF0" w:rsidP="00BC2FEA">
      <w:pPr>
        <w:pStyle w:val="Heading3"/>
      </w:pPr>
      <w:r w:rsidRPr="0082254E">
        <w:t>T</w:t>
      </w:r>
      <w:r w:rsidR="000F4668" w:rsidRPr="0082254E">
        <w:t xml:space="preserve">rial </w:t>
      </w:r>
      <w:r w:rsidR="00BC2FEA" w:rsidRPr="0082254E">
        <w:t xml:space="preserve">evidence </w:t>
      </w:r>
      <w:r w:rsidR="00E31275" w:rsidRPr="0082254E">
        <w:t xml:space="preserve">does not </w:t>
      </w:r>
      <w:r w:rsidR="00F40472" w:rsidRPr="0082254E">
        <w:t xml:space="preserve">show </w:t>
      </w:r>
      <w:r w:rsidR="000F4668" w:rsidRPr="0082254E">
        <w:t xml:space="preserve">whether sodium zirconium cyclosilicate is more clinically effective than </w:t>
      </w:r>
      <w:r w:rsidR="0009726A">
        <w:t>NHS</w:t>
      </w:r>
      <w:r w:rsidR="0009726A" w:rsidRPr="0082254E">
        <w:t xml:space="preserve"> </w:t>
      </w:r>
      <w:r w:rsidR="000F4668" w:rsidRPr="0082254E">
        <w:t>standard care</w:t>
      </w:r>
    </w:p>
    <w:p w14:paraId="0255A93A" w14:textId="49A7F71B" w:rsidR="00BF2C66" w:rsidRPr="0082254E" w:rsidRDefault="007B7E94" w:rsidP="00BF2C66">
      <w:pPr>
        <w:pStyle w:val="Numberedlevel2text"/>
        <w:rPr>
          <w:lang w:val="en-GB"/>
        </w:rPr>
      </w:pPr>
      <w:bookmarkStart w:id="6" w:name="_Ref5617748"/>
      <w:r w:rsidRPr="0082254E">
        <w:rPr>
          <w:lang w:val="en-GB"/>
        </w:rPr>
        <w:t>The clinical</w:t>
      </w:r>
      <w:r w:rsidR="00092F31" w:rsidRPr="0082254E">
        <w:rPr>
          <w:lang w:val="en-GB"/>
        </w:rPr>
        <w:t>-</w:t>
      </w:r>
      <w:r w:rsidRPr="0082254E">
        <w:rPr>
          <w:lang w:val="en-GB"/>
        </w:rPr>
        <w:t>effectiveness evidence for sodium zirconium cyclosilicate</w:t>
      </w:r>
      <w:r w:rsidR="002F63A7" w:rsidRPr="0082254E">
        <w:rPr>
          <w:lang w:val="en-GB"/>
        </w:rPr>
        <w:t xml:space="preserve"> </w:t>
      </w:r>
      <w:r w:rsidRPr="0082254E">
        <w:rPr>
          <w:lang w:val="en-GB"/>
        </w:rPr>
        <w:t xml:space="preserve">came from the </w:t>
      </w:r>
      <w:r w:rsidR="006F3391" w:rsidRPr="0082254E">
        <w:rPr>
          <w:lang w:val="en-GB"/>
        </w:rPr>
        <w:t>ZS004 and ZS005</w:t>
      </w:r>
      <w:r w:rsidRPr="0082254E">
        <w:rPr>
          <w:lang w:val="en-GB"/>
        </w:rPr>
        <w:t xml:space="preserve"> trials.</w:t>
      </w:r>
      <w:r w:rsidR="003B3FF0" w:rsidRPr="0082254E">
        <w:rPr>
          <w:lang w:val="en-GB"/>
        </w:rPr>
        <w:t xml:space="preserve"> The trials were done in the </w:t>
      </w:r>
      <w:r w:rsidR="001F1EF1" w:rsidRPr="0082254E">
        <w:rPr>
          <w:lang w:val="en-GB"/>
        </w:rPr>
        <w:t>outpatient</w:t>
      </w:r>
      <w:r w:rsidR="003B3FF0" w:rsidRPr="0082254E">
        <w:rPr>
          <w:lang w:val="en-GB"/>
        </w:rPr>
        <w:t xml:space="preserve"> setting, and included </w:t>
      </w:r>
      <w:r w:rsidR="004B7690">
        <w:rPr>
          <w:lang w:val="en-GB"/>
        </w:rPr>
        <w:t xml:space="preserve">some </w:t>
      </w:r>
      <w:r w:rsidR="003B3FF0" w:rsidRPr="0082254E">
        <w:rPr>
          <w:lang w:val="en-GB"/>
        </w:rPr>
        <w:t>people who would</w:t>
      </w:r>
      <w:r w:rsidR="004B7690">
        <w:rPr>
          <w:lang w:val="en-GB"/>
        </w:rPr>
        <w:t xml:space="preserve"> not</w:t>
      </w:r>
      <w:r w:rsidR="003B3FF0" w:rsidRPr="0082254E">
        <w:rPr>
          <w:lang w:val="en-GB"/>
        </w:rPr>
        <w:t xml:space="preserve"> </w:t>
      </w:r>
      <w:r w:rsidR="0036294D">
        <w:rPr>
          <w:lang w:val="en-GB"/>
        </w:rPr>
        <w:t>have treatment</w:t>
      </w:r>
      <w:r w:rsidR="003B3FF0" w:rsidRPr="0082254E">
        <w:rPr>
          <w:lang w:val="en-GB"/>
        </w:rPr>
        <w:t xml:space="preserve"> in the NHS (</w:t>
      </w:r>
      <w:r w:rsidR="004B7690">
        <w:rPr>
          <w:lang w:val="en-GB"/>
        </w:rPr>
        <w:t>because</w:t>
      </w:r>
      <w:r w:rsidR="0009726A">
        <w:rPr>
          <w:lang w:val="en-GB"/>
        </w:rPr>
        <w:t xml:space="preserve"> they </w:t>
      </w:r>
      <w:r w:rsidR="003B3FF0" w:rsidRPr="0082254E">
        <w:rPr>
          <w:lang w:val="en-GB"/>
        </w:rPr>
        <w:t xml:space="preserve">had </w:t>
      </w:r>
      <w:r w:rsidR="0075662F">
        <w:rPr>
          <w:lang w:val="en-GB"/>
        </w:rPr>
        <w:t xml:space="preserve">lower </w:t>
      </w:r>
      <w:r w:rsidR="003B3FF0" w:rsidRPr="0082254E">
        <w:rPr>
          <w:lang w:val="en-GB"/>
        </w:rPr>
        <w:t xml:space="preserve">serum potassium levels </w:t>
      </w:r>
      <w:r w:rsidR="004B7690">
        <w:rPr>
          <w:lang w:val="en-GB"/>
        </w:rPr>
        <w:t>than</w:t>
      </w:r>
      <w:r w:rsidR="00B0704C" w:rsidRPr="0082254E">
        <w:rPr>
          <w:lang w:val="en-GB"/>
        </w:rPr>
        <w:t xml:space="preserve"> </w:t>
      </w:r>
      <w:r w:rsidR="004047C9">
        <w:rPr>
          <w:lang w:val="en-GB"/>
        </w:rPr>
        <w:t>would be treated in the NHS</w:t>
      </w:r>
      <w:r w:rsidR="003B3FF0" w:rsidRPr="0082254E">
        <w:rPr>
          <w:lang w:val="en-GB"/>
        </w:rPr>
        <w:t>)</w:t>
      </w:r>
      <w:r w:rsidR="00D9571F" w:rsidRPr="0082254E">
        <w:rPr>
          <w:lang w:val="en-GB"/>
        </w:rPr>
        <w:t>.</w:t>
      </w:r>
      <w:r w:rsidR="003062F8" w:rsidRPr="0082254E">
        <w:rPr>
          <w:lang w:val="en-GB"/>
        </w:rPr>
        <w:t xml:space="preserve"> </w:t>
      </w:r>
      <w:r w:rsidR="00CA070D" w:rsidRPr="0082254E">
        <w:rPr>
          <w:lang w:val="en-GB"/>
        </w:rPr>
        <w:t xml:space="preserve">In </w:t>
      </w:r>
      <w:r w:rsidR="00FF168F">
        <w:rPr>
          <w:lang w:val="en-GB"/>
        </w:rPr>
        <w:t xml:space="preserve">its consultation </w:t>
      </w:r>
      <w:r w:rsidR="00CA070D" w:rsidRPr="0082254E">
        <w:rPr>
          <w:lang w:val="en-GB"/>
        </w:rPr>
        <w:t>response, the company presented results for 8</w:t>
      </w:r>
      <w:r w:rsidR="0009726A">
        <w:rPr>
          <w:lang w:val="en-GB"/>
        </w:rPr>
        <w:t> </w:t>
      </w:r>
      <w:r w:rsidR="00CA070D" w:rsidRPr="0082254E">
        <w:rPr>
          <w:lang w:val="en-GB"/>
        </w:rPr>
        <w:t xml:space="preserve">patients in ZS004 with serum potassium </w:t>
      </w:r>
      <w:r w:rsidR="008E721D">
        <w:rPr>
          <w:lang w:val="en-GB"/>
        </w:rPr>
        <w:t xml:space="preserve">levels </w:t>
      </w:r>
      <w:r w:rsidR="00AF359D">
        <w:rPr>
          <w:lang w:val="en-GB"/>
        </w:rPr>
        <w:t>of</w:t>
      </w:r>
      <w:r w:rsidR="00CA070D" w:rsidRPr="0082254E">
        <w:rPr>
          <w:lang w:val="en-GB"/>
        </w:rPr>
        <w:t xml:space="preserve"> 6.5</w:t>
      </w:r>
      <w:r w:rsidR="0009726A">
        <w:rPr>
          <w:lang w:val="en-GB"/>
        </w:rPr>
        <w:t> </w:t>
      </w:r>
      <w:r w:rsidR="00CA070D" w:rsidRPr="0082254E">
        <w:rPr>
          <w:lang w:val="en-GB"/>
        </w:rPr>
        <w:t>mmol/</w:t>
      </w:r>
      <w:r w:rsidR="0009726A">
        <w:rPr>
          <w:lang w:val="en-GB"/>
        </w:rPr>
        <w:t>litre</w:t>
      </w:r>
      <w:r w:rsidR="00AF359D">
        <w:rPr>
          <w:lang w:val="en-GB"/>
        </w:rPr>
        <w:t xml:space="preserve"> and above</w:t>
      </w:r>
      <w:r w:rsidR="00CA070D" w:rsidRPr="0082254E">
        <w:rPr>
          <w:lang w:val="en-GB"/>
        </w:rPr>
        <w:t xml:space="preserve">, arguing that </w:t>
      </w:r>
      <w:r w:rsidR="003B3FF0" w:rsidRPr="0082254E">
        <w:rPr>
          <w:lang w:val="en-GB"/>
        </w:rPr>
        <w:t xml:space="preserve">these </w:t>
      </w:r>
      <w:r w:rsidR="00CA070D" w:rsidRPr="0082254E">
        <w:rPr>
          <w:lang w:val="en-GB"/>
        </w:rPr>
        <w:t xml:space="preserve">patients are likely to </w:t>
      </w:r>
      <w:r w:rsidR="0036294D">
        <w:rPr>
          <w:lang w:val="en-GB"/>
        </w:rPr>
        <w:t xml:space="preserve">have </w:t>
      </w:r>
      <w:r w:rsidR="004B7690">
        <w:rPr>
          <w:lang w:val="en-GB"/>
        </w:rPr>
        <w:t xml:space="preserve">emergency </w:t>
      </w:r>
      <w:r w:rsidR="0036294D">
        <w:rPr>
          <w:lang w:val="en-GB"/>
        </w:rPr>
        <w:t>treatment</w:t>
      </w:r>
      <w:r w:rsidR="00CA070D" w:rsidRPr="0082254E">
        <w:rPr>
          <w:lang w:val="en-GB"/>
        </w:rPr>
        <w:t xml:space="preserve"> in the NHS.</w:t>
      </w:r>
      <w:r w:rsidR="000B37BA" w:rsidRPr="0082254E">
        <w:rPr>
          <w:lang w:val="en-GB"/>
        </w:rPr>
        <w:t xml:space="preserve"> </w:t>
      </w:r>
      <w:r w:rsidR="00CA070D" w:rsidRPr="0082254E">
        <w:rPr>
          <w:lang w:val="en-GB"/>
        </w:rPr>
        <w:t>However, the committee noted that</w:t>
      </w:r>
      <w:r w:rsidR="00AF359D">
        <w:rPr>
          <w:lang w:val="en-GB"/>
        </w:rPr>
        <w:t>,</w:t>
      </w:r>
      <w:r w:rsidR="00CA070D" w:rsidRPr="0082254E">
        <w:rPr>
          <w:lang w:val="en-GB"/>
        </w:rPr>
        <w:t xml:space="preserve"> like all the other patients in that trial, they had</w:t>
      </w:r>
      <w:r w:rsidR="00FF168F">
        <w:rPr>
          <w:lang w:val="en-GB"/>
        </w:rPr>
        <w:t xml:space="preserve"> had</w:t>
      </w:r>
      <w:r w:rsidR="00CA070D" w:rsidRPr="0082254E">
        <w:rPr>
          <w:lang w:val="en-GB"/>
        </w:rPr>
        <w:t xml:space="preserve"> treatment as outpatients.</w:t>
      </w:r>
      <w:r w:rsidR="00EC57EF" w:rsidRPr="0082254E">
        <w:rPr>
          <w:lang w:val="en-GB"/>
        </w:rPr>
        <w:t xml:space="preserve"> </w:t>
      </w:r>
      <w:r w:rsidR="00400BD8" w:rsidRPr="0082254E">
        <w:rPr>
          <w:lang w:val="en-GB"/>
        </w:rPr>
        <w:t>Both trials</w:t>
      </w:r>
      <w:r w:rsidR="00E25C34" w:rsidRPr="0082254E">
        <w:rPr>
          <w:lang w:val="en-GB"/>
        </w:rPr>
        <w:t xml:space="preserve"> had 2</w:t>
      </w:r>
      <w:r w:rsidR="00092F31" w:rsidRPr="0082254E">
        <w:rPr>
          <w:lang w:val="en-GB"/>
        </w:rPr>
        <w:t> </w:t>
      </w:r>
      <w:r w:rsidR="00E25C34" w:rsidRPr="0082254E">
        <w:rPr>
          <w:lang w:val="en-GB"/>
        </w:rPr>
        <w:t>phases</w:t>
      </w:r>
      <w:r w:rsidR="00DA23ED" w:rsidRPr="0082254E">
        <w:rPr>
          <w:lang w:val="en-GB"/>
        </w:rPr>
        <w:t xml:space="preserve">. The first </w:t>
      </w:r>
      <w:r w:rsidR="005B58A0" w:rsidRPr="0082254E">
        <w:rPr>
          <w:lang w:val="en-GB"/>
        </w:rPr>
        <w:t xml:space="preserve">‘correction’ </w:t>
      </w:r>
      <w:r w:rsidR="00DA23ED" w:rsidRPr="0082254E">
        <w:rPr>
          <w:lang w:val="en-GB"/>
        </w:rPr>
        <w:t>phase was single arm</w:t>
      </w:r>
      <w:r w:rsidR="005B58A0" w:rsidRPr="0082254E">
        <w:rPr>
          <w:lang w:val="en-GB"/>
        </w:rPr>
        <w:t xml:space="preserve"> (everyone </w:t>
      </w:r>
      <w:r w:rsidR="0036294D">
        <w:rPr>
          <w:lang w:val="en-GB"/>
        </w:rPr>
        <w:t>had</w:t>
      </w:r>
      <w:r w:rsidR="0036294D" w:rsidRPr="0082254E">
        <w:rPr>
          <w:lang w:val="en-GB"/>
        </w:rPr>
        <w:t xml:space="preserve"> treat</w:t>
      </w:r>
      <w:r w:rsidR="0036294D">
        <w:rPr>
          <w:lang w:val="en-GB"/>
        </w:rPr>
        <w:t>ment</w:t>
      </w:r>
      <w:r w:rsidR="004047C9">
        <w:rPr>
          <w:lang w:val="en-GB"/>
        </w:rPr>
        <w:t xml:space="preserve"> to lower their serum potassium level</w:t>
      </w:r>
      <w:r w:rsidR="0075662F">
        <w:rPr>
          <w:lang w:val="en-GB"/>
        </w:rPr>
        <w:t>s</w:t>
      </w:r>
      <w:r w:rsidR="005B58A0" w:rsidRPr="0082254E">
        <w:rPr>
          <w:lang w:val="en-GB"/>
        </w:rPr>
        <w:t>; there was no control group)</w:t>
      </w:r>
      <w:r w:rsidR="001B1180" w:rsidRPr="0082254E">
        <w:rPr>
          <w:lang w:val="en-GB"/>
        </w:rPr>
        <w:t xml:space="preserve"> </w:t>
      </w:r>
      <w:r w:rsidR="000B37BA" w:rsidRPr="0082254E">
        <w:rPr>
          <w:lang w:val="en-GB"/>
        </w:rPr>
        <w:t>in</w:t>
      </w:r>
      <w:r w:rsidR="00DA23ED" w:rsidRPr="0082254E">
        <w:rPr>
          <w:lang w:val="en-GB"/>
        </w:rPr>
        <w:t xml:space="preserve"> </w:t>
      </w:r>
      <w:r w:rsidR="009D547B" w:rsidRPr="0082254E">
        <w:rPr>
          <w:lang w:val="en-GB"/>
        </w:rPr>
        <w:t xml:space="preserve">patients with serum potassium </w:t>
      </w:r>
      <w:r w:rsidR="008E721D">
        <w:rPr>
          <w:lang w:val="en-GB"/>
        </w:rPr>
        <w:t>levels</w:t>
      </w:r>
      <w:r w:rsidR="008E721D" w:rsidRPr="0082254E">
        <w:rPr>
          <w:lang w:val="en-GB"/>
        </w:rPr>
        <w:t xml:space="preserve"> </w:t>
      </w:r>
      <w:r w:rsidR="009D547B" w:rsidRPr="0082254E">
        <w:rPr>
          <w:lang w:val="en-GB"/>
        </w:rPr>
        <w:t>of 5.1</w:t>
      </w:r>
      <w:r w:rsidR="00092F31" w:rsidRPr="0082254E">
        <w:rPr>
          <w:lang w:val="en-GB"/>
        </w:rPr>
        <w:t> </w:t>
      </w:r>
      <w:r w:rsidR="00EC57EF" w:rsidRPr="0082254E">
        <w:rPr>
          <w:lang w:val="en-GB"/>
        </w:rPr>
        <w:t>mmo</w:t>
      </w:r>
      <w:r w:rsidR="009D547B" w:rsidRPr="0082254E">
        <w:rPr>
          <w:lang w:val="en-GB"/>
        </w:rPr>
        <w:t>l/</w:t>
      </w:r>
      <w:r w:rsidR="00092F31" w:rsidRPr="0082254E">
        <w:rPr>
          <w:lang w:val="en-GB"/>
        </w:rPr>
        <w:t xml:space="preserve">litre </w:t>
      </w:r>
      <w:r w:rsidR="00F077DE">
        <w:rPr>
          <w:lang w:val="en-GB"/>
        </w:rPr>
        <w:t>and above</w:t>
      </w:r>
      <w:r w:rsidR="009D547B" w:rsidRPr="0082254E">
        <w:rPr>
          <w:lang w:val="en-GB"/>
        </w:rPr>
        <w:t>.</w:t>
      </w:r>
      <w:r w:rsidR="000B37BA" w:rsidRPr="0082254E">
        <w:rPr>
          <w:lang w:val="en-GB"/>
        </w:rPr>
        <w:t xml:space="preserve"> In response to the </w:t>
      </w:r>
      <w:r w:rsidR="00B5294B">
        <w:rPr>
          <w:lang w:val="en-GB"/>
        </w:rPr>
        <w:t>appraisal consultation document</w:t>
      </w:r>
      <w:r w:rsidR="000B37BA" w:rsidRPr="0082254E">
        <w:rPr>
          <w:lang w:val="en-GB"/>
        </w:rPr>
        <w:t>, the company presented data from a third trial</w:t>
      </w:r>
      <w:r w:rsidR="00D93FF1" w:rsidRPr="0082254E">
        <w:rPr>
          <w:lang w:val="en-GB"/>
        </w:rPr>
        <w:t>,</w:t>
      </w:r>
      <w:r w:rsidR="000B37BA" w:rsidRPr="0082254E">
        <w:rPr>
          <w:lang w:val="en-GB"/>
        </w:rPr>
        <w:t xml:space="preserve"> ZS003, which included a placebo</w:t>
      </w:r>
      <w:r w:rsidR="00AF359D">
        <w:rPr>
          <w:lang w:val="en-GB"/>
        </w:rPr>
        <w:t>-</w:t>
      </w:r>
      <w:r w:rsidR="000B37BA" w:rsidRPr="0082254E">
        <w:rPr>
          <w:lang w:val="en-GB"/>
        </w:rPr>
        <w:t>control arm in the 2</w:t>
      </w:r>
      <w:r w:rsidR="00AF359D">
        <w:rPr>
          <w:lang w:val="en-GB"/>
        </w:rPr>
        <w:noBreakHyphen/>
      </w:r>
      <w:r w:rsidR="000B37BA" w:rsidRPr="0082254E">
        <w:rPr>
          <w:lang w:val="en-GB"/>
        </w:rPr>
        <w:t>day correction phase.</w:t>
      </w:r>
      <w:r w:rsidR="002F63A7" w:rsidRPr="0082254E">
        <w:rPr>
          <w:lang w:val="en-GB"/>
        </w:rPr>
        <w:t xml:space="preserve"> </w:t>
      </w:r>
      <w:r w:rsidR="00DA23ED" w:rsidRPr="0082254E">
        <w:rPr>
          <w:lang w:val="en-GB"/>
        </w:rPr>
        <w:t>The second phase</w:t>
      </w:r>
      <w:r w:rsidR="00D93FF1" w:rsidRPr="0082254E">
        <w:rPr>
          <w:lang w:val="en-GB"/>
        </w:rPr>
        <w:t xml:space="preserve"> of </w:t>
      </w:r>
      <w:r w:rsidR="00BE72B6">
        <w:rPr>
          <w:lang w:val="en-GB"/>
        </w:rPr>
        <w:t>all 3</w:t>
      </w:r>
      <w:r w:rsidR="0075662F">
        <w:rPr>
          <w:lang w:val="en-GB"/>
        </w:rPr>
        <w:t> </w:t>
      </w:r>
      <w:r w:rsidR="00D93FF1" w:rsidRPr="0082254E">
        <w:rPr>
          <w:lang w:val="en-GB"/>
        </w:rPr>
        <w:t>trials</w:t>
      </w:r>
      <w:r w:rsidR="00DA23ED" w:rsidRPr="0082254E">
        <w:rPr>
          <w:lang w:val="en-GB"/>
        </w:rPr>
        <w:t xml:space="preserve"> measured how well sodium zirconium</w:t>
      </w:r>
      <w:r w:rsidR="006B719B" w:rsidRPr="0082254E">
        <w:rPr>
          <w:lang w:val="en-GB"/>
        </w:rPr>
        <w:t xml:space="preserve"> </w:t>
      </w:r>
      <w:r w:rsidR="0077022F" w:rsidRPr="0082254E">
        <w:rPr>
          <w:lang w:val="en-GB"/>
        </w:rPr>
        <w:t xml:space="preserve">cyclosilicate </w:t>
      </w:r>
      <w:r w:rsidR="006B719B" w:rsidRPr="0082254E">
        <w:rPr>
          <w:lang w:val="en-GB"/>
        </w:rPr>
        <w:t xml:space="preserve">maintained </w:t>
      </w:r>
      <w:r w:rsidR="000B4350" w:rsidRPr="0082254E">
        <w:rPr>
          <w:lang w:val="en-GB"/>
        </w:rPr>
        <w:t xml:space="preserve">serum </w:t>
      </w:r>
      <w:r w:rsidR="006B719B" w:rsidRPr="0082254E">
        <w:rPr>
          <w:lang w:val="en-GB"/>
        </w:rPr>
        <w:t>potassium levels in people whose</w:t>
      </w:r>
      <w:r w:rsidR="008D230D">
        <w:rPr>
          <w:lang w:val="en-GB"/>
        </w:rPr>
        <w:t xml:space="preserve"> serum potassium</w:t>
      </w:r>
      <w:r w:rsidR="006B719B" w:rsidRPr="0082254E">
        <w:rPr>
          <w:lang w:val="en-GB"/>
        </w:rPr>
        <w:t xml:space="preserve"> levels had responded </w:t>
      </w:r>
      <w:r w:rsidR="00751AE8">
        <w:rPr>
          <w:lang w:val="en-GB"/>
        </w:rPr>
        <w:t>in the ‘correction’ phase</w:t>
      </w:r>
      <w:r w:rsidR="00DA23ED" w:rsidRPr="0082254E">
        <w:rPr>
          <w:lang w:val="en-GB"/>
        </w:rPr>
        <w:t xml:space="preserve"> </w:t>
      </w:r>
      <w:r w:rsidR="006B719B" w:rsidRPr="0082254E">
        <w:rPr>
          <w:lang w:val="en-GB"/>
        </w:rPr>
        <w:t xml:space="preserve">and were </w:t>
      </w:r>
      <w:r w:rsidR="009D547B" w:rsidRPr="0082254E">
        <w:rPr>
          <w:lang w:val="en-GB"/>
        </w:rPr>
        <w:t>between 3.5</w:t>
      </w:r>
      <w:r w:rsidR="007F7202" w:rsidRPr="0082254E">
        <w:rPr>
          <w:lang w:val="en-GB"/>
        </w:rPr>
        <w:t> mmol/litre</w:t>
      </w:r>
      <w:r w:rsidR="009D547B" w:rsidRPr="0082254E">
        <w:rPr>
          <w:lang w:val="en-GB"/>
        </w:rPr>
        <w:t xml:space="preserve"> </w:t>
      </w:r>
      <w:r w:rsidR="00AF359D">
        <w:rPr>
          <w:lang w:val="en-GB"/>
        </w:rPr>
        <w:t>and</w:t>
      </w:r>
      <w:r w:rsidR="00AF359D" w:rsidRPr="0082254E">
        <w:rPr>
          <w:lang w:val="en-GB"/>
        </w:rPr>
        <w:t xml:space="preserve"> </w:t>
      </w:r>
      <w:r w:rsidR="009D547B" w:rsidRPr="0082254E">
        <w:rPr>
          <w:lang w:val="en-GB"/>
        </w:rPr>
        <w:t>5.0</w:t>
      </w:r>
      <w:r w:rsidR="007F7202" w:rsidRPr="0082254E">
        <w:rPr>
          <w:lang w:val="en-GB"/>
        </w:rPr>
        <w:t> </w:t>
      </w:r>
      <w:r w:rsidR="009D547B" w:rsidRPr="0082254E">
        <w:rPr>
          <w:lang w:val="en-GB"/>
        </w:rPr>
        <w:t>mmo</w:t>
      </w:r>
      <w:r w:rsidR="00EC57EF" w:rsidRPr="0082254E">
        <w:rPr>
          <w:lang w:val="en-GB"/>
        </w:rPr>
        <w:t>l</w:t>
      </w:r>
      <w:r w:rsidR="009D547B" w:rsidRPr="0082254E">
        <w:rPr>
          <w:lang w:val="en-GB"/>
        </w:rPr>
        <w:t>/</w:t>
      </w:r>
      <w:r w:rsidR="007F7202" w:rsidRPr="0082254E">
        <w:rPr>
          <w:lang w:val="en-GB"/>
        </w:rPr>
        <w:t>litre</w:t>
      </w:r>
      <w:r w:rsidR="006B719B" w:rsidRPr="0082254E">
        <w:rPr>
          <w:lang w:val="en-GB"/>
        </w:rPr>
        <w:t>. In ZS004</w:t>
      </w:r>
      <w:r w:rsidR="000B4350" w:rsidRPr="0082254E">
        <w:rPr>
          <w:lang w:val="en-GB"/>
        </w:rPr>
        <w:t>,</w:t>
      </w:r>
      <w:r w:rsidR="006B719B" w:rsidRPr="0082254E">
        <w:rPr>
          <w:lang w:val="en-GB"/>
        </w:rPr>
        <w:t xml:space="preserve"> ‘responders’ were randomised </w:t>
      </w:r>
      <w:r w:rsidR="009D547B" w:rsidRPr="0082254E">
        <w:rPr>
          <w:lang w:val="en-GB"/>
        </w:rPr>
        <w:lastRenderedPageBreak/>
        <w:t xml:space="preserve">to </w:t>
      </w:r>
      <w:r w:rsidR="008D230D">
        <w:rPr>
          <w:lang w:val="en-GB"/>
        </w:rPr>
        <w:t xml:space="preserve">placebo or to </w:t>
      </w:r>
      <w:r w:rsidR="009D547B" w:rsidRPr="0082254E">
        <w:rPr>
          <w:lang w:val="en-GB"/>
        </w:rPr>
        <w:t>continue sodium zirconium cyclosilicate or placebo</w:t>
      </w:r>
      <w:r w:rsidR="00E25C34" w:rsidRPr="0082254E">
        <w:rPr>
          <w:lang w:val="en-GB"/>
        </w:rPr>
        <w:t xml:space="preserve"> for 28</w:t>
      </w:r>
      <w:r w:rsidR="007F7202" w:rsidRPr="0082254E">
        <w:rPr>
          <w:lang w:val="en-GB"/>
        </w:rPr>
        <w:t> </w:t>
      </w:r>
      <w:r w:rsidR="00E25C34" w:rsidRPr="0082254E">
        <w:rPr>
          <w:lang w:val="en-GB"/>
        </w:rPr>
        <w:t>days</w:t>
      </w:r>
      <w:r w:rsidR="009D547B" w:rsidRPr="0082254E">
        <w:rPr>
          <w:lang w:val="en-GB"/>
        </w:rPr>
        <w:t xml:space="preserve">. </w:t>
      </w:r>
      <w:r w:rsidR="00E25C34" w:rsidRPr="0082254E">
        <w:rPr>
          <w:lang w:val="en-GB"/>
        </w:rPr>
        <w:t>In ZS005</w:t>
      </w:r>
      <w:r w:rsidR="000B4350" w:rsidRPr="0082254E">
        <w:rPr>
          <w:lang w:val="en-GB"/>
        </w:rPr>
        <w:t>,</w:t>
      </w:r>
      <w:r w:rsidR="00E25C34" w:rsidRPr="0082254E">
        <w:rPr>
          <w:lang w:val="en-GB"/>
        </w:rPr>
        <w:t xml:space="preserve"> all </w:t>
      </w:r>
      <w:r w:rsidR="003B7867" w:rsidRPr="0082254E">
        <w:rPr>
          <w:lang w:val="en-GB"/>
        </w:rPr>
        <w:t>‘</w:t>
      </w:r>
      <w:r w:rsidR="00E25C34" w:rsidRPr="0082254E">
        <w:rPr>
          <w:lang w:val="en-GB"/>
        </w:rPr>
        <w:t>responders</w:t>
      </w:r>
      <w:r w:rsidR="003B7867" w:rsidRPr="0082254E">
        <w:rPr>
          <w:lang w:val="en-GB"/>
        </w:rPr>
        <w:t>’</w:t>
      </w:r>
      <w:r w:rsidR="00E25C34" w:rsidRPr="0082254E">
        <w:rPr>
          <w:lang w:val="en-GB"/>
        </w:rPr>
        <w:t xml:space="preserve"> </w:t>
      </w:r>
      <w:r w:rsidR="003B7867" w:rsidRPr="0082254E">
        <w:rPr>
          <w:lang w:val="en-GB"/>
        </w:rPr>
        <w:t xml:space="preserve">had </w:t>
      </w:r>
      <w:r w:rsidR="00E25C34" w:rsidRPr="0082254E">
        <w:rPr>
          <w:lang w:val="en-GB"/>
        </w:rPr>
        <w:t>sodium zirconium cyclosilicate for 52</w:t>
      </w:r>
      <w:r w:rsidR="007F7202" w:rsidRPr="0082254E">
        <w:rPr>
          <w:lang w:val="en-GB"/>
        </w:rPr>
        <w:t> </w:t>
      </w:r>
      <w:r w:rsidR="00E25C34" w:rsidRPr="0082254E">
        <w:rPr>
          <w:lang w:val="en-GB"/>
        </w:rPr>
        <w:t xml:space="preserve">weeks. </w:t>
      </w:r>
      <w:r w:rsidR="002940D0" w:rsidRPr="0082254E">
        <w:rPr>
          <w:lang w:val="en-GB"/>
        </w:rPr>
        <w:t>The committee appreciated that the primary outcome</w:t>
      </w:r>
      <w:r w:rsidR="007F7202" w:rsidRPr="0082254E">
        <w:rPr>
          <w:lang w:val="en-GB"/>
        </w:rPr>
        <w:t xml:space="preserve"> measure in</w:t>
      </w:r>
      <w:r w:rsidR="002940D0" w:rsidRPr="0082254E">
        <w:rPr>
          <w:lang w:val="en-GB"/>
        </w:rPr>
        <w:t xml:space="preserve"> </w:t>
      </w:r>
      <w:r w:rsidR="00FF168F">
        <w:rPr>
          <w:lang w:val="en-GB"/>
        </w:rPr>
        <w:t>all the</w:t>
      </w:r>
      <w:r w:rsidR="00FF168F" w:rsidRPr="0082254E">
        <w:rPr>
          <w:lang w:val="en-GB"/>
        </w:rPr>
        <w:t xml:space="preserve"> </w:t>
      </w:r>
      <w:r w:rsidR="002940D0" w:rsidRPr="0082254E">
        <w:rPr>
          <w:lang w:val="en-GB"/>
        </w:rPr>
        <w:t xml:space="preserve">trials </w:t>
      </w:r>
      <w:r w:rsidR="007F7202" w:rsidRPr="0082254E">
        <w:rPr>
          <w:lang w:val="en-GB"/>
        </w:rPr>
        <w:t xml:space="preserve">was </w:t>
      </w:r>
      <w:r w:rsidR="002940D0" w:rsidRPr="0082254E">
        <w:rPr>
          <w:lang w:val="en-GB"/>
        </w:rPr>
        <w:t xml:space="preserve">serum potassium levels. </w:t>
      </w:r>
      <w:r w:rsidR="00C34E2E" w:rsidRPr="0082254E">
        <w:rPr>
          <w:lang w:val="en-GB"/>
        </w:rPr>
        <w:t xml:space="preserve">The </w:t>
      </w:r>
      <w:r w:rsidR="00E25C34" w:rsidRPr="0082254E">
        <w:rPr>
          <w:lang w:val="en-GB"/>
        </w:rPr>
        <w:t>single</w:t>
      </w:r>
      <w:r w:rsidR="007F7202" w:rsidRPr="0082254E">
        <w:rPr>
          <w:lang w:val="en-GB"/>
        </w:rPr>
        <w:t>-</w:t>
      </w:r>
      <w:r w:rsidR="00E25C34" w:rsidRPr="0082254E">
        <w:rPr>
          <w:lang w:val="en-GB"/>
        </w:rPr>
        <w:t>arm</w:t>
      </w:r>
      <w:r w:rsidR="003062F8" w:rsidRPr="0082254E">
        <w:rPr>
          <w:lang w:val="en-GB"/>
        </w:rPr>
        <w:t xml:space="preserve"> maintenance</w:t>
      </w:r>
      <w:r w:rsidR="00E25C34" w:rsidRPr="0082254E">
        <w:rPr>
          <w:lang w:val="en-GB"/>
        </w:rPr>
        <w:t xml:space="preserve"> </w:t>
      </w:r>
      <w:r w:rsidR="000B4350" w:rsidRPr="0082254E">
        <w:rPr>
          <w:lang w:val="en-GB"/>
        </w:rPr>
        <w:t xml:space="preserve">part of </w:t>
      </w:r>
      <w:r w:rsidR="00E25C34" w:rsidRPr="0082254E">
        <w:rPr>
          <w:lang w:val="en-GB"/>
        </w:rPr>
        <w:t>ZS005</w:t>
      </w:r>
      <w:r w:rsidR="00DA7CAD" w:rsidRPr="0082254E">
        <w:rPr>
          <w:lang w:val="en-GB"/>
        </w:rPr>
        <w:t xml:space="preserve"> </w:t>
      </w:r>
      <w:r w:rsidR="00C34E2E" w:rsidRPr="0082254E">
        <w:rPr>
          <w:lang w:val="en-GB"/>
        </w:rPr>
        <w:t xml:space="preserve">measured changing use of RAAS inhibitors </w:t>
      </w:r>
      <w:r w:rsidR="00DC2910" w:rsidRPr="0082254E">
        <w:rPr>
          <w:lang w:val="en-GB"/>
        </w:rPr>
        <w:t>as an exploratory endpoint</w:t>
      </w:r>
      <w:r w:rsidR="00C34E2E" w:rsidRPr="0082254E">
        <w:rPr>
          <w:lang w:val="en-GB"/>
        </w:rPr>
        <w:t xml:space="preserve">. </w:t>
      </w:r>
      <w:r w:rsidR="00FE4A20" w:rsidRPr="0082254E">
        <w:rPr>
          <w:lang w:val="en-GB"/>
        </w:rPr>
        <w:t>However, t</w:t>
      </w:r>
      <w:r w:rsidR="00540AF7" w:rsidRPr="0082254E">
        <w:rPr>
          <w:lang w:val="en-GB"/>
        </w:rPr>
        <w:t>h</w:t>
      </w:r>
      <w:r w:rsidR="00DA7CAD" w:rsidRPr="0082254E">
        <w:rPr>
          <w:lang w:val="en-GB"/>
        </w:rPr>
        <w:t>e</w:t>
      </w:r>
      <w:r w:rsidR="00BF165D" w:rsidRPr="0082254E">
        <w:rPr>
          <w:lang w:val="en-GB"/>
        </w:rPr>
        <w:t xml:space="preserve"> </w:t>
      </w:r>
      <w:r w:rsidR="00BB7AF8" w:rsidRPr="0082254E">
        <w:rPr>
          <w:lang w:val="en-GB"/>
        </w:rPr>
        <w:t>single</w:t>
      </w:r>
      <w:r w:rsidR="00A252FB" w:rsidRPr="0082254E">
        <w:rPr>
          <w:lang w:val="en-GB"/>
        </w:rPr>
        <w:t>-</w:t>
      </w:r>
      <w:r w:rsidR="00BB7AF8" w:rsidRPr="0082254E">
        <w:rPr>
          <w:lang w:val="en-GB"/>
        </w:rPr>
        <w:t xml:space="preserve">arm </w:t>
      </w:r>
      <w:r w:rsidR="00BF165D" w:rsidRPr="0082254E">
        <w:rPr>
          <w:lang w:val="en-GB"/>
        </w:rPr>
        <w:t>design</w:t>
      </w:r>
      <w:r w:rsidR="00BB7AF8" w:rsidRPr="0082254E">
        <w:rPr>
          <w:lang w:val="en-GB"/>
        </w:rPr>
        <w:t xml:space="preserve"> </w:t>
      </w:r>
      <w:r w:rsidR="00FE4A20" w:rsidRPr="0082254E">
        <w:rPr>
          <w:lang w:val="en-GB"/>
        </w:rPr>
        <w:t xml:space="preserve">of this trial </w:t>
      </w:r>
      <w:r w:rsidR="00BB7AF8" w:rsidRPr="0082254E">
        <w:rPr>
          <w:lang w:val="en-GB"/>
        </w:rPr>
        <w:t xml:space="preserve">meant </w:t>
      </w:r>
      <w:r w:rsidR="004A1187" w:rsidRPr="0082254E">
        <w:rPr>
          <w:lang w:val="en-GB"/>
        </w:rPr>
        <w:t xml:space="preserve">that </w:t>
      </w:r>
      <w:r w:rsidR="00BB7AF8" w:rsidRPr="0082254E">
        <w:rPr>
          <w:lang w:val="en-GB"/>
        </w:rPr>
        <w:t>there w</w:t>
      </w:r>
      <w:r w:rsidR="00A252FB" w:rsidRPr="0082254E">
        <w:rPr>
          <w:lang w:val="en-GB"/>
        </w:rPr>
        <w:t>ere</w:t>
      </w:r>
      <w:r w:rsidR="00BB7AF8" w:rsidRPr="0082254E">
        <w:rPr>
          <w:lang w:val="en-GB"/>
        </w:rPr>
        <w:t xml:space="preserve"> no data on whether</w:t>
      </w:r>
      <w:r w:rsidR="00A252FB" w:rsidRPr="0082254E">
        <w:rPr>
          <w:lang w:val="en-GB"/>
        </w:rPr>
        <w:t>, compared with standard care</w:t>
      </w:r>
      <w:r w:rsidR="0072310E" w:rsidRPr="0082254E">
        <w:rPr>
          <w:lang w:val="en-GB"/>
        </w:rPr>
        <w:t>,</w:t>
      </w:r>
      <w:r w:rsidR="00BB7AF8" w:rsidRPr="0082254E">
        <w:rPr>
          <w:lang w:val="en-GB"/>
        </w:rPr>
        <w:t xml:space="preserve"> sodium zirconium cyclosilicate allowed a higher proportion of </w:t>
      </w:r>
      <w:r w:rsidR="003F34BC" w:rsidRPr="0082254E">
        <w:rPr>
          <w:lang w:val="en-GB"/>
        </w:rPr>
        <w:t xml:space="preserve">patients </w:t>
      </w:r>
      <w:r w:rsidR="00BB7AF8" w:rsidRPr="0082254E">
        <w:rPr>
          <w:lang w:val="en-GB"/>
        </w:rPr>
        <w:t>to maintain RAAS inhibitors</w:t>
      </w:r>
      <w:r w:rsidR="00721E1C" w:rsidRPr="0082254E">
        <w:rPr>
          <w:lang w:val="en-GB"/>
        </w:rPr>
        <w:t>, a key potential benefit suggested by the company (see section</w:t>
      </w:r>
      <w:r w:rsidR="00A252FB" w:rsidRPr="0082254E">
        <w:rPr>
          <w:lang w:val="en-GB"/>
        </w:rPr>
        <w:t> </w:t>
      </w:r>
      <w:r w:rsidR="00F87E97">
        <w:rPr>
          <w:lang w:val="en-GB"/>
        </w:rPr>
        <w:fldChar w:fldCharType="begin"/>
      </w:r>
      <w:r w:rsidR="00F87E97">
        <w:rPr>
          <w:lang w:val="en-GB"/>
        </w:rPr>
        <w:instrText xml:space="preserve"> REF _Ref5617552 \r \h </w:instrText>
      </w:r>
      <w:r w:rsidR="00F87E97">
        <w:rPr>
          <w:lang w:val="en-GB"/>
        </w:rPr>
      </w:r>
      <w:r w:rsidR="00F87E97">
        <w:rPr>
          <w:lang w:val="en-GB"/>
        </w:rPr>
        <w:fldChar w:fldCharType="separate"/>
      </w:r>
      <w:r w:rsidR="00DA520D">
        <w:rPr>
          <w:lang w:val="en-GB"/>
        </w:rPr>
        <w:t>3.3</w:t>
      </w:r>
      <w:r w:rsidR="00F87E97">
        <w:rPr>
          <w:lang w:val="en-GB"/>
        </w:rPr>
        <w:fldChar w:fldCharType="end"/>
      </w:r>
      <w:r w:rsidR="00721E1C" w:rsidRPr="0082254E">
        <w:rPr>
          <w:lang w:val="en-GB"/>
        </w:rPr>
        <w:t>)</w:t>
      </w:r>
      <w:r w:rsidR="00BF165D" w:rsidRPr="0082254E">
        <w:rPr>
          <w:lang w:val="en-GB"/>
        </w:rPr>
        <w:t xml:space="preserve">. The committee </w:t>
      </w:r>
      <w:r w:rsidR="00BB7AF8" w:rsidRPr="0082254E">
        <w:rPr>
          <w:lang w:val="en-GB"/>
        </w:rPr>
        <w:t xml:space="preserve">concluded </w:t>
      </w:r>
      <w:r w:rsidR="00BF165D" w:rsidRPr="0082254E">
        <w:rPr>
          <w:lang w:val="en-GB"/>
        </w:rPr>
        <w:t>that the company had not provided</w:t>
      </w:r>
      <w:r w:rsidR="00BB7AF8" w:rsidRPr="0082254E">
        <w:rPr>
          <w:lang w:val="en-GB"/>
        </w:rPr>
        <w:t xml:space="preserve"> </w:t>
      </w:r>
      <w:r w:rsidR="000F4668" w:rsidRPr="0082254E">
        <w:rPr>
          <w:lang w:val="en-GB"/>
        </w:rPr>
        <w:t xml:space="preserve">any </w:t>
      </w:r>
      <w:r w:rsidR="00BF165D" w:rsidRPr="0082254E">
        <w:rPr>
          <w:lang w:val="en-GB"/>
        </w:rPr>
        <w:t xml:space="preserve">data </w:t>
      </w:r>
      <w:r w:rsidR="00A177E1">
        <w:rPr>
          <w:lang w:val="en-GB"/>
        </w:rPr>
        <w:t xml:space="preserve">comparing </w:t>
      </w:r>
      <w:r w:rsidR="00713617">
        <w:rPr>
          <w:lang w:val="en-GB"/>
        </w:rPr>
        <w:t xml:space="preserve">sodium zirconium cyclosilicate </w:t>
      </w:r>
      <w:r w:rsidR="00A177E1">
        <w:rPr>
          <w:lang w:val="en-GB"/>
        </w:rPr>
        <w:t>with</w:t>
      </w:r>
      <w:r w:rsidR="00BF165D" w:rsidRPr="0082254E">
        <w:rPr>
          <w:lang w:val="en-GB"/>
        </w:rPr>
        <w:t xml:space="preserve"> treatments currently used in the NHS to correct hyperkalaemia</w:t>
      </w:r>
      <w:r w:rsidR="00DA7CAD" w:rsidRPr="0082254E">
        <w:rPr>
          <w:lang w:val="en-GB"/>
        </w:rPr>
        <w:t xml:space="preserve"> </w:t>
      </w:r>
      <w:r w:rsidR="00BF165D" w:rsidRPr="0082254E">
        <w:rPr>
          <w:lang w:val="en-GB"/>
        </w:rPr>
        <w:t>and maintain normal serum potassium</w:t>
      </w:r>
      <w:r w:rsidR="00DA7CAD" w:rsidRPr="0082254E">
        <w:rPr>
          <w:lang w:val="en-GB"/>
        </w:rPr>
        <w:t xml:space="preserve"> </w:t>
      </w:r>
      <w:r w:rsidR="002D288F" w:rsidRPr="0082254E">
        <w:rPr>
          <w:lang w:val="en-GB"/>
        </w:rPr>
        <w:t xml:space="preserve">levels </w:t>
      </w:r>
      <w:r w:rsidR="0072310E" w:rsidRPr="0082254E">
        <w:rPr>
          <w:lang w:val="en-GB"/>
        </w:rPr>
        <w:t>in the outpatient setting</w:t>
      </w:r>
      <w:r w:rsidR="006B719B" w:rsidRPr="0082254E">
        <w:rPr>
          <w:lang w:val="en-GB"/>
        </w:rPr>
        <w:t xml:space="preserve"> </w:t>
      </w:r>
      <w:r w:rsidR="00DA7CAD" w:rsidRPr="0082254E">
        <w:rPr>
          <w:lang w:val="en-GB"/>
        </w:rPr>
        <w:t>(</w:t>
      </w:r>
      <w:r w:rsidR="00FE4A20" w:rsidRPr="0082254E">
        <w:rPr>
          <w:lang w:val="en-GB"/>
        </w:rPr>
        <w:t xml:space="preserve">that is, a </w:t>
      </w:r>
      <w:r w:rsidR="00DA7CAD" w:rsidRPr="0082254E">
        <w:rPr>
          <w:lang w:val="en-GB"/>
        </w:rPr>
        <w:t>low</w:t>
      </w:r>
      <w:r w:rsidR="00A252FB" w:rsidRPr="0082254E">
        <w:rPr>
          <w:lang w:val="en-GB"/>
        </w:rPr>
        <w:t>-</w:t>
      </w:r>
      <w:r w:rsidR="00DA7CAD" w:rsidRPr="0082254E">
        <w:rPr>
          <w:lang w:val="en-GB"/>
        </w:rPr>
        <w:t>potassium diet and management of RAAS inhibitors)</w:t>
      </w:r>
      <w:r w:rsidR="00FE4A20" w:rsidRPr="0082254E">
        <w:rPr>
          <w:lang w:val="en-GB"/>
        </w:rPr>
        <w:t xml:space="preserve">. </w:t>
      </w:r>
      <w:r w:rsidR="0082254E" w:rsidRPr="0082254E">
        <w:rPr>
          <w:lang w:val="en-GB"/>
        </w:rPr>
        <w:t>Also,</w:t>
      </w:r>
      <w:r w:rsidR="00FE4A20" w:rsidRPr="0082254E">
        <w:rPr>
          <w:lang w:val="en-GB"/>
        </w:rPr>
        <w:t xml:space="preserve"> </w:t>
      </w:r>
      <w:r w:rsidR="0072310E" w:rsidRPr="0082254E">
        <w:rPr>
          <w:lang w:val="en-GB"/>
        </w:rPr>
        <w:t xml:space="preserve">the trials did not </w:t>
      </w:r>
      <w:r w:rsidR="00D93FF1" w:rsidRPr="0082254E">
        <w:rPr>
          <w:lang w:val="en-GB"/>
        </w:rPr>
        <w:t xml:space="preserve">reflect </w:t>
      </w:r>
      <w:r w:rsidR="003062F8" w:rsidRPr="0082254E">
        <w:rPr>
          <w:lang w:val="en-GB"/>
        </w:rPr>
        <w:t>treatment of acute hyperkalaemia in hospital</w:t>
      </w:r>
      <w:r w:rsidR="00BF165D" w:rsidRPr="0082254E">
        <w:rPr>
          <w:lang w:val="en-GB"/>
        </w:rPr>
        <w:t xml:space="preserve">. </w:t>
      </w:r>
      <w:r w:rsidR="00BB7AF8" w:rsidRPr="0082254E">
        <w:rPr>
          <w:lang w:val="en-GB"/>
        </w:rPr>
        <w:t>W</w:t>
      </w:r>
      <w:r w:rsidR="000F4668" w:rsidRPr="0082254E">
        <w:rPr>
          <w:lang w:val="en-GB"/>
        </w:rPr>
        <w:t>ithout th</w:t>
      </w:r>
      <w:r w:rsidR="00533F9A" w:rsidRPr="0082254E">
        <w:rPr>
          <w:lang w:val="en-GB"/>
        </w:rPr>
        <w:t>ese</w:t>
      </w:r>
      <w:r w:rsidR="000F4668" w:rsidRPr="0082254E">
        <w:rPr>
          <w:lang w:val="en-GB"/>
        </w:rPr>
        <w:t xml:space="preserve"> data</w:t>
      </w:r>
      <w:r w:rsidR="00533F9A" w:rsidRPr="0082254E">
        <w:rPr>
          <w:lang w:val="en-GB"/>
        </w:rPr>
        <w:t>,</w:t>
      </w:r>
      <w:r w:rsidR="001B48B5" w:rsidRPr="0082254E">
        <w:rPr>
          <w:lang w:val="en-GB"/>
        </w:rPr>
        <w:t xml:space="preserve"> </w:t>
      </w:r>
      <w:r w:rsidR="00BF165D" w:rsidRPr="0082254E">
        <w:rPr>
          <w:lang w:val="en-GB"/>
        </w:rPr>
        <w:t xml:space="preserve">it could not determine whether sodium zirconium cyclosilicate </w:t>
      </w:r>
      <w:r w:rsidR="00893CD5">
        <w:rPr>
          <w:lang w:val="en-GB"/>
        </w:rPr>
        <w:t>i</w:t>
      </w:r>
      <w:r w:rsidR="00BF165D" w:rsidRPr="0082254E">
        <w:rPr>
          <w:lang w:val="en-GB"/>
        </w:rPr>
        <w:t xml:space="preserve">s </w:t>
      </w:r>
      <w:r w:rsidR="005428BC" w:rsidRPr="0082254E">
        <w:rPr>
          <w:lang w:val="en-GB"/>
        </w:rPr>
        <w:t>more clinically effective than current standard care in the NHS</w:t>
      </w:r>
      <w:r w:rsidR="0072310E" w:rsidRPr="0082254E">
        <w:rPr>
          <w:lang w:val="en-GB"/>
        </w:rPr>
        <w:t xml:space="preserve"> in either an</w:t>
      </w:r>
      <w:r w:rsidR="005A2B25" w:rsidRPr="0082254E">
        <w:rPr>
          <w:lang w:val="en-GB"/>
        </w:rPr>
        <w:t xml:space="preserve"> </w:t>
      </w:r>
      <w:r w:rsidR="00E47A48">
        <w:rPr>
          <w:lang w:val="en-GB"/>
        </w:rPr>
        <w:t>emergency care</w:t>
      </w:r>
      <w:r w:rsidR="00E47A48" w:rsidRPr="0082254E">
        <w:rPr>
          <w:lang w:val="en-GB"/>
        </w:rPr>
        <w:t xml:space="preserve"> </w:t>
      </w:r>
      <w:r w:rsidR="005A2B25" w:rsidRPr="0082254E">
        <w:rPr>
          <w:lang w:val="en-GB"/>
        </w:rPr>
        <w:t>or</w:t>
      </w:r>
      <w:r w:rsidR="0072310E" w:rsidRPr="0082254E">
        <w:rPr>
          <w:lang w:val="en-GB"/>
        </w:rPr>
        <w:t xml:space="preserve"> outpatient </w:t>
      </w:r>
      <w:r w:rsidR="000B37BA" w:rsidRPr="0082254E">
        <w:rPr>
          <w:lang w:val="en-GB"/>
        </w:rPr>
        <w:t>setting</w:t>
      </w:r>
      <w:r w:rsidR="005428BC" w:rsidRPr="0082254E">
        <w:rPr>
          <w:lang w:val="en-GB"/>
        </w:rPr>
        <w:t>.</w:t>
      </w:r>
      <w:bookmarkEnd w:id="6"/>
    </w:p>
    <w:p w14:paraId="1D357CE4" w14:textId="57A67B2D" w:rsidR="00713617" w:rsidRPr="0082254E" w:rsidRDefault="00713617" w:rsidP="00713617">
      <w:pPr>
        <w:pStyle w:val="Heading3"/>
      </w:pPr>
      <w:r>
        <w:t>Sodium zirconium cyclosilicate could be beneficial in treating acute life-threatening hyperkalaemia</w:t>
      </w:r>
    </w:p>
    <w:p w14:paraId="0F16A28E" w14:textId="3689F3C1" w:rsidR="00713617" w:rsidRDefault="00713617" w:rsidP="00713617">
      <w:pPr>
        <w:pStyle w:val="Numberedlevel2text"/>
      </w:pPr>
      <w:bookmarkStart w:id="7" w:name="_Ref5877911"/>
      <w:r w:rsidRPr="0082254E">
        <w:t xml:space="preserve">The committee noted that treating acute life-threatening hyperkalaemia in hospital is established clinical practice. It agreed that lowering potassium levels for patients </w:t>
      </w:r>
      <w:r>
        <w:t>needing</w:t>
      </w:r>
      <w:r w:rsidRPr="0082254E">
        <w:t xml:space="preserve"> </w:t>
      </w:r>
      <w:r>
        <w:t>emergency</w:t>
      </w:r>
      <w:r w:rsidRPr="0082254E">
        <w:t xml:space="preserve"> care was a life-saving intervention. The committee therefore concluded that randomised evidence was not </w:t>
      </w:r>
      <w:r>
        <w:t>needed</w:t>
      </w:r>
      <w:r w:rsidRPr="0082254E">
        <w:t xml:space="preserve"> to show that treating hyperkalaemia in the emergency </w:t>
      </w:r>
      <w:r>
        <w:t xml:space="preserve">care </w:t>
      </w:r>
      <w:r w:rsidRPr="0082254E">
        <w:t>setting prolonged life.</w:t>
      </w:r>
      <w:r>
        <w:t xml:space="preserve"> As such, the uncontrolled evidence showing that sodium zirconium cyclosilicate reduces serum potassium (see section</w:t>
      </w:r>
      <w:r w:rsidR="0075662F">
        <w:rPr>
          <w:lang w:val="en-US"/>
        </w:rPr>
        <w:t> </w:t>
      </w:r>
      <w:r>
        <w:fldChar w:fldCharType="begin"/>
      </w:r>
      <w:r>
        <w:instrText xml:space="preserve"> REF _Ref5617748 \r \h  \* MERGEFORMAT </w:instrText>
      </w:r>
      <w:r>
        <w:fldChar w:fldCharType="separate"/>
      </w:r>
      <w:r w:rsidR="00DA520D">
        <w:t>3.8</w:t>
      </w:r>
      <w:r>
        <w:fldChar w:fldCharType="end"/>
      </w:r>
      <w:r>
        <w:t xml:space="preserve">) is sufficient to conclude that it could be a useful intervention in people with hyperkalaemia needing treatment </w:t>
      </w:r>
      <w:r w:rsidR="00FC6D60">
        <w:rPr>
          <w:lang w:val="en-US"/>
        </w:rPr>
        <w:t>in the emergency care setting</w:t>
      </w:r>
      <w:r>
        <w:t>.</w:t>
      </w:r>
      <w:bookmarkEnd w:id="7"/>
    </w:p>
    <w:p w14:paraId="2B49CD12" w14:textId="58399A44" w:rsidR="00BF2C66" w:rsidRPr="0082254E" w:rsidRDefault="00B05E55" w:rsidP="00BF2C66">
      <w:pPr>
        <w:pStyle w:val="Heading3"/>
      </w:pPr>
      <w:r>
        <w:lastRenderedPageBreak/>
        <w:t>It is not clear whether</w:t>
      </w:r>
      <w:r w:rsidR="002F63A7" w:rsidRPr="0082254E">
        <w:t xml:space="preserve"> </w:t>
      </w:r>
      <w:r w:rsidR="00BC2FEA" w:rsidRPr="0082254E">
        <w:t>lower</w:t>
      </w:r>
      <w:r>
        <w:t>ing</w:t>
      </w:r>
      <w:r w:rsidR="00BC2FEA" w:rsidRPr="0082254E">
        <w:t xml:space="preserve"> </w:t>
      </w:r>
      <w:r w:rsidR="00EA0F3C" w:rsidRPr="0082254E">
        <w:t xml:space="preserve">serum </w:t>
      </w:r>
      <w:r w:rsidR="00BC2FEA" w:rsidRPr="0082254E">
        <w:t>potassium</w:t>
      </w:r>
      <w:r w:rsidR="00AF359D">
        <w:t xml:space="preserve"> is beneficial in</w:t>
      </w:r>
      <w:r w:rsidR="00CC1817" w:rsidRPr="0082254E">
        <w:t xml:space="preserve"> </w:t>
      </w:r>
      <w:r w:rsidR="00FC2664">
        <w:t>chronic</w:t>
      </w:r>
      <w:r w:rsidR="00CC1817" w:rsidRPr="0082254E">
        <w:t xml:space="preserve"> hyperkalaemia</w:t>
      </w:r>
    </w:p>
    <w:p w14:paraId="54F82E2F" w14:textId="1066AC7B" w:rsidR="00096E57" w:rsidRPr="00780EEE" w:rsidRDefault="00A06D01" w:rsidP="00F366E7">
      <w:pPr>
        <w:pStyle w:val="Numberedlevel2text"/>
        <w:rPr>
          <w:lang w:val="en-GB"/>
        </w:rPr>
      </w:pPr>
      <w:r w:rsidRPr="008D67AB">
        <w:rPr>
          <w:lang w:val="en-GB"/>
        </w:rPr>
        <w:t xml:space="preserve">In </w:t>
      </w:r>
      <w:r w:rsidR="00CC1817" w:rsidRPr="008D67AB">
        <w:rPr>
          <w:lang w:val="en-GB"/>
        </w:rPr>
        <w:t xml:space="preserve">the correction phase </w:t>
      </w:r>
      <w:r w:rsidR="00CC1817" w:rsidRPr="00423787">
        <w:rPr>
          <w:lang w:val="en-GB"/>
        </w:rPr>
        <w:t xml:space="preserve">of </w:t>
      </w:r>
      <w:r w:rsidRPr="00780EEE">
        <w:rPr>
          <w:lang w:val="en-GB"/>
        </w:rPr>
        <w:t>ZS003</w:t>
      </w:r>
      <w:r w:rsidR="005A2B25" w:rsidRPr="00780EEE">
        <w:rPr>
          <w:lang w:val="en-GB"/>
        </w:rPr>
        <w:t>,</w:t>
      </w:r>
      <w:r w:rsidRPr="00780EEE">
        <w:rPr>
          <w:lang w:val="en-GB"/>
        </w:rPr>
        <w:t xml:space="preserve"> sodium zirconium cyclosilicate was associated with a greater reduction in serum potassium tha</w:t>
      </w:r>
      <w:r w:rsidR="005A2B25" w:rsidRPr="00780EEE">
        <w:rPr>
          <w:lang w:val="en-GB"/>
        </w:rPr>
        <w:t>n</w:t>
      </w:r>
      <w:r w:rsidRPr="00780EEE">
        <w:rPr>
          <w:lang w:val="en-GB"/>
        </w:rPr>
        <w:t xml:space="preserve"> placebo.</w:t>
      </w:r>
      <w:r w:rsidR="00713617">
        <w:rPr>
          <w:lang w:val="en-GB"/>
        </w:rPr>
        <w:t xml:space="preserve"> The committee was aware that around </w:t>
      </w:r>
      <w:r w:rsidR="0075662F">
        <w:rPr>
          <w:lang w:val="en-GB"/>
        </w:rPr>
        <w:t>three-</w:t>
      </w:r>
      <w:r w:rsidR="00713617">
        <w:rPr>
          <w:lang w:val="en-GB"/>
        </w:rPr>
        <w:t>quarters of people in this trial had serum potassium levels below 5.5</w:t>
      </w:r>
      <w:r w:rsidR="0075662F">
        <w:rPr>
          <w:lang w:val="en-GB"/>
        </w:rPr>
        <w:t> </w:t>
      </w:r>
      <w:r w:rsidR="00713617">
        <w:rPr>
          <w:lang w:val="en-GB"/>
        </w:rPr>
        <w:t xml:space="preserve">mmol/litre, outside the range </w:t>
      </w:r>
      <w:r w:rsidR="008A7E16">
        <w:rPr>
          <w:lang w:val="en-GB"/>
        </w:rPr>
        <w:t xml:space="preserve">that </w:t>
      </w:r>
      <w:r w:rsidR="00713617">
        <w:rPr>
          <w:lang w:val="en-GB"/>
        </w:rPr>
        <w:t>would be treated in the NHS.</w:t>
      </w:r>
      <w:r w:rsidRPr="00780EEE">
        <w:rPr>
          <w:lang w:val="en-GB"/>
        </w:rPr>
        <w:t xml:space="preserve"> </w:t>
      </w:r>
      <w:r w:rsidR="00BC2FEA" w:rsidRPr="00780EEE">
        <w:rPr>
          <w:lang w:val="en-GB"/>
        </w:rPr>
        <w:t xml:space="preserve">In </w:t>
      </w:r>
      <w:r w:rsidR="00CC1817" w:rsidRPr="00780EEE">
        <w:rPr>
          <w:lang w:val="en-GB"/>
        </w:rPr>
        <w:t xml:space="preserve">the correction phases of </w:t>
      </w:r>
      <w:r w:rsidR="00BC2FEA" w:rsidRPr="00780EEE">
        <w:rPr>
          <w:lang w:val="en-GB"/>
        </w:rPr>
        <w:t>ZS004 and ZS005</w:t>
      </w:r>
      <w:r w:rsidR="003F34BC" w:rsidRPr="00780EEE">
        <w:rPr>
          <w:lang w:val="en-GB"/>
        </w:rPr>
        <w:t>,</w:t>
      </w:r>
      <w:r w:rsidR="00BC2FEA" w:rsidRPr="00780EEE">
        <w:rPr>
          <w:lang w:val="en-GB"/>
        </w:rPr>
        <w:t xml:space="preserve"> </w:t>
      </w:r>
      <w:r w:rsidR="00C34E2E" w:rsidRPr="00780EEE">
        <w:rPr>
          <w:lang w:val="en-GB"/>
        </w:rPr>
        <w:t>sodium zirconium cyclosilicate was associated w</w:t>
      </w:r>
      <w:r w:rsidR="00BB7AF8" w:rsidRPr="005B40AE">
        <w:rPr>
          <w:lang w:val="en-GB"/>
        </w:rPr>
        <w:t>it</w:t>
      </w:r>
      <w:r w:rsidR="00C34E2E" w:rsidRPr="005B40AE">
        <w:rPr>
          <w:lang w:val="en-GB"/>
        </w:rPr>
        <w:t xml:space="preserve">h </w:t>
      </w:r>
      <w:r w:rsidR="003F34BC" w:rsidRPr="005B40AE">
        <w:rPr>
          <w:lang w:val="en-GB"/>
        </w:rPr>
        <w:t xml:space="preserve">reduced serum </w:t>
      </w:r>
      <w:r w:rsidR="00BC2FEA" w:rsidRPr="005B40AE">
        <w:rPr>
          <w:lang w:val="en-GB"/>
        </w:rPr>
        <w:t xml:space="preserve">potassium levels from </w:t>
      </w:r>
      <w:r w:rsidR="00B0704C" w:rsidRPr="005B40AE">
        <w:rPr>
          <w:lang w:val="en-GB"/>
        </w:rPr>
        <w:t xml:space="preserve">above </w:t>
      </w:r>
      <w:r w:rsidR="00BC2FEA" w:rsidRPr="005B40AE">
        <w:rPr>
          <w:lang w:val="en-GB"/>
        </w:rPr>
        <w:t>5.0</w:t>
      </w:r>
      <w:r w:rsidR="003F34BC" w:rsidRPr="005B40AE">
        <w:rPr>
          <w:lang w:val="en-GB"/>
        </w:rPr>
        <w:t> </w:t>
      </w:r>
      <w:r w:rsidR="00BC2FEA" w:rsidRPr="005B40AE">
        <w:rPr>
          <w:lang w:val="en-GB"/>
        </w:rPr>
        <w:t>mmol/</w:t>
      </w:r>
      <w:r w:rsidR="00856DA1" w:rsidRPr="00284AE6">
        <w:rPr>
          <w:lang w:val="en-GB"/>
        </w:rPr>
        <w:t xml:space="preserve">litre </w:t>
      </w:r>
      <w:r w:rsidR="00BC2FEA" w:rsidRPr="00284AE6">
        <w:rPr>
          <w:lang w:val="en-GB"/>
        </w:rPr>
        <w:t>to within the normal range of 3.5</w:t>
      </w:r>
      <w:r w:rsidR="003F34BC" w:rsidRPr="007759DC">
        <w:rPr>
          <w:bCs w:val="0"/>
          <w:iCs w:val="0"/>
        </w:rPr>
        <w:t> </w:t>
      </w:r>
      <w:r w:rsidR="00BC2FEA" w:rsidRPr="007759DC">
        <w:rPr>
          <w:bCs w:val="0"/>
          <w:iCs w:val="0"/>
        </w:rPr>
        <w:t>mmol/</w:t>
      </w:r>
      <w:r w:rsidR="00856DA1" w:rsidRPr="007759DC">
        <w:rPr>
          <w:bCs w:val="0"/>
          <w:iCs w:val="0"/>
        </w:rPr>
        <w:t xml:space="preserve">litre </w:t>
      </w:r>
      <w:r w:rsidR="00BC2FEA" w:rsidRPr="007759DC">
        <w:rPr>
          <w:bCs w:val="0"/>
          <w:iCs w:val="0"/>
        </w:rPr>
        <w:t>to 5.0</w:t>
      </w:r>
      <w:r w:rsidR="003F34BC" w:rsidRPr="007759DC">
        <w:rPr>
          <w:bCs w:val="0"/>
          <w:iCs w:val="0"/>
        </w:rPr>
        <w:t> </w:t>
      </w:r>
      <w:r w:rsidR="00856DA1" w:rsidRPr="007759DC">
        <w:rPr>
          <w:bCs w:val="0"/>
          <w:iCs w:val="0"/>
        </w:rPr>
        <w:t>mmol/litre</w:t>
      </w:r>
      <w:r w:rsidR="0058309B" w:rsidRPr="007759DC">
        <w:rPr>
          <w:bCs w:val="0"/>
          <w:iCs w:val="0"/>
        </w:rPr>
        <w:t xml:space="preserve"> in around 70% of </w:t>
      </w:r>
      <w:r w:rsidR="003F34BC" w:rsidRPr="007759DC">
        <w:rPr>
          <w:bCs w:val="0"/>
          <w:iCs w:val="0"/>
        </w:rPr>
        <w:t>patients</w:t>
      </w:r>
      <w:r w:rsidR="0058309B" w:rsidRPr="007759DC">
        <w:rPr>
          <w:bCs w:val="0"/>
          <w:iCs w:val="0"/>
        </w:rPr>
        <w:t>.</w:t>
      </w:r>
      <w:r w:rsidR="00BC2F32" w:rsidRPr="007759DC">
        <w:rPr>
          <w:bCs w:val="0"/>
          <w:iCs w:val="0"/>
        </w:rPr>
        <w:t xml:space="preserve"> In the subgroup of people with serum potassium </w:t>
      </w:r>
      <w:r w:rsidR="00AF359D" w:rsidRPr="007759DC">
        <w:rPr>
          <w:bCs w:val="0"/>
          <w:iCs w:val="0"/>
        </w:rPr>
        <w:t>levels of</w:t>
      </w:r>
      <w:r w:rsidR="00BC2F32" w:rsidRPr="007759DC">
        <w:rPr>
          <w:bCs w:val="0"/>
          <w:iCs w:val="0"/>
        </w:rPr>
        <w:t xml:space="preserve"> 6.5</w:t>
      </w:r>
      <w:r w:rsidR="00A31105" w:rsidRPr="007759DC">
        <w:rPr>
          <w:bCs w:val="0"/>
          <w:iCs w:val="0"/>
        </w:rPr>
        <w:t> </w:t>
      </w:r>
      <w:r w:rsidR="00BC2F32" w:rsidRPr="007759DC">
        <w:rPr>
          <w:bCs w:val="0"/>
          <w:iCs w:val="0"/>
        </w:rPr>
        <w:t>mmol/litre</w:t>
      </w:r>
      <w:r w:rsidR="00A31105" w:rsidRPr="007759DC">
        <w:rPr>
          <w:bCs w:val="0"/>
          <w:iCs w:val="0"/>
        </w:rPr>
        <w:t xml:space="preserve"> and above</w:t>
      </w:r>
      <w:r w:rsidR="00BC2F32" w:rsidRPr="007759DC">
        <w:rPr>
          <w:bCs w:val="0"/>
          <w:iCs w:val="0"/>
        </w:rPr>
        <w:t>, all patients had serum potassium in the normal range after 48</w:t>
      </w:r>
      <w:r w:rsidR="007759DC" w:rsidRPr="007759DC">
        <w:rPr>
          <w:bCs w:val="0"/>
          <w:iCs w:val="0"/>
        </w:rPr>
        <w:t> </w:t>
      </w:r>
      <w:r w:rsidR="00BC2F32" w:rsidRPr="007759DC">
        <w:rPr>
          <w:bCs w:val="0"/>
          <w:iCs w:val="0"/>
        </w:rPr>
        <w:t>hours of treatment.</w:t>
      </w:r>
      <w:r w:rsidR="0058309B" w:rsidRPr="007759DC">
        <w:rPr>
          <w:bCs w:val="0"/>
          <w:iCs w:val="0"/>
        </w:rPr>
        <w:t xml:space="preserve"> The average </w:t>
      </w:r>
      <w:r w:rsidR="003F34BC" w:rsidRPr="007759DC">
        <w:rPr>
          <w:bCs w:val="0"/>
          <w:iCs w:val="0"/>
        </w:rPr>
        <w:t xml:space="preserve">serum </w:t>
      </w:r>
      <w:r w:rsidR="0058309B" w:rsidRPr="007759DC">
        <w:rPr>
          <w:bCs w:val="0"/>
          <w:iCs w:val="0"/>
        </w:rPr>
        <w:t xml:space="preserve">potassium </w:t>
      </w:r>
      <w:r w:rsidR="003F34BC" w:rsidRPr="007759DC">
        <w:rPr>
          <w:bCs w:val="0"/>
          <w:iCs w:val="0"/>
        </w:rPr>
        <w:t>in patients</w:t>
      </w:r>
      <w:r w:rsidR="0058309B" w:rsidRPr="007759DC">
        <w:rPr>
          <w:bCs w:val="0"/>
          <w:iCs w:val="0"/>
        </w:rPr>
        <w:t xml:space="preserve"> in ZS004</w:t>
      </w:r>
      <w:r w:rsidR="00BD4649" w:rsidRPr="007759DC">
        <w:rPr>
          <w:bCs w:val="0"/>
          <w:iCs w:val="0"/>
        </w:rPr>
        <w:t>,</w:t>
      </w:r>
      <w:r w:rsidR="0058309B" w:rsidRPr="007759DC">
        <w:rPr>
          <w:bCs w:val="0"/>
          <w:iCs w:val="0"/>
        </w:rPr>
        <w:t xml:space="preserve"> over the 28</w:t>
      </w:r>
      <w:r w:rsidR="00BD4649" w:rsidRPr="007759DC">
        <w:rPr>
          <w:bCs w:val="0"/>
          <w:iCs w:val="0"/>
        </w:rPr>
        <w:t> </w:t>
      </w:r>
      <w:r w:rsidR="0058309B" w:rsidRPr="007759DC">
        <w:rPr>
          <w:bCs w:val="0"/>
          <w:iCs w:val="0"/>
        </w:rPr>
        <w:t>days</w:t>
      </w:r>
      <w:r w:rsidR="001B48B5" w:rsidRPr="007759DC">
        <w:rPr>
          <w:bCs w:val="0"/>
          <w:iCs w:val="0"/>
        </w:rPr>
        <w:t xml:space="preserve"> after the correction phase</w:t>
      </w:r>
      <w:r w:rsidR="003F34BC" w:rsidRPr="007759DC">
        <w:rPr>
          <w:bCs w:val="0"/>
          <w:iCs w:val="0"/>
        </w:rPr>
        <w:t>,</w:t>
      </w:r>
      <w:r w:rsidR="0058309B" w:rsidRPr="007759DC">
        <w:rPr>
          <w:bCs w:val="0"/>
          <w:iCs w:val="0"/>
        </w:rPr>
        <w:t xml:space="preserve"> was </w:t>
      </w:r>
      <w:r w:rsidR="00C7064C" w:rsidRPr="007759DC">
        <w:rPr>
          <w:bCs w:val="0"/>
          <w:iCs w:val="0"/>
        </w:rPr>
        <w:t>5.1</w:t>
      </w:r>
      <w:r w:rsidR="003F34BC" w:rsidRPr="007759DC">
        <w:rPr>
          <w:bCs w:val="0"/>
          <w:iCs w:val="0"/>
        </w:rPr>
        <w:t> </w:t>
      </w:r>
      <w:r w:rsidR="00C7064C" w:rsidRPr="007759DC">
        <w:rPr>
          <w:bCs w:val="0"/>
          <w:iCs w:val="0"/>
        </w:rPr>
        <w:t>mmol/</w:t>
      </w:r>
      <w:r w:rsidR="00856DA1" w:rsidRPr="007759DC">
        <w:rPr>
          <w:bCs w:val="0"/>
          <w:iCs w:val="0"/>
        </w:rPr>
        <w:t xml:space="preserve">litre </w:t>
      </w:r>
      <w:r w:rsidR="00C7064C" w:rsidRPr="007759DC">
        <w:rPr>
          <w:bCs w:val="0"/>
          <w:iCs w:val="0"/>
        </w:rPr>
        <w:t>in the placebo group</w:t>
      </w:r>
      <w:r w:rsidR="003F34BC" w:rsidRPr="007759DC">
        <w:rPr>
          <w:bCs w:val="0"/>
          <w:iCs w:val="0"/>
        </w:rPr>
        <w:t>,</w:t>
      </w:r>
      <w:r w:rsidR="00C7064C" w:rsidRPr="007759DC">
        <w:rPr>
          <w:bCs w:val="0"/>
          <w:iCs w:val="0"/>
        </w:rPr>
        <w:t xml:space="preserve"> and 4.8</w:t>
      </w:r>
      <w:r w:rsidR="003F34BC" w:rsidRPr="007759DC">
        <w:rPr>
          <w:bCs w:val="0"/>
          <w:iCs w:val="0"/>
        </w:rPr>
        <w:t> </w:t>
      </w:r>
      <w:r w:rsidR="00C7064C" w:rsidRPr="007759DC">
        <w:rPr>
          <w:bCs w:val="0"/>
          <w:iCs w:val="0"/>
        </w:rPr>
        <w:t>mmol/</w:t>
      </w:r>
      <w:r w:rsidR="00856DA1" w:rsidRPr="007759DC">
        <w:rPr>
          <w:bCs w:val="0"/>
          <w:iCs w:val="0"/>
        </w:rPr>
        <w:t>litre</w:t>
      </w:r>
      <w:r w:rsidR="00C7064C" w:rsidRPr="007759DC">
        <w:rPr>
          <w:bCs w:val="0"/>
          <w:iCs w:val="0"/>
        </w:rPr>
        <w:t xml:space="preserve"> and 4.5</w:t>
      </w:r>
      <w:r w:rsidR="003F34BC" w:rsidRPr="007759DC">
        <w:rPr>
          <w:bCs w:val="0"/>
          <w:iCs w:val="0"/>
        </w:rPr>
        <w:t> </w:t>
      </w:r>
      <w:r w:rsidR="00C7064C" w:rsidRPr="007759DC">
        <w:rPr>
          <w:bCs w:val="0"/>
          <w:iCs w:val="0"/>
        </w:rPr>
        <w:t>mmol/</w:t>
      </w:r>
      <w:r w:rsidR="00856DA1" w:rsidRPr="007759DC">
        <w:rPr>
          <w:bCs w:val="0"/>
          <w:iCs w:val="0"/>
        </w:rPr>
        <w:t xml:space="preserve">litre </w:t>
      </w:r>
      <w:r w:rsidR="00C7064C" w:rsidRPr="007759DC">
        <w:rPr>
          <w:bCs w:val="0"/>
          <w:iCs w:val="0"/>
        </w:rPr>
        <w:t>in the 5</w:t>
      </w:r>
      <w:r w:rsidR="003F34BC" w:rsidRPr="007759DC">
        <w:rPr>
          <w:bCs w:val="0"/>
          <w:iCs w:val="0"/>
        </w:rPr>
        <w:t> </w:t>
      </w:r>
      <w:r w:rsidR="00856DA1" w:rsidRPr="007759DC">
        <w:rPr>
          <w:bCs w:val="0"/>
          <w:iCs w:val="0"/>
        </w:rPr>
        <w:t xml:space="preserve">g </w:t>
      </w:r>
      <w:r w:rsidR="00C7064C" w:rsidRPr="007759DC">
        <w:rPr>
          <w:bCs w:val="0"/>
          <w:iCs w:val="0"/>
        </w:rPr>
        <w:t>and 10</w:t>
      </w:r>
      <w:r w:rsidR="003F34BC" w:rsidRPr="007759DC">
        <w:rPr>
          <w:bCs w:val="0"/>
          <w:iCs w:val="0"/>
        </w:rPr>
        <w:t> </w:t>
      </w:r>
      <w:r w:rsidR="00C7064C" w:rsidRPr="007759DC">
        <w:rPr>
          <w:bCs w:val="0"/>
          <w:iCs w:val="0"/>
        </w:rPr>
        <w:t xml:space="preserve">g daily doses of sodium zirconium cyclosilicate </w:t>
      </w:r>
      <w:r w:rsidR="003F34BC" w:rsidRPr="007759DC">
        <w:rPr>
          <w:bCs w:val="0"/>
          <w:iCs w:val="0"/>
        </w:rPr>
        <w:t xml:space="preserve">groups </w:t>
      </w:r>
      <w:r w:rsidR="00C7064C" w:rsidRPr="007759DC">
        <w:rPr>
          <w:bCs w:val="0"/>
          <w:iCs w:val="0"/>
        </w:rPr>
        <w:t>respectively</w:t>
      </w:r>
      <w:r w:rsidR="007759DC" w:rsidRPr="007759DC">
        <w:rPr>
          <w:bCs w:val="0"/>
          <w:iCs w:val="0"/>
        </w:rPr>
        <w:t>. These</w:t>
      </w:r>
      <w:r w:rsidR="006B719B" w:rsidRPr="007759DC">
        <w:rPr>
          <w:bCs w:val="0"/>
          <w:iCs w:val="0"/>
        </w:rPr>
        <w:t xml:space="preserve"> </w:t>
      </w:r>
      <w:r w:rsidR="00EA685A" w:rsidRPr="007759DC">
        <w:rPr>
          <w:bCs w:val="0"/>
          <w:iCs w:val="0"/>
        </w:rPr>
        <w:t xml:space="preserve">all </w:t>
      </w:r>
      <w:r w:rsidR="006B719B" w:rsidRPr="007759DC">
        <w:rPr>
          <w:bCs w:val="0"/>
          <w:iCs w:val="0"/>
        </w:rPr>
        <w:t>fell within a range that would not be treated further</w:t>
      </w:r>
      <w:r w:rsidR="0078567E" w:rsidRPr="007759DC">
        <w:rPr>
          <w:bCs w:val="0"/>
          <w:iCs w:val="0"/>
        </w:rPr>
        <w:t xml:space="preserve"> in the NHS</w:t>
      </w:r>
      <w:r w:rsidR="00C7064C" w:rsidRPr="007759DC">
        <w:rPr>
          <w:bCs w:val="0"/>
          <w:iCs w:val="0"/>
        </w:rPr>
        <w:t>.</w:t>
      </w:r>
      <w:r w:rsidR="00E945A9" w:rsidRPr="007759DC">
        <w:rPr>
          <w:bCs w:val="0"/>
          <w:iCs w:val="0"/>
        </w:rPr>
        <w:t xml:space="preserve"> In response to consultation</w:t>
      </w:r>
      <w:r w:rsidR="007759DC" w:rsidRPr="007759DC">
        <w:rPr>
          <w:bCs w:val="0"/>
          <w:iCs w:val="0"/>
        </w:rPr>
        <w:t>,</w:t>
      </w:r>
      <w:r w:rsidR="00E945A9" w:rsidRPr="007759DC">
        <w:rPr>
          <w:bCs w:val="0"/>
          <w:iCs w:val="0"/>
        </w:rPr>
        <w:t xml:space="preserve"> the company provided </w:t>
      </w:r>
      <w:r w:rsidR="009B6C8B" w:rsidRPr="007759DC">
        <w:rPr>
          <w:bCs w:val="0"/>
          <w:iCs w:val="0"/>
        </w:rPr>
        <w:t>a post-hoc analysis of</w:t>
      </w:r>
      <w:r w:rsidR="00E945A9" w:rsidRPr="007759DC">
        <w:rPr>
          <w:bCs w:val="0"/>
          <w:iCs w:val="0"/>
        </w:rPr>
        <w:t xml:space="preserve"> the subgroups of patients in ZS004 and ZS005 who had baseline </w:t>
      </w:r>
      <w:r w:rsidR="00A31105" w:rsidRPr="007759DC">
        <w:rPr>
          <w:bCs w:val="0"/>
          <w:iCs w:val="0"/>
        </w:rPr>
        <w:t xml:space="preserve">serum </w:t>
      </w:r>
      <w:r w:rsidR="00E945A9" w:rsidRPr="007759DC">
        <w:rPr>
          <w:bCs w:val="0"/>
          <w:iCs w:val="0"/>
        </w:rPr>
        <w:t xml:space="preserve">potassium levels </w:t>
      </w:r>
      <w:r w:rsidR="00A31105" w:rsidRPr="007759DC">
        <w:rPr>
          <w:bCs w:val="0"/>
          <w:iCs w:val="0"/>
        </w:rPr>
        <w:t>of</w:t>
      </w:r>
      <w:r w:rsidR="00E945A9" w:rsidRPr="007759DC">
        <w:rPr>
          <w:bCs w:val="0"/>
          <w:iCs w:val="0"/>
        </w:rPr>
        <w:t xml:space="preserve"> 6.0</w:t>
      </w:r>
      <w:r w:rsidR="00A31105" w:rsidRPr="007759DC">
        <w:rPr>
          <w:bCs w:val="0"/>
          <w:iCs w:val="0"/>
        </w:rPr>
        <w:t> </w:t>
      </w:r>
      <w:r w:rsidR="00E945A9" w:rsidRPr="007759DC">
        <w:rPr>
          <w:bCs w:val="0"/>
          <w:iCs w:val="0"/>
        </w:rPr>
        <w:t xml:space="preserve">mmol/litre </w:t>
      </w:r>
      <w:r w:rsidR="00A31105" w:rsidRPr="007759DC">
        <w:rPr>
          <w:bCs w:val="0"/>
          <w:iCs w:val="0"/>
        </w:rPr>
        <w:t xml:space="preserve">and above </w:t>
      </w:r>
      <w:r w:rsidR="00E945A9" w:rsidRPr="007759DC">
        <w:rPr>
          <w:bCs w:val="0"/>
          <w:iCs w:val="0"/>
        </w:rPr>
        <w:t>and 5.5</w:t>
      </w:r>
      <w:r w:rsidR="00A31105" w:rsidRPr="007759DC">
        <w:rPr>
          <w:bCs w:val="0"/>
          <w:iCs w:val="0"/>
        </w:rPr>
        <w:t> </w:t>
      </w:r>
      <w:r w:rsidR="00E945A9" w:rsidRPr="007759DC">
        <w:rPr>
          <w:bCs w:val="0"/>
          <w:iCs w:val="0"/>
        </w:rPr>
        <w:t>mmol/litre</w:t>
      </w:r>
      <w:r w:rsidR="00A31105" w:rsidRPr="007759DC">
        <w:rPr>
          <w:bCs w:val="0"/>
          <w:iCs w:val="0"/>
        </w:rPr>
        <w:t xml:space="preserve"> and above</w:t>
      </w:r>
      <w:r w:rsidR="009B6C8B" w:rsidRPr="007759DC">
        <w:rPr>
          <w:bCs w:val="0"/>
          <w:iCs w:val="0"/>
        </w:rPr>
        <w:t xml:space="preserve">, the threshold at which RAAS inhibitors are likely to be stopped in chronic kidney disease and heart failure respectively. </w:t>
      </w:r>
      <w:r w:rsidR="007759DC" w:rsidRPr="007759DC">
        <w:rPr>
          <w:bCs w:val="0"/>
          <w:iCs w:val="0"/>
        </w:rPr>
        <w:t>Most patients</w:t>
      </w:r>
      <w:r w:rsidR="009B6C8B" w:rsidRPr="007759DC">
        <w:rPr>
          <w:bCs w:val="0"/>
          <w:iCs w:val="0"/>
        </w:rPr>
        <w:t xml:space="preserve"> had a serum potassium under the threshold after the correction phase and maintained this level during the correction phase.</w:t>
      </w:r>
      <w:r w:rsidR="007759DC" w:rsidRPr="007759DC">
        <w:rPr>
          <w:bCs w:val="0"/>
          <w:iCs w:val="0"/>
        </w:rPr>
        <w:t xml:space="preserve"> </w:t>
      </w:r>
      <w:r w:rsidR="006B719B" w:rsidRPr="008D67AB">
        <w:rPr>
          <w:lang w:val="en-GB"/>
        </w:rPr>
        <w:t>T</w:t>
      </w:r>
      <w:r w:rsidR="005428BC" w:rsidRPr="008D67AB">
        <w:rPr>
          <w:lang w:val="en-GB"/>
        </w:rPr>
        <w:t>he committee noted:</w:t>
      </w:r>
    </w:p>
    <w:p w14:paraId="17274854" w14:textId="282DBD02" w:rsidR="00D97800" w:rsidRPr="0082254E" w:rsidRDefault="007759DC" w:rsidP="005428BC">
      <w:pPr>
        <w:pStyle w:val="Bulletindent1"/>
        <w:rPr>
          <w:lang w:val="en-GB"/>
        </w:rPr>
      </w:pPr>
      <w:r>
        <w:rPr>
          <w:lang w:val="en-GB"/>
        </w:rPr>
        <w:t>The</w:t>
      </w:r>
      <w:r w:rsidR="00E936FD" w:rsidRPr="0082254E">
        <w:rPr>
          <w:lang w:val="en-GB"/>
        </w:rPr>
        <w:t xml:space="preserve"> placebo response in ZS003 </w:t>
      </w:r>
      <w:r>
        <w:rPr>
          <w:lang w:val="en-GB"/>
        </w:rPr>
        <w:t>was</w:t>
      </w:r>
      <w:r w:rsidRPr="0082254E">
        <w:rPr>
          <w:lang w:val="en-GB"/>
        </w:rPr>
        <w:t xml:space="preserve"> </w:t>
      </w:r>
      <w:r w:rsidR="00A31105">
        <w:rPr>
          <w:lang w:val="en-GB"/>
        </w:rPr>
        <w:t>about one-</w:t>
      </w:r>
      <w:r w:rsidR="00E936FD" w:rsidRPr="0082254E">
        <w:rPr>
          <w:lang w:val="en-GB"/>
        </w:rPr>
        <w:t>third of the response with sodium zirconium cyclosilicate.</w:t>
      </w:r>
    </w:p>
    <w:p w14:paraId="1DFD484E" w14:textId="5AF1534D" w:rsidR="00C34E2E" w:rsidRPr="0082254E" w:rsidRDefault="005A2B25" w:rsidP="005428BC">
      <w:pPr>
        <w:pStyle w:val="Bulletindent1"/>
        <w:rPr>
          <w:lang w:val="en-GB"/>
        </w:rPr>
      </w:pPr>
      <w:r w:rsidRPr="0082254E">
        <w:rPr>
          <w:lang w:val="en-GB"/>
        </w:rPr>
        <w:t>The p</w:t>
      </w:r>
      <w:r w:rsidR="00D97800" w:rsidRPr="0082254E">
        <w:rPr>
          <w:lang w:val="en-GB"/>
        </w:rPr>
        <w:t>lacebo in ZS003 did not reflect NHS</w:t>
      </w:r>
      <w:r w:rsidR="0003510C">
        <w:rPr>
          <w:lang w:val="en-GB"/>
        </w:rPr>
        <w:t xml:space="preserve"> practice</w:t>
      </w:r>
      <w:r w:rsidR="00D97800" w:rsidRPr="0082254E">
        <w:rPr>
          <w:lang w:val="en-GB"/>
        </w:rPr>
        <w:t xml:space="preserve"> (for example</w:t>
      </w:r>
      <w:r w:rsidR="007759DC">
        <w:rPr>
          <w:lang w:val="en-GB"/>
        </w:rPr>
        <w:t>,</w:t>
      </w:r>
      <w:r w:rsidR="00D97800" w:rsidRPr="0082254E">
        <w:rPr>
          <w:lang w:val="en-GB"/>
        </w:rPr>
        <w:t xml:space="preserve"> us</w:t>
      </w:r>
      <w:r w:rsidR="007759DC">
        <w:rPr>
          <w:lang w:val="en-GB"/>
        </w:rPr>
        <w:t>ing</w:t>
      </w:r>
      <w:r w:rsidR="00D97800" w:rsidRPr="0082254E">
        <w:rPr>
          <w:lang w:val="en-GB"/>
        </w:rPr>
        <w:t xml:space="preserve"> calcium resoni</w:t>
      </w:r>
      <w:r w:rsidR="00E945A9" w:rsidRPr="0082254E">
        <w:rPr>
          <w:lang w:val="en-GB"/>
        </w:rPr>
        <w:t>um or stopping RAAS inhibitors).</w:t>
      </w:r>
    </w:p>
    <w:p w14:paraId="43A1AF38" w14:textId="06003BD6" w:rsidR="00C34E2E" w:rsidRPr="0082254E" w:rsidRDefault="00BD02A4" w:rsidP="005428BC">
      <w:pPr>
        <w:pStyle w:val="Bulletindent1"/>
        <w:rPr>
          <w:lang w:val="en-GB"/>
        </w:rPr>
      </w:pPr>
      <w:r w:rsidRPr="0082254E">
        <w:rPr>
          <w:lang w:val="en-GB"/>
        </w:rPr>
        <w:t>The trial</w:t>
      </w:r>
      <w:r w:rsidR="00A06D01" w:rsidRPr="0082254E">
        <w:rPr>
          <w:lang w:val="en-GB"/>
        </w:rPr>
        <w:t>s</w:t>
      </w:r>
      <w:r w:rsidRPr="0082254E">
        <w:rPr>
          <w:lang w:val="en-GB"/>
        </w:rPr>
        <w:t xml:space="preserve"> started treatment in patients with </w:t>
      </w:r>
      <w:r w:rsidR="003F34BC" w:rsidRPr="0082254E">
        <w:rPr>
          <w:lang w:val="en-GB"/>
        </w:rPr>
        <w:t xml:space="preserve">serum potassium </w:t>
      </w:r>
      <w:r w:rsidR="00A31105">
        <w:rPr>
          <w:lang w:val="en-GB"/>
        </w:rPr>
        <w:t xml:space="preserve">levels of </w:t>
      </w:r>
      <w:r w:rsidR="007759DC">
        <w:rPr>
          <w:lang w:val="en-GB"/>
        </w:rPr>
        <w:t>above</w:t>
      </w:r>
      <w:r w:rsidR="006B719B" w:rsidRPr="0082254E">
        <w:rPr>
          <w:lang w:val="en-GB"/>
        </w:rPr>
        <w:t xml:space="preserve"> </w:t>
      </w:r>
      <w:r w:rsidR="00C34E2E" w:rsidRPr="0082254E">
        <w:rPr>
          <w:lang w:val="en-GB"/>
        </w:rPr>
        <w:t>5</w:t>
      </w:r>
      <w:r w:rsidR="006B719B" w:rsidRPr="0082254E">
        <w:rPr>
          <w:lang w:val="en-GB"/>
        </w:rPr>
        <w:t>.</w:t>
      </w:r>
      <w:r w:rsidRPr="0082254E">
        <w:rPr>
          <w:lang w:val="en-GB"/>
        </w:rPr>
        <w:t>0</w:t>
      </w:r>
      <w:r w:rsidR="003F34BC" w:rsidRPr="0082254E">
        <w:rPr>
          <w:lang w:val="en-GB"/>
        </w:rPr>
        <w:t> </w:t>
      </w:r>
      <w:r w:rsidR="00C34E2E" w:rsidRPr="0082254E">
        <w:rPr>
          <w:lang w:val="en-GB"/>
        </w:rPr>
        <w:t>mmol/</w:t>
      </w:r>
      <w:r w:rsidR="003F34BC" w:rsidRPr="0082254E">
        <w:rPr>
          <w:lang w:val="en-GB"/>
        </w:rPr>
        <w:t>litre</w:t>
      </w:r>
      <w:r w:rsidRPr="0082254E">
        <w:rPr>
          <w:lang w:val="en-GB"/>
        </w:rPr>
        <w:t>.</w:t>
      </w:r>
      <w:r w:rsidR="003F34BC" w:rsidRPr="0082254E">
        <w:rPr>
          <w:lang w:val="en-GB"/>
        </w:rPr>
        <w:t xml:space="preserve"> </w:t>
      </w:r>
      <w:r w:rsidRPr="0082254E">
        <w:rPr>
          <w:lang w:val="en-GB"/>
        </w:rPr>
        <w:t>Clinicians in the NHS would</w:t>
      </w:r>
      <w:r w:rsidR="00BD4649" w:rsidRPr="0082254E">
        <w:rPr>
          <w:lang w:val="en-GB"/>
        </w:rPr>
        <w:t xml:space="preserve"> </w:t>
      </w:r>
      <w:r w:rsidRPr="0082254E">
        <w:rPr>
          <w:lang w:val="en-GB"/>
        </w:rPr>
        <w:t>n</w:t>
      </w:r>
      <w:r w:rsidR="00BD4649" w:rsidRPr="0082254E">
        <w:rPr>
          <w:lang w:val="en-GB"/>
        </w:rPr>
        <w:t>o</w:t>
      </w:r>
      <w:r w:rsidRPr="0082254E">
        <w:rPr>
          <w:lang w:val="en-GB"/>
        </w:rPr>
        <w:t xml:space="preserve">t </w:t>
      </w:r>
      <w:r w:rsidR="00F111E1" w:rsidRPr="0082254E">
        <w:rPr>
          <w:lang w:val="en-GB"/>
        </w:rPr>
        <w:t xml:space="preserve">typically </w:t>
      </w:r>
      <w:r w:rsidRPr="0082254E">
        <w:rPr>
          <w:lang w:val="en-GB"/>
        </w:rPr>
        <w:t xml:space="preserve">offer treatment at this level </w:t>
      </w:r>
      <w:r w:rsidR="00EA3F48" w:rsidRPr="0082254E">
        <w:rPr>
          <w:lang w:val="en-GB"/>
        </w:rPr>
        <w:t>(see section</w:t>
      </w:r>
      <w:r w:rsidR="003F34BC" w:rsidRPr="0082254E">
        <w:rPr>
          <w:lang w:val="en-GB"/>
        </w:rPr>
        <w:t> </w:t>
      </w:r>
      <w:r w:rsidR="00F87E97">
        <w:rPr>
          <w:lang w:val="en-GB"/>
        </w:rPr>
        <w:fldChar w:fldCharType="begin"/>
      </w:r>
      <w:r w:rsidR="00F87E97">
        <w:rPr>
          <w:lang w:val="en-GB"/>
        </w:rPr>
        <w:instrText xml:space="preserve"> REF _Ref5617579 \r \h </w:instrText>
      </w:r>
      <w:r w:rsidR="00F87E97">
        <w:rPr>
          <w:lang w:val="en-GB"/>
        </w:rPr>
      </w:r>
      <w:r w:rsidR="00F87E97">
        <w:rPr>
          <w:lang w:val="en-GB"/>
        </w:rPr>
        <w:fldChar w:fldCharType="separate"/>
      </w:r>
      <w:r w:rsidR="00DA520D">
        <w:rPr>
          <w:lang w:val="en-GB"/>
        </w:rPr>
        <w:t>3.1</w:t>
      </w:r>
      <w:r w:rsidR="00F87E97">
        <w:rPr>
          <w:lang w:val="en-GB"/>
        </w:rPr>
        <w:fldChar w:fldCharType="end"/>
      </w:r>
      <w:r w:rsidR="00EA3F48" w:rsidRPr="0082254E">
        <w:rPr>
          <w:lang w:val="en-GB"/>
        </w:rPr>
        <w:t>)</w:t>
      </w:r>
      <w:r w:rsidRPr="0082254E">
        <w:rPr>
          <w:lang w:val="en-GB"/>
        </w:rPr>
        <w:t>.</w:t>
      </w:r>
    </w:p>
    <w:p w14:paraId="12B902E8" w14:textId="077C2CB3" w:rsidR="00C34E2E" w:rsidRPr="0082254E" w:rsidRDefault="00C34E2E" w:rsidP="005428BC">
      <w:pPr>
        <w:pStyle w:val="Bulletindent1"/>
        <w:rPr>
          <w:lang w:val="en-GB"/>
        </w:rPr>
      </w:pPr>
      <w:r w:rsidRPr="0082254E">
        <w:rPr>
          <w:lang w:val="en-GB"/>
        </w:rPr>
        <w:lastRenderedPageBreak/>
        <w:t xml:space="preserve">Clinicians in the NHS </w:t>
      </w:r>
      <w:r w:rsidR="002E46BE" w:rsidRPr="0082254E">
        <w:rPr>
          <w:lang w:val="en-GB"/>
        </w:rPr>
        <w:t>may</w:t>
      </w:r>
      <w:r w:rsidR="00BD02A4" w:rsidRPr="0082254E">
        <w:rPr>
          <w:lang w:val="en-GB"/>
        </w:rPr>
        <w:t xml:space="preserve"> not always view</w:t>
      </w:r>
      <w:r w:rsidR="00251390" w:rsidRPr="0082254E">
        <w:rPr>
          <w:lang w:val="en-GB"/>
        </w:rPr>
        <w:t xml:space="preserve"> a</w:t>
      </w:r>
      <w:r w:rsidR="00BD02A4" w:rsidRPr="0082254E">
        <w:rPr>
          <w:lang w:val="en-GB"/>
        </w:rPr>
        <w:t xml:space="preserve"> serum potassium level</w:t>
      </w:r>
      <w:r w:rsidR="00251390" w:rsidRPr="0082254E">
        <w:rPr>
          <w:lang w:val="en-GB"/>
        </w:rPr>
        <w:t xml:space="preserve"> of</w:t>
      </w:r>
      <w:r w:rsidR="001B48B5" w:rsidRPr="0082254E">
        <w:rPr>
          <w:lang w:val="en-GB"/>
        </w:rPr>
        <w:t xml:space="preserve"> below</w:t>
      </w:r>
      <w:r w:rsidR="004F6816" w:rsidRPr="0082254E">
        <w:rPr>
          <w:lang w:val="en-GB"/>
        </w:rPr>
        <w:t xml:space="preserve"> </w:t>
      </w:r>
      <w:r w:rsidR="00342156" w:rsidRPr="0082254E">
        <w:rPr>
          <w:lang w:val="en-GB"/>
        </w:rPr>
        <w:t>5.0</w:t>
      </w:r>
      <w:r w:rsidR="007F7202" w:rsidRPr="0082254E">
        <w:rPr>
          <w:lang w:val="en-GB"/>
        </w:rPr>
        <w:t> mmol/litre</w:t>
      </w:r>
      <w:r w:rsidR="00BD02A4" w:rsidRPr="0082254E">
        <w:rPr>
          <w:lang w:val="en-GB"/>
        </w:rPr>
        <w:t xml:space="preserve"> as the target for treatment </w:t>
      </w:r>
      <w:r w:rsidR="0082254E" w:rsidRPr="0082254E">
        <w:rPr>
          <w:lang w:val="en-GB"/>
        </w:rPr>
        <w:t>if</w:t>
      </w:r>
      <w:r w:rsidR="00BD02A4" w:rsidRPr="0082254E">
        <w:rPr>
          <w:lang w:val="en-GB"/>
        </w:rPr>
        <w:t xml:space="preserve"> serum potassium levels are reduced to non-</w:t>
      </w:r>
      <w:r w:rsidR="002E46BE" w:rsidRPr="0082254E">
        <w:rPr>
          <w:lang w:val="en-GB"/>
        </w:rPr>
        <w:t>life</w:t>
      </w:r>
      <w:r w:rsidR="003F34BC" w:rsidRPr="0082254E">
        <w:rPr>
          <w:lang w:val="en-GB"/>
        </w:rPr>
        <w:t>-</w:t>
      </w:r>
      <w:r w:rsidR="002E46BE" w:rsidRPr="0082254E">
        <w:rPr>
          <w:lang w:val="en-GB"/>
        </w:rPr>
        <w:t>threatening</w:t>
      </w:r>
      <w:r w:rsidRPr="0082254E">
        <w:rPr>
          <w:lang w:val="en-GB"/>
        </w:rPr>
        <w:t xml:space="preserve"> </w:t>
      </w:r>
      <w:r w:rsidR="00BD02A4" w:rsidRPr="0082254E">
        <w:rPr>
          <w:lang w:val="en-GB"/>
        </w:rPr>
        <w:t>levels,</w:t>
      </w:r>
      <w:r w:rsidR="00FE2C71" w:rsidRPr="0082254E">
        <w:rPr>
          <w:lang w:val="en-GB"/>
        </w:rPr>
        <w:t xml:space="preserve"> </w:t>
      </w:r>
      <w:r w:rsidRPr="0082254E">
        <w:rPr>
          <w:lang w:val="en-GB"/>
        </w:rPr>
        <w:t xml:space="preserve">depending on the serum potassium level </w:t>
      </w:r>
      <w:r w:rsidR="003F34BC" w:rsidRPr="0082254E">
        <w:rPr>
          <w:lang w:val="en-GB"/>
        </w:rPr>
        <w:t xml:space="preserve">that </w:t>
      </w:r>
      <w:r w:rsidRPr="0082254E">
        <w:rPr>
          <w:lang w:val="en-GB"/>
        </w:rPr>
        <w:t>precipitated treatment</w:t>
      </w:r>
      <w:r w:rsidR="004F6816" w:rsidRPr="0082254E">
        <w:rPr>
          <w:lang w:val="en-GB"/>
        </w:rPr>
        <w:t xml:space="preserve"> (see section</w:t>
      </w:r>
      <w:r w:rsidR="003F34BC" w:rsidRPr="0082254E">
        <w:rPr>
          <w:lang w:val="en-GB"/>
        </w:rPr>
        <w:t> </w:t>
      </w:r>
      <w:r w:rsidR="00F87E97">
        <w:rPr>
          <w:lang w:val="en-GB"/>
        </w:rPr>
        <w:fldChar w:fldCharType="begin"/>
      </w:r>
      <w:r w:rsidR="00F87E97">
        <w:rPr>
          <w:lang w:val="en-GB"/>
        </w:rPr>
        <w:instrText xml:space="preserve"> REF _Ref5617579 \r \h </w:instrText>
      </w:r>
      <w:r w:rsidR="00F87E97">
        <w:rPr>
          <w:lang w:val="en-GB"/>
        </w:rPr>
      </w:r>
      <w:r w:rsidR="00F87E97">
        <w:rPr>
          <w:lang w:val="en-GB"/>
        </w:rPr>
        <w:fldChar w:fldCharType="separate"/>
      </w:r>
      <w:r w:rsidR="00DA520D">
        <w:rPr>
          <w:lang w:val="en-GB"/>
        </w:rPr>
        <w:t>3.1</w:t>
      </w:r>
      <w:r w:rsidR="00F87E97">
        <w:rPr>
          <w:lang w:val="en-GB"/>
        </w:rPr>
        <w:fldChar w:fldCharType="end"/>
      </w:r>
      <w:r w:rsidR="0078567E" w:rsidRPr="0082254E">
        <w:rPr>
          <w:lang w:val="en-GB"/>
        </w:rPr>
        <w:t>)</w:t>
      </w:r>
      <w:r w:rsidRPr="0082254E">
        <w:rPr>
          <w:lang w:val="en-GB"/>
        </w:rPr>
        <w:t>.</w:t>
      </w:r>
    </w:p>
    <w:p w14:paraId="6F90AF20" w14:textId="2035343A" w:rsidR="007D2851" w:rsidRPr="0082254E" w:rsidRDefault="007D2851" w:rsidP="005428BC">
      <w:pPr>
        <w:pStyle w:val="Bulletindent1"/>
        <w:rPr>
          <w:lang w:val="en-GB"/>
        </w:rPr>
      </w:pPr>
      <w:r w:rsidRPr="0082254E">
        <w:rPr>
          <w:lang w:val="en-GB"/>
        </w:rPr>
        <w:t>Symptoms of hyperkalaemia may be similar to symptoms of the underlying cond</w:t>
      </w:r>
      <w:r w:rsidR="00D7115C" w:rsidRPr="0082254E">
        <w:rPr>
          <w:lang w:val="en-GB"/>
        </w:rPr>
        <w:t>ition</w:t>
      </w:r>
      <w:r w:rsidR="00E65F11" w:rsidRPr="0082254E">
        <w:rPr>
          <w:lang w:val="en-GB"/>
        </w:rPr>
        <w:t>, for example, heart failure</w:t>
      </w:r>
      <w:r w:rsidR="00D7115C" w:rsidRPr="0082254E">
        <w:rPr>
          <w:lang w:val="en-GB"/>
        </w:rPr>
        <w:t xml:space="preserve">. </w:t>
      </w:r>
      <w:r w:rsidR="00E65F11" w:rsidRPr="0082254E">
        <w:rPr>
          <w:lang w:val="en-GB"/>
        </w:rPr>
        <w:t>So</w:t>
      </w:r>
      <w:r w:rsidR="00D7115C" w:rsidRPr="0082254E">
        <w:rPr>
          <w:lang w:val="en-GB"/>
        </w:rPr>
        <w:t>, treating</w:t>
      </w:r>
      <w:r w:rsidRPr="0082254E">
        <w:rPr>
          <w:lang w:val="en-GB"/>
        </w:rPr>
        <w:t xml:space="preserve"> hyperkalaemia may not </w:t>
      </w:r>
      <w:r w:rsidR="00D7115C" w:rsidRPr="0082254E">
        <w:rPr>
          <w:lang w:val="en-GB"/>
        </w:rPr>
        <w:t>in itself result in a noticeable effect on symptoms.</w:t>
      </w:r>
    </w:p>
    <w:p w14:paraId="2E3F6A58" w14:textId="4DF3A833" w:rsidR="005C2F28" w:rsidRPr="0082254E" w:rsidRDefault="00A7506F" w:rsidP="009F4D10">
      <w:pPr>
        <w:pStyle w:val="Bulletindent1"/>
        <w:rPr>
          <w:lang w:val="en-GB"/>
        </w:rPr>
      </w:pPr>
      <w:r w:rsidRPr="0082254E">
        <w:rPr>
          <w:lang w:val="en-GB"/>
        </w:rPr>
        <w:t xml:space="preserve">The </w:t>
      </w:r>
      <w:r w:rsidR="00BD02A4" w:rsidRPr="0082254E">
        <w:rPr>
          <w:lang w:val="en-GB"/>
        </w:rPr>
        <w:t>28</w:t>
      </w:r>
      <w:r w:rsidR="00BD4649" w:rsidRPr="0082254E">
        <w:rPr>
          <w:lang w:val="en-GB"/>
        </w:rPr>
        <w:t> </w:t>
      </w:r>
      <w:r w:rsidR="00BD02A4" w:rsidRPr="0082254E">
        <w:rPr>
          <w:lang w:val="en-GB"/>
        </w:rPr>
        <w:t>day</w:t>
      </w:r>
      <w:r w:rsidR="00011F62">
        <w:rPr>
          <w:lang w:val="en-GB"/>
        </w:rPr>
        <w:t xml:space="preserve"> follow</w:t>
      </w:r>
      <w:r w:rsidR="009C50E2">
        <w:rPr>
          <w:lang w:val="en-GB"/>
        </w:rPr>
        <w:t>-</w:t>
      </w:r>
      <w:r w:rsidR="00011F62">
        <w:rPr>
          <w:lang w:val="en-GB"/>
        </w:rPr>
        <w:t>up period in ZS004</w:t>
      </w:r>
      <w:r w:rsidR="00BD02A4" w:rsidRPr="0082254E">
        <w:rPr>
          <w:lang w:val="en-GB"/>
        </w:rPr>
        <w:t xml:space="preserve"> was </w:t>
      </w:r>
      <w:r w:rsidRPr="0082254E">
        <w:rPr>
          <w:lang w:val="en-GB"/>
        </w:rPr>
        <w:t>placebo</w:t>
      </w:r>
      <w:r w:rsidR="007759DC">
        <w:rPr>
          <w:lang w:val="en-GB"/>
        </w:rPr>
        <w:t xml:space="preserve"> </w:t>
      </w:r>
      <w:r w:rsidRPr="0082254E">
        <w:rPr>
          <w:lang w:val="en-GB"/>
        </w:rPr>
        <w:t>controlled</w:t>
      </w:r>
      <w:r w:rsidR="00BD02A4" w:rsidRPr="0082254E">
        <w:rPr>
          <w:lang w:val="en-GB"/>
        </w:rPr>
        <w:t xml:space="preserve">. </w:t>
      </w:r>
      <w:r w:rsidR="0045326F" w:rsidRPr="0082254E">
        <w:rPr>
          <w:lang w:val="en-GB"/>
        </w:rPr>
        <w:t>T</w:t>
      </w:r>
      <w:r w:rsidR="00815282" w:rsidRPr="0082254E">
        <w:rPr>
          <w:lang w:val="en-GB"/>
        </w:rPr>
        <w:t xml:space="preserve">he average </w:t>
      </w:r>
      <w:r w:rsidR="00342156" w:rsidRPr="0082254E">
        <w:rPr>
          <w:lang w:val="en-GB"/>
        </w:rPr>
        <w:t xml:space="preserve">serum </w:t>
      </w:r>
      <w:r w:rsidR="00815282" w:rsidRPr="0082254E">
        <w:rPr>
          <w:lang w:val="en-GB"/>
        </w:rPr>
        <w:t>p</w:t>
      </w:r>
      <w:r w:rsidR="00342156" w:rsidRPr="0082254E">
        <w:rPr>
          <w:lang w:val="en-GB"/>
        </w:rPr>
        <w:t xml:space="preserve">otassium level </w:t>
      </w:r>
      <w:r w:rsidR="00BD4649" w:rsidRPr="0082254E">
        <w:rPr>
          <w:lang w:val="en-GB"/>
        </w:rPr>
        <w:t xml:space="preserve">in </w:t>
      </w:r>
      <w:r w:rsidR="0045326F" w:rsidRPr="0082254E">
        <w:rPr>
          <w:lang w:val="en-GB"/>
        </w:rPr>
        <w:t xml:space="preserve">patients </w:t>
      </w:r>
      <w:r w:rsidR="00342156" w:rsidRPr="0082254E">
        <w:rPr>
          <w:lang w:val="en-GB"/>
        </w:rPr>
        <w:t>who were randomised to</w:t>
      </w:r>
      <w:r w:rsidR="00815282" w:rsidRPr="0082254E">
        <w:rPr>
          <w:lang w:val="en-GB"/>
        </w:rPr>
        <w:t xml:space="preserve"> placebo </w:t>
      </w:r>
      <w:r w:rsidR="00F111E1" w:rsidRPr="0082254E">
        <w:rPr>
          <w:lang w:val="en-GB"/>
        </w:rPr>
        <w:t xml:space="preserve">during this time </w:t>
      </w:r>
      <w:r w:rsidR="00815282" w:rsidRPr="0082254E">
        <w:rPr>
          <w:lang w:val="en-GB"/>
        </w:rPr>
        <w:t>was</w:t>
      </w:r>
      <w:r w:rsidR="00723D9F" w:rsidRPr="0082254E">
        <w:rPr>
          <w:lang w:val="en-GB"/>
        </w:rPr>
        <w:t xml:space="preserve"> around 5.1</w:t>
      </w:r>
      <w:r w:rsidR="0045326F" w:rsidRPr="0082254E">
        <w:rPr>
          <w:lang w:val="en-GB"/>
        </w:rPr>
        <w:t> </w:t>
      </w:r>
      <w:r w:rsidR="00723D9F" w:rsidRPr="0082254E">
        <w:rPr>
          <w:lang w:val="en-GB"/>
        </w:rPr>
        <w:t>mmol/</w:t>
      </w:r>
      <w:r w:rsidR="00BD4649" w:rsidRPr="0082254E">
        <w:rPr>
          <w:lang w:val="en-GB"/>
        </w:rPr>
        <w:t>litre</w:t>
      </w:r>
      <w:r w:rsidR="00723D9F" w:rsidRPr="0082254E">
        <w:rPr>
          <w:lang w:val="en-GB"/>
        </w:rPr>
        <w:t>,</w:t>
      </w:r>
      <w:r w:rsidR="00E145F0" w:rsidRPr="0082254E">
        <w:rPr>
          <w:lang w:val="en-GB"/>
        </w:rPr>
        <w:t xml:space="preserve"> which </w:t>
      </w:r>
      <w:r w:rsidR="00BD4649" w:rsidRPr="0082254E">
        <w:rPr>
          <w:lang w:val="en-GB"/>
        </w:rPr>
        <w:t xml:space="preserve">was </w:t>
      </w:r>
      <w:r w:rsidR="00723D9F" w:rsidRPr="0082254E">
        <w:rPr>
          <w:lang w:val="en-GB"/>
        </w:rPr>
        <w:t>lower than</w:t>
      </w:r>
      <w:r w:rsidR="00815282" w:rsidRPr="0082254E">
        <w:rPr>
          <w:lang w:val="en-GB"/>
        </w:rPr>
        <w:t xml:space="preserve"> the level </w:t>
      </w:r>
      <w:r w:rsidR="00BD4649" w:rsidRPr="0082254E">
        <w:rPr>
          <w:lang w:val="en-GB"/>
        </w:rPr>
        <w:t xml:space="preserve">that </w:t>
      </w:r>
      <w:r w:rsidR="00815282" w:rsidRPr="0082254E">
        <w:rPr>
          <w:lang w:val="en-GB"/>
        </w:rPr>
        <w:t>would need treatment.</w:t>
      </w:r>
      <w:r w:rsidR="003037F4" w:rsidRPr="0082254E">
        <w:rPr>
          <w:lang w:val="en-GB"/>
        </w:rPr>
        <w:t xml:space="preserve"> </w:t>
      </w:r>
      <w:r w:rsidR="005006BE" w:rsidRPr="0082254E">
        <w:rPr>
          <w:lang w:val="en-GB"/>
        </w:rPr>
        <w:t>It is unclear whether</w:t>
      </w:r>
      <w:r w:rsidR="0045326F" w:rsidRPr="0082254E">
        <w:rPr>
          <w:lang w:val="en-GB"/>
        </w:rPr>
        <w:t xml:space="preserve">, </w:t>
      </w:r>
      <w:r w:rsidR="00723D9F" w:rsidRPr="0082254E">
        <w:rPr>
          <w:lang w:val="en-GB"/>
        </w:rPr>
        <w:t xml:space="preserve">without further treatment, </w:t>
      </w:r>
      <w:r w:rsidR="002D288F" w:rsidRPr="0082254E">
        <w:rPr>
          <w:lang w:val="en-GB"/>
        </w:rPr>
        <w:t xml:space="preserve">serum </w:t>
      </w:r>
      <w:r w:rsidR="005006BE" w:rsidRPr="0082254E">
        <w:rPr>
          <w:lang w:val="en-GB"/>
        </w:rPr>
        <w:t xml:space="preserve">potassium levels would </w:t>
      </w:r>
      <w:r w:rsidR="0045326F" w:rsidRPr="0082254E">
        <w:rPr>
          <w:lang w:val="en-GB"/>
        </w:rPr>
        <w:t xml:space="preserve">have risen </w:t>
      </w:r>
      <w:r w:rsidR="005006BE" w:rsidRPr="0082254E">
        <w:rPr>
          <w:lang w:val="en-GB"/>
        </w:rPr>
        <w:t>to a level needing treatment after 28</w:t>
      </w:r>
      <w:r w:rsidR="0045326F" w:rsidRPr="0082254E">
        <w:rPr>
          <w:lang w:val="en-GB"/>
        </w:rPr>
        <w:t> </w:t>
      </w:r>
      <w:r w:rsidR="005006BE" w:rsidRPr="0082254E">
        <w:rPr>
          <w:lang w:val="en-GB"/>
        </w:rPr>
        <w:t>days.</w:t>
      </w:r>
    </w:p>
    <w:p w14:paraId="44282E89" w14:textId="12CF71BD" w:rsidR="008E4671" w:rsidRPr="0082254E" w:rsidRDefault="008E4671" w:rsidP="009F4D10">
      <w:pPr>
        <w:pStyle w:val="Bulletindent1"/>
        <w:rPr>
          <w:lang w:val="en-GB"/>
        </w:rPr>
      </w:pPr>
      <w:r w:rsidRPr="0082254E">
        <w:rPr>
          <w:lang w:val="en-GB"/>
        </w:rPr>
        <w:t xml:space="preserve">The </w:t>
      </w:r>
      <w:r w:rsidR="00E8321F" w:rsidRPr="0082254E">
        <w:rPr>
          <w:lang w:val="en-GB"/>
        </w:rPr>
        <w:t>follow up in ZS005 was 52</w:t>
      </w:r>
      <w:r w:rsidR="007759DC">
        <w:rPr>
          <w:lang w:val="en-GB"/>
        </w:rPr>
        <w:t> </w:t>
      </w:r>
      <w:r w:rsidR="00E8321F" w:rsidRPr="0082254E">
        <w:rPr>
          <w:lang w:val="en-GB"/>
        </w:rPr>
        <w:t>weeks and there is no evidence for the effectiveness of sodium zirconium cyclosilicate beyond this time. The clinical experts stated that</w:t>
      </w:r>
      <w:r w:rsidR="007759DC">
        <w:rPr>
          <w:lang w:val="en-GB"/>
        </w:rPr>
        <w:t>,</w:t>
      </w:r>
      <w:r w:rsidR="00E8321F" w:rsidRPr="0082254E">
        <w:rPr>
          <w:lang w:val="en-GB"/>
        </w:rPr>
        <w:t xml:space="preserve"> in practice</w:t>
      </w:r>
      <w:r w:rsidR="007759DC">
        <w:rPr>
          <w:lang w:val="en-GB"/>
        </w:rPr>
        <w:t>,</w:t>
      </w:r>
      <w:r w:rsidR="00E8321F" w:rsidRPr="0082254E">
        <w:rPr>
          <w:lang w:val="en-GB"/>
        </w:rPr>
        <w:t xml:space="preserve"> treatment with sodium zirconium cyclosilicate would be continued indefinitely if the benefits outweighed the potential harms.</w:t>
      </w:r>
    </w:p>
    <w:p w14:paraId="0A9FB319" w14:textId="0788EBC8" w:rsidR="005006BE" w:rsidRDefault="005C2F28" w:rsidP="009F4D10">
      <w:pPr>
        <w:pStyle w:val="Bulletindent1"/>
        <w:rPr>
          <w:lang w:val="en-GB"/>
        </w:rPr>
      </w:pPr>
      <w:r w:rsidRPr="0082254E">
        <w:rPr>
          <w:lang w:val="en-GB"/>
        </w:rPr>
        <w:t xml:space="preserve">The company did not present any statistical tests for interaction by subgroup, </w:t>
      </w:r>
      <w:r w:rsidR="007759DC">
        <w:rPr>
          <w:lang w:val="en-GB"/>
        </w:rPr>
        <w:t>so</w:t>
      </w:r>
      <w:r w:rsidR="007759DC" w:rsidRPr="0082254E">
        <w:rPr>
          <w:lang w:val="en-GB"/>
        </w:rPr>
        <w:t xml:space="preserve"> </w:t>
      </w:r>
      <w:r w:rsidRPr="0082254E">
        <w:rPr>
          <w:lang w:val="en-GB"/>
        </w:rPr>
        <w:t>it was unknown whether patients with chronic kidney disease or heart failure derived greater benefit from sodium zirconium cyclosilicate.</w:t>
      </w:r>
      <w:r w:rsidR="00BD4649" w:rsidRPr="0082254E">
        <w:rPr>
          <w:lang w:val="en-GB"/>
        </w:rPr>
        <w:br/>
      </w:r>
      <w:r w:rsidR="00BD4649" w:rsidRPr="0082254E">
        <w:rPr>
          <w:lang w:val="en-GB"/>
        </w:rPr>
        <w:br/>
      </w:r>
      <w:r w:rsidR="006E75A1" w:rsidRPr="0082254E">
        <w:rPr>
          <w:lang w:val="en-GB"/>
        </w:rPr>
        <w:t>However, t</w:t>
      </w:r>
      <w:r w:rsidR="005006BE" w:rsidRPr="0082254E">
        <w:rPr>
          <w:lang w:val="en-GB"/>
        </w:rPr>
        <w:t>he committee concluded that</w:t>
      </w:r>
      <w:r w:rsidR="0045326F" w:rsidRPr="0082254E">
        <w:rPr>
          <w:lang w:val="en-GB"/>
        </w:rPr>
        <w:t>,</w:t>
      </w:r>
      <w:r w:rsidR="005006BE" w:rsidRPr="0082254E">
        <w:rPr>
          <w:lang w:val="en-GB"/>
        </w:rPr>
        <w:t xml:space="preserve"> </w:t>
      </w:r>
      <w:r w:rsidR="005E6573" w:rsidRPr="0082254E">
        <w:rPr>
          <w:lang w:val="en-GB"/>
        </w:rPr>
        <w:t xml:space="preserve">although </w:t>
      </w:r>
      <w:r w:rsidR="005006BE" w:rsidRPr="0082254E">
        <w:rPr>
          <w:lang w:val="en-GB"/>
        </w:rPr>
        <w:t xml:space="preserve">the trial </w:t>
      </w:r>
      <w:r w:rsidR="005E6573" w:rsidRPr="0082254E">
        <w:rPr>
          <w:lang w:val="en-GB"/>
        </w:rPr>
        <w:t>results show</w:t>
      </w:r>
      <w:r w:rsidR="0045326F" w:rsidRPr="0082254E">
        <w:rPr>
          <w:lang w:val="en-GB"/>
        </w:rPr>
        <w:t>ed</w:t>
      </w:r>
      <w:r w:rsidR="005E6573" w:rsidRPr="0082254E">
        <w:rPr>
          <w:lang w:val="en-GB"/>
        </w:rPr>
        <w:t xml:space="preserve"> that </w:t>
      </w:r>
      <w:r w:rsidR="003037F4" w:rsidRPr="0082254E">
        <w:rPr>
          <w:lang w:val="en-GB"/>
        </w:rPr>
        <w:t xml:space="preserve">continuing </w:t>
      </w:r>
      <w:r w:rsidR="002154E3" w:rsidRPr="0082254E">
        <w:rPr>
          <w:lang w:val="en-GB"/>
        </w:rPr>
        <w:t>sodium zirconium cyclosilicate</w:t>
      </w:r>
      <w:r w:rsidR="005E6573" w:rsidRPr="0082254E">
        <w:rPr>
          <w:lang w:val="en-GB"/>
        </w:rPr>
        <w:t xml:space="preserve"> </w:t>
      </w:r>
      <w:r w:rsidR="0045326F" w:rsidRPr="0082254E">
        <w:rPr>
          <w:lang w:val="en-GB"/>
        </w:rPr>
        <w:t>wa</w:t>
      </w:r>
      <w:r w:rsidR="00E65F11" w:rsidRPr="0082254E">
        <w:rPr>
          <w:lang w:val="en-GB"/>
        </w:rPr>
        <w:t xml:space="preserve">s associated with lower </w:t>
      </w:r>
      <w:r w:rsidR="0045326F" w:rsidRPr="0082254E">
        <w:rPr>
          <w:lang w:val="en-GB"/>
        </w:rPr>
        <w:t xml:space="preserve">serum </w:t>
      </w:r>
      <w:r w:rsidR="005E6573" w:rsidRPr="0082254E">
        <w:rPr>
          <w:lang w:val="en-GB"/>
        </w:rPr>
        <w:t>potassium</w:t>
      </w:r>
      <w:r w:rsidR="003037F4" w:rsidRPr="0082254E">
        <w:rPr>
          <w:lang w:val="en-GB"/>
        </w:rPr>
        <w:t xml:space="preserve"> than stopping sodium zirconium cyclosilicate</w:t>
      </w:r>
      <w:r w:rsidR="0045326F" w:rsidRPr="0082254E">
        <w:rPr>
          <w:lang w:val="en-GB"/>
        </w:rPr>
        <w:t>,</w:t>
      </w:r>
      <w:r w:rsidR="005E6573" w:rsidRPr="0082254E">
        <w:rPr>
          <w:lang w:val="en-GB"/>
        </w:rPr>
        <w:t xml:space="preserve"> the </w:t>
      </w:r>
      <w:r w:rsidR="005006BE" w:rsidRPr="0082254E">
        <w:rPr>
          <w:lang w:val="en-GB"/>
        </w:rPr>
        <w:t>benefit</w:t>
      </w:r>
      <w:r w:rsidR="005E6573" w:rsidRPr="0082254E">
        <w:rPr>
          <w:lang w:val="en-GB"/>
        </w:rPr>
        <w:t xml:space="preserve"> of this to patients </w:t>
      </w:r>
      <w:r w:rsidR="006E75A1" w:rsidRPr="0082254E">
        <w:rPr>
          <w:lang w:val="en-GB"/>
        </w:rPr>
        <w:t xml:space="preserve">with </w:t>
      </w:r>
      <w:r w:rsidR="00401FC1">
        <w:rPr>
          <w:lang w:val="en-GB"/>
        </w:rPr>
        <w:t>chronic</w:t>
      </w:r>
      <w:r w:rsidR="006E75A1" w:rsidRPr="0082254E">
        <w:rPr>
          <w:lang w:val="en-GB"/>
        </w:rPr>
        <w:t xml:space="preserve"> </w:t>
      </w:r>
      <w:r w:rsidR="0082254E" w:rsidRPr="0082254E">
        <w:rPr>
          <w:lang w:val="en-GB"/>
        </w:rPr>
        <w:t>hyperkalaemia</w:t>
      </w:r>
      <w:r w:rsidR="005E6573" w:rsidRPr="0082254E">
        <w:rPr>
          <w:lang w:val="en-GB"/>
        </w:rPr>
        <w:t xml:space="preserve"> </w:t>
      </w:r>
      <w:r w:rsidR="0045326F" w:rsidRPr="0082254E">
        <w:rPr>
          <w:lang w:val="en-GB"/>
        </w:rPr>
        <w:t>wa</w:t>
      </w:r>
      <w:r w:rsidR="005E6573" w:rsidRPr="0082254E">
        <w:rPr>
          <w:lang w:val="en-GB"/>
        </w:rPr>
        <w:t>s</w:t>
      </w:r>
      <w:r w:rsidR="005006BE" w:rsidRPr="0082254E">
        <w:rPr>
          <w:lang w:val="en-GB"/>
        </w:rPr>
        <w:t xml:space="preserve"> unclear</w:t>
      </w:r>
      <w:r w:rsidR="002154E3" w:rsidRPr="0082254E">
        <w:rPr>
          <w:lang w:val="en-GB"/>
        </w:rPr>
        <w:t>.</w:t>
      </w:r>
    </w:p>
    <w:p w14:paraId="5B79B75F" w14:textId="18064BBB" w:rsidR="005A2B25" w:rsidRPr="0082254E" w:rsidRDefault="00443628" w:rsidP="008A7E16">
      <w:pPr>
        <w:pStyle w:val="Heading3"/>
      </w:pPr>
      <w:r>
        <w:lastRenderedPageBreak/>
        <w:t xml:space="preserve"> </w:t>
      </w:r>
      <w:r w:rsidR="00A177E1">
        <w:t>S</w:t>
      </w:r>
      <w:r w:rsidR="005A2B25" w:rsidRPr="0082254E">
        <w:t>odium zirconium cyclosilicate</w:t>
      </w:r>
      <w:r w:rsidR="00A177E1">
        <w:t xml:space="preserve"> is associated with adverse effects</w:t>
      </w:r>
    </w:p>
    <w:p w14:paraId="32AFC68C" w14:textId="166B94E5" w:rsidR="005A2B25" w:rsidRPr="0082254E" w:rsidRDefault="005A2B25" w:rsidP="003062F8">
      <w:pPr>
        <w:pStyle w:val="Numberedlevel2text"/>
        <w:rPr>
          <w:lang w:val="en-GB"/>
        </w:rPr>
      </w:pPr>
      <w:r w:rsidRPr="0082254E">
        <w:rPr>
          <w:lang w:val="en-GB"/>
        </w:rPr>
        <w:t>The company presented data showing that treatment with sodium zirconium cyclosilicate was associated with hypokalaemia</w:t>
      </w:r>
      <w:r w:rsidR="00306F7F" w:rsidRPr="0082254E">
        <w:rPr>
          <w:lang w:val="en-GB"/>
        </w:rPr>
        <w:t>, that is low serum potassium</w:t>
      </w:r>
      <w:r w:rsidRPr="0082254E">
        <w:rPr>
          <w:lang w:val="en-GB"/>
        </w:rPr>
        <w:t xml:space="preserve">. </w:t>
      </w:r>
      <w:r w:rsidR="00306F7F" w:rsidRPr="0082254E">
        <w:rPr>
          <w:lang w:val="en-GB"/>
        </w:rPr>
        <w:t>The committee understood that hypokalaemia, like hyperkalaemia, is associated with life-threatening arrhythmias.</w:t>
      </w:r>
      <w:r w:rsidRPr="0082254E">
        <w:rPr>
          <w:lang w:val="en-GB"/>
        </w:rPr>
        <w:t xml:space="preserve"> The committee also noted the wording from the European Medicines Agency that the risk of intestinal perforation </w:t>
      </w:r>
      <w:r w:rsidR="007759DC">
        <w:rPr>
          <w:lang w:val="en-GB"/>
        </w:rPr>
        <w:t xml:space="preserve">is </w:t>
      </w:r>
      <w:r w:rsidRPr="0082254E">
        <w:rPr>
          <w:lang w:val="en-GB"/>
        </w:rPr>
        <w:t xml:space="preserve">currently unknown but has been reported with polymers that act in the </w:t>
      </w:r>
      <w:r w:rsidR="0082254E">
        <w:rPr>
          <w:lang w:val="en-GB"/>
        </w:rPr>
        <w:t>gastrointestinal</w:t>
      </w:r>
      <w:r w:rsidRPr="0082254E">
        <w:rPr>
          <w:lang w:val="en-GB"/>
        </w:rPr>
        <w:t xml:space="preserve"> tract. </w:t>
      </w:r>
      <w:r w:rsidR="00306F7F" w:rsidRPr="0082254E">
        <w:rPr>
          <w:lang w:val="en-GB"/>
        </w:rPr>
        <w:t xml:space="preserve">The committee concluded that sodium zirconium cyclosilicate </w:t>
      </w:r>
      <w:r w:rsidR="00893CD5">
        <w:rPr>
          <w:lang w:val="en-GB"/>
        </w:rPr>
        <w:t>i</w:t>
      </w:r>
      <w:r w:rsidR="00893CD5" w:rsidRPr="0082254E">
        <w:rPr>
          <w:lang w:val="en-GB"/>
        </w:rPr>
        <w:t xml:space="preserve">s </w:t>
      </w:r>
      <w:r w:rsidR="00306F7F" w:rsidRPr="0082254E">
        <w:rPr>
          <w:lang w:val="en-GB"/>
        </w:rPr>
        <w:t>associated with adverse effects.</w:t>
      </w:r>
    </w:p>
    <w:p w14:paraId="3ED4670A" w14:textId="2ACEEAC9" w:rsidR="008517CF" w:rsidRPr="0082254E" w:rsidRDefault="008517CF" w:rsidP="008517CF">
      <w:pPr>
        <w:pStyle w:val="Heading3"/>
      </w:pPr>
      <w:r w:rsidRPr="0082254E">
        <w:t xml:space="preserve">There is </w:t>
      </w:r>
      <w:r w:rsidR="00F725CE" w:rsidRPr="0082254E">
        <w:t>insufficient</w:t>
      </w:r>
      <w:r w:rsidRPr="0082254E">
        <w:t xml:space="preserve"> evidence to prove a causal link between </w:t>
      </w:r>
      <w:r w:rsidR="00BC2F32" w:rsidRPr="0082254E">
        <w:t xml:space="preserve">lowering </w:t>
      </w:r>
      <w:r w:rsidRPr="0082254E">
        <w:t xml:space="preserve">serum potassium levels and </w:t>
      </w:r>
      <w:r w:rsidR="00BC2F32" w:rsidRPr="0082254E">
        <w:t>improving long-term outcomes</w:t>
      </w:r>
    </w:p>
    <w:p w14:paraId="13C24405" w14:textId="6BA84B4A" w:rsidR="008517CF" w:rsidRPr="0082254E" w:rsidRDefault="00844E88" w:rsidP="008517CF">
      <w:pPr>
        <w:pStyle w:val="Numberedlevel2text"/>
        <w:rPr>
          <w:lang w:val="en-GB"/>
        </w:rPr>
      </w:pPr>
      <w:bookmarkStart w:id="8" w:name="_Ref5618035"/>
      <w:r>
        <w:rPr>
          <w:lang w:val="en-GB"/>
        </w:rPr>
        <w:t xml:space="preserve">Data were not collected in trials </w:t>
      </w:r>
      <w:r w:rsidR="008517CF" w:rsidRPr="0082254E">
        <w:rPr>
          <w:lang w:val="en-GB"/>
        </w:rPr>
        <w:t xml:space="preserve">ZS003, ZS004 and ZS005 on the effect of sodium zirconium cyclosilicate on long-term outcomes such as progression of chronic kidney disease or mortality. However, the company proposed </w:t>
      </w:r>
      <w:r w:rsidR="00306F7F" w:rsidRPr="0082254E">
        <w:rPr>
          <w:lang w:val="en-GB"/>
        </w:rPr>
        <w:t xml:space="preserve">in its model </w:t>
      </w:r>
      <w:r w:rsidR="008517CF" w:rsidRPr="0082254E">
        <w:rPr>
          <w:lang w:val="en-GB"/>
        </w:rPr>
        <w:t xml:space="preserve">that people with hyperkalaemia who have sodium zirconium cyclosilicate live longer than people who do not. </w:t>
      </w:r>
      <w:r w:rsidR="003062F8" w:rsidRPr="0082254E">
        <w:rPr>
          <w:lang w:val="en-GB"/>
        </w:rPr>
        <w:t>This was based</w:t>
      </w:r>
      <w:r w:rsidR="008517CF" w:rsidRPr="0082254E">
        <w:rPr>
          <w:lang w:val="en-GB"/>
        </w:rPr>
        <w:t xml:space="preserve"> on a systematic review</w:t>
      </w:r>
      <w:r w:rsidR="00D114A8" w:rsidRPr="0082254E">
        <w:rPr>
          <w:lang w:val="en-GB"/>
        </w:rPr>
        <w:t xml:space="preserve"> of evidence for both chronic kidney disease and heart failure</w:t>
      </w:r>
      <w:r w:rsidR="003062F8" w:rsidRPr="0082254E">
        <w:rPr>
          <w:lang w:val="en-GB"/>
        </w:rPr>
        <w:t>.</w:t>
      </w:r>
      <w:r w:rsidR="008517CF" w:rsidRPr="0082254E">
        <w:rPr>
          <w:lang w:val="en-GB"/>
        </w:rPr>
        <w:t xml:space="preserve"> </w:t>
      </w:r>
      <w:r w:rsidR="003062F8" w:rsidRPr="0082254E">
        <w:rPr>
          <w:lang w:val="en-GB"/>
        </w:rPr>
        <w:t>T</w:t>
      </w:r>
      <w:r w:rsidR="008517CF" w:rsidRPr="0082254E">
        <w:rPr>
          <w:lang w:val="en-GB"/>
        </w:rPr>
        <w:t xml:space="preserve">he company presented evidence from observational cohort studies which showed a higher risk of death, hospitalisation and </w:t>
      </w:r>
      <w:r w:rsidR="00D114A8" w:rsidRPr="0082254E">
        <w:rPr>
          <w:lang w:val="en-GB"/>
        </w:rPr>
        <w:t xml:space="preserve">major adverse cardiovascular events </w:t>
      </w:r>
      <w:r w:rsidR="008517CF" w:rsidRPr="0082254E">
        <w:rPr>
          <w:lang w:val="en-GB"/>
        </w:rPr>
        <w:t>associated with high, but also with lower than normal, serum potassium levels. Using these data, the company assumed that</w:t>
      </w:r>
      <w:r w:rsidR="008D67AB">
        <w:rPr>
          <w:lang w:val="en-GB"/>
        </w:rPr>
        <w:t>,</w:t>
      </w:r>
      <w:r w:rsidR="008517CF" w:rsidRPr="0082254E">
        <w:rPr>
          <w:lang w:val="en-GB"/>
        </w:rPr>
        <w:t xml:space="preserve"> </w:t>
      </w:r>
      <w:r w:rsidR="001B1DB9" w:rsidRPr="0082254E">
        <w:rPr>
          <w:lang w:val="en-GB"/>
        </w:rPr>
        <w:t xml:space="preserve">because patients with higher serum potassium compared with normal values have a higher risk of death, </w:t>
      </w:r>
      <w:r w:rsidR="008517CF" w:rsidRPr="0082254E">
        <w:rPr>
          <w:lang w:val="en-GB"/>
        </w:rPr>
        <w:t>sodium zirconium cyclosilicate prolongs life because it lowers serum potassium.</w:t>
      </w:r>
      <w:r w:rsidR="00D114A8" w:rsidRPr="0082254E">
        <w:rPr>
          <w:lang w:val="en-GB"/>
        </w:rPr>
        <w:t xml:space="preserve"> The committee noted that</w:t>
      </w:r>
      <w:r w:rsidR="00A336AA">
        <w:rPr>
          <w:lang w:val="en-GB"/>
        </w:rPr>
        <w:t xml:space="preserve"> the</w:t>
      </w:r>
      <w:r w:rsidR="00D114A8" w:rsidRPr="0082254E">
        <w:rPr>
          <w:lang w:val="en-GB"/>
        </w:rPr>
        <w:t xml:space="preserve"> observational data did not guarantee an independent association between high serum potassium levels and death</w:t>
      </w:r>
      <w:r w:rsidR="00A02DFF">
        <w:rPr>
          <w:lang w:val="en-GB"/>
        </w:rPr>
        <w:t>. It also noted that</w:t>
      </w:r>
      <w:r w:rsidR="00A336AA">
        <w:rPr>
          <w:lang w:val="en-GB"/>
        </w:rPr>
        <w:t xml:space="preserve"> the</w:t>
      </w:r>
      <w:r w:rsidR="00A02DFF">
        <w:rPr>
          <w:lang w:val="en-GB"/>
        </w:rPr>
        <w:t xml:space="preserve"> observational data did not</w:t>
      </w:r>
      <w:r w:rsidR="00D114A8" w:rsidRPr="0082254E">
        <w:rPr>
          <w:lang w:val="en-GB"/>
        </w:rPr>
        <w:t xml:space="preserve"> provide evidence that lowering serum potassium extends life.</w:t>
      </w:r>
      <w:r w:rsidR="001B1180" w:rsidRPr="0082254E">
        <w:rPr>
          <w:lang w:val="en-GB"/>
        </w:rPr>
        <w:t xml:space="preserve"> </w:t>
      </w:r>
      <w:r w:rsidR="00A02DFF">
        <w:rPr>
          <w:lang w:val="en-GB"/>
        </w:rPr>
        <w:t>The committee</w:t>
      </w:r>
      <w:r w:rsidR="00306F7F" w:rsidRPr="0082254E">
        <w:rPr>
          <w:lang w:val="en-GB"/>
        </w:rPr>
        <w:t xml:space="preserve"> was </w:t>
      </w:r>
      <w:r w:rsidR="00960C80" w:rsidRPr="0082254E">
        <w:rPr>
          <w:lang w:val="en-GB"/>
        </w:rPr>
        <w:t xml:space="preserve">aware </w:t>
      </w:r>
      <w:r w:rsidR="00D114A8" w:rsidRPr="0082254E">
        <w:rPr>
          <w:lang w:val="en-GB"/>
        </w:rPr>
        <w:t xml:space="preserve">that </w:t>
      </w:r>
      <w:r w:rsidR="00306F7F" w:rsidRPr="0082254E">
        <w:rPr>
          <w:lang w:val="en-GB"/>
        </w:rPr>
        <w:t xml:space="preserve">these studies could adjust only for known, measured </w:t>
      </w:r>
      <w:r w:rsidR="0082254E" w:rsidRPr="0082254E">
        <w:rPr>
          <w:lang w:val="en-GB"/>
        </w:rPr>
        <w:t>confounders.</w:t>
      </w:r>
      <w:r w:rsidR="00D114A8" w:rsidRPr="0082254E">
        <w:rPr>
          <w:lang w:val="en-GB"/>
        </w:rPr>
        <w:t xml:space="preserve"> </w:t>
      </w:r>
      <w:r w:rsidR="00717528">
        <w:rPr>
          <w:lang w:val="en-GB"/>
        </w:rPr>
        <w:t xml:space="preserve">It also noted that the studies may have been affected by time-dependent </w:t>
      </w:r>
      <w:r w:rsidR="00717528">
        <w:rPr>
          <w:lang w:val="en-GB"/>
        </w:rPr>
        <w:lastRenderedPageBreak/>
        <w:t>confounding</w:t>
      </w:r>
      <w:r w:rsidR="0057228C">
        <w:rPr>
          <w:lang w:val="en-GB"/>
        </w:rPr>
        <w:t>, f</w:t>
      </w:r>
      <w:r w:rsidR="00717528">
        <w:rPr>
          <w:lang w:val="en-GB"/>
        </w:rPr>
        <w:t xml:space="preserve">or example, </w:t>
      </w:r>
      <w:r w:rsidR="00443628">
        <w:rPr>
          <w:lang w:val="en-GB"/>
        </w:rPr>
        <w:t xml:space="preserve">because increasing serum potassium levels affects </w:t>
      </w:r>
      <w:r w:rsidR="00717528">
        <w:rPr>
          <w:lang w:val="en-GB"/>
        </w:rPr>
        <w:t>RAAS inhibitor use</w:t>
      </w:r>
      <w:r w:rsidR="00443628">
        <w:rPr>
          <w:lang w:val="en-GB"/>
        </w:rPr>
        <w:t>,</w:t>
      </w:r>
      <w:r w:rsidR="00443628" w:rsidRPr="00443628">
        <w:t xml:space="preserve"> </w:t>
      </w:r>
      <w:r w:rsidR="00443628" w:rsidRPr="00443628">
        <w:rPr>
          <w:lang w:val="en-GB"/>
        </w:rPr>
        <w:t>which in turn affects</w:t>
      </w:r>
      <w:r w:rsidR="00A336AA">
        <w:rPr>
          <w:lang w:val="en-GB"/>
        </w:rPr>
        <w:t xml:space="preserve"> subsequent</w:t>
      </w:r>
      <w:r w:rsidR="00443628" w:rsidRPr="00443628">
        <w:rPr>
          <w:lang w:val="en-GB"/>
        </w:rPr>
        <w:t xml:space="preserve"> serum potassium levels and long-term outcomes</w:t>
      </w:r>
      <w:r w:rsidR="00443628">
        <w:rPr>
          <w:lang w:val="en-GB"/>
        </w:rPr>
        <w:t>.</w:t>
      </w:r>
      <w:r w:rsidR="00A336AA">
        <w:rPr>
          <w:lang w:val="en-GB"/>
        </w:rPr>
        <w:t xml:space="preserve"> Therefore, RAAS inhibitor use is a time-dependent confounder.</w:t>
      </w:r>
      <w:r w:rsidR="00717528">
        <w:rPr>
          <w:lang w:val="en-GB"/>
        </w:rPr>
        <w:t xml:space="preserve"> </w:t>
      </w:r>
      <w:r w:rsidR="00A336AA">
        <w:rPr>
          <w:lang w:val="en-GB"/>
        </w:rPr>
        <w:t xml:space="preserve">The committee </w:t>
      </w:r>
      <w:r w:rsidR="00717528">
        <w:rPr>
          <w:lang w:val="en-GB"/>
        </w:rPr>
        <w:t>was aware that</w:t>
      </w:r>
      <w:r w:rsidR="00A336AA">
        <w:rPr>
          <w:lang w:val="en-GB"/>
        </w:rPr>
        <w:t xml:space="preserve"> using</w:t>
      </w:r>
      <w:r w:rsidR="00717528">
        <w:rPr>
          <w:lang w:val="en-GB"/>
        </w:rPr>
        <w:t xml:space="preserve"> standard regression adjustment is not appropriate </w:t>
      </w:r>
      <w:r w:rsidR="00A336AA">
        <w:rPr>
          <w:lang w:val="en-GB"/>
        </w:rPr>
        <w:t xml:space="preserve">when attempting to estimate causal effects from observational data affected by time-dependent confounding, and noted that the company was unable to </w:t>
      </w:r>
      <w:r w:rsidR="007A6061">
        <w:rPr>
          <w:lang w:val="en-GB"/>
        </w:rPr>
        <w:t xml:space="preserve">show </w:t>
      </w:r>
      <w:r w:rsidR="00A336AA">
        <w:rPr>
          <w:lang w:val="en-GB"/>
        </w:rPr>
        <w:t>that alternative appropriate methods had been used</w:t>
      </w:r>
      <w:r w:rsidR="00717528">
        <w:rPr>
          <w:lang w:val="en-GB"/>
        </w:rPr>
        <w:t xml:space="preserve">. </w:t>
      </w:r>
      <w:r w:rsidR="00A336AA">
        <w:rPr>
          <w:lang w:val="en-GB"/>
        </w:rPr>
        <w:t>It</w:t>
      </w:r>
      <w:r w:rsidR="00FC4A46" w:rsidRPr="0082254E">
        <w:rPr>
          <w:lang w:val="en-GB"/>
        </w:rPr>
        <w:t xml:space="preserve"> </w:t>
      </w:r>
      <w:r w:rsidR="00960C80" w:rsidRPr="0082254E">
        <w:rPr>
          <w:lang w:val="en-GB"/>
        </w:rPr>
        <w:t xml:space="preserve">also noted </w:t>
      </w:r>
      <w:r w:rsidR="00306F7F" w:rsidRPr="0082254E">
        <w:rPr>
          <w:lang w:val="en-GB"/>
        </w:rPr>
        <w:t xml:space="preserve">that the authors of </w:t>
      </w:r>
      <w:r w:rsidR="00960C80" w:rsidRPr="0082254E">
        <w:rPr>
          <w:lang w:val="en-GB"/>
        </w:rPr>
        <w:t>a</w:t>
      </w:r>
      <w:r w:rsidR="00306F7F" w:rsidRPr="0082254E">
        <w:rPr>
          <w:lang w:val="en-GB"/>
        </w:rPr>
        <w:t xml:space="preserve"> company-supported observational study</w:t>
      </w:r>
      <w:r w:rsidR="00960C80" w:rsidRPr="0082254E">
        <w:rPr>
          <w:lang w:val="en-GB"/>
        </w:rPr>
        <w:t xml:space="preserve"> used in the model</w:t>
      </w:r>
      <w:r w:rsidR="00306F7F" w:rsidRPr="0082254E">
        <w:rPr>
          <w:lang w:val="en-GB"/>
        </w:rPr>
        <w:t xml:space="preserve"> cautioned against assuming a causal effect, and </w:t>
      </w:r>
      <w:r w:rsidR="00960C80" w:rsidRPr="0082254E">
        <w:rPr>
          <w:lang w:val="en-GB"/>
        </w:rPr>
        <w:t>acknowledged</w:t>
      </w:r>
      <w:r w:rsidR="00306F7F" w:rsidRPr="0082254E">
        <w:rPr>
          <w:lang w:val="en-GB"/>
        </w:rPr>
        <w:t xml:space="preserve"> the possibility of residual confounding. </w:t>
      </w:r>
      <w:r w:rsidR="00A02DFF">
        <w:rPr>
          <w:lang w:val="en-GB"/>
        </w:rPr>
        <w:t>It</w:t>
      </w:r>
      <w:r w:rsidR="00D114A8" w:rsidRPr="0082254E">
        <w:rPr>
          <w:lang w:val="en-GB"/>
        </w:rPr>
        <w:t xml:space="preserve"> agreed that a relationship between </w:t>
      </w:r>
      <w:r w:rsidR="00F00C06" w:rsidRPr="0082254E">
        <w:rPr>
          <w:lang w:val="en-GB"/>
        </w:rPr>
        <w:t xml:space="preserve">lowering </w:t>
      </w:r>
      <w:r w:rsidR="00D114A8" w:rsidRPr="0082254E">
        <w:rPr>
          <w:lang w:val="en-GB"/>
        </w:rPr>
        <w:t>serum potassium</w:t>
      </w:r>
      <w:r w:rsidR="009E0FA1" w:rsidRPr="0082254E">
        <w:rPr>
          <w:lang w:val="en-GB"/>
        </w:rPr>
        <w:t xml:space="preserve"> to a normal range</w:t>
      </w:r>
      <w:r w:rsidR="00D114A8" w:rsidRPr="0082254E">
        <w:rPr>
          <w:lang w:val="en-GB"/>
        </w:rPr>
        <w:t xml:space="preserve"> and</w:t>
      </w:r>
      <w:r w:rsidR="00F00C06" w:rsidRPr="0082254E">
        <w:rPr>
          <w:lang w:val="en-GB"/>
        </w:rPr>
        <w:t xml:space="preserve"> fewer</w:t>
      </w:r>
      <w:r w:rsidR="00D114A8" w:rsidRPr="0082254E">
        <w:rPr>
          <w:lang w:val="en-GB"/>
        </w:rPr>
        <w:t xml:space="preserve"> adverse outcomes was biologically plausible</w:t>
      </w:r>
      <w:r w:rsidR="00306F7F" w:rsidRPr="0082254E">
        <w:rPr>
          <w:lang w:val="en-GB"/>
        </w:rPr>
        <w:t xml:space="preserve"> for a subset of endpoints</w:t>
      </w:r>
      <w:r w:rsidR="00D114A8" w:rsidRPr="0082254E">
        <w:rPr>
          <w:lang w:val="en-GB"/>
        </w:rPr>
        <w:t xml:space="preserve">. </w:t>
      </w:r>
      <w:r w:rsidR="009770BF" w:rsidRPr="0082254E">
        <w:rPr>
          <w:lang w:val="en-GB"/>
        </w:rPr>
        <w:t>While the company claimed that a randomised trial showed that lowering potassium prolonged survival</w:t>
      </w:r>
      <w:r w:rsidR="00476A61" w:rsidRPr="0082254E">
        <w:rPr>
          <w:lang w:val="en-GB"/>
        </w:rPr>
        <w:t xml:space="preserve"> in people with heart failure</w:t>
      </w:r>
      <w:r w:rsidR="009770BF" w:rsidRPr="0082254E">
        <w:rPr>
          <w:lang w:val="en-GB"/>
        </w:rPr>
        <w:t xml:space="preserve">, the committee recognised this </w:t>
      </w:r>
      <w:r w:rsidR="00476A61" w:rsidRPr="0082254E">
        <w:rPr>
          <w:lang w:val="en-GB"/>
        </w:rPr>
        <w:t>w</w:t>
      </w:r>
      <w:r w:rsidR="009770BF" w:rsidRPr="0082254E">
        <w:rPr>
          <w:lang w:val="en-GB"/>
        </w:rPr>
        <w:t>as a</w:t>
      </w:r>
      <w:r w:rsidR="00476A61" w:rsidRPr="0082254E">
        <w:rPr>
          <w:lang w:val="en-GB"/>
        </w:rPr>
        <w:t xml:space="preserve"> post-hoc</w:t>
      </w:r>
      <w:r w:rsidR="009770BF" w:rsidRPr="0082254E">
        <w:rPr>
          <w:lang w:val="en-GB"/>
        </w:rPr>
        <w:t xml:space="preserve"> observational analysis of a trial cohort. The company did not otherwise provide randomised evidence that lowering serum potassium prolongs life in the </w:t>
      </w:r>
      <w:r w:rsidR="00011F62">
        <w:rPr>
          <w:lang w:val="en-GB"/>
        </w:rPr>
        <w:t>outpatient</w:t>
      </w:r>
      <w:r w:rsidR="00011F62" w:rsidRPr="0082254E">
        <w:rPr>
          <w:lang w:val="en-GB"/>
        </w:rPr>
        <w:t xml:space="preserve"> </w:t>
      </w:r>
      <w:r w:rsidR="009770BF" w:rsidRPr="0082254E">
        <w:rPr>
          <w:lang w:val="en-GB"/>
        </w:rPr>
        <w:t>setting.</w:t>
      </w:r>
      <w:r w:rsidR="00476A61" w:rsidRPr="0082254E">
        <w:rPr>
          <w:lang w:val="en-GB"/>
        </w:rPr>
        <w:t xml:space="preserve"> </w:t>
      </w:r>
      <w:r w:rsidR="009770BF" w:rsidRPr="0082254E">
        <w:rPr>
          <w:lang w:val="en-GB"/>
        </w:rPr>
        <w:t>T</w:t>
      </w:r>
      <w:r w:rsidR="00D114A8" w:rsidRPr="0082254E">
        <w:rPr>
          <w:lang w:val="en-GB"/>
        </w:rPr>
        <w:t xml:space="preserve">he committee concluded that there was </w:t>
      </w:r>
      <w:r w:rsidR="00F00C06" w:rsidRPr="0082254E">
        <w:rPr>
          <w:lang w:val="en-GB"/>
        </w:rPr>
        <w:t>insufficient</w:t>
      </w:r>
      <w:r w:rsidR="00D114A8" w:rsidRPr="0082254E">
        <w:rPr>
          <w:lang w:val="en-GB"/>
        </w:rPr>
        <w:t xml:space="preserve"> evidence to prove</w:t>
      </w:r>
      <w:r w:rsidR="00F00C06" w:rsidRPr="0082254E">
        <w:rPr>
          <w:lang w:val="en-GB"/>
        </w:rPr>
        <w:t xml:space="preserve"> </w:t>
      </w:r>
      <w:r w:rsidR="00306F7F" w:rsidRPr="0082254E">
        <w:rPr>
          <w:lang w:val="en-GB"/>
        </w:rPr>
        <w:t xml:space="preserve">definitively </w:t>
      </w:r>
      <w:r w:rsidR="00F00C06" w:rsidRPr="0082254E">
        <w:rPr>
          <w:lang w:val="en-GB"/>
        </w:rPr>
        <w:t>that</w:t>
      </w:r>
      <w:r w:rsidR="00D114A8" w:rsidRPr="0082254E">
        <w:rPr>
          <w:lang w:val="en-GB"/>
        </w:rPr>
        <w:t xml:space="preserve"> </w:t>
      </w:r>
      <w:r w:rsidR="00BC2F32" w:rsidRPr="0082254E">
        <w:rPr>
          <w:lang w:val="en-GB"/>
        </w:rPr>
        <w:t>lowering</w:t>
      </w:r>
      <w:r w:rsidR="00D114A8" w:rsidRPr="0082254E">
        <w:rPr>
          <w:lang w:val="en-GB"/>
        </w:rPr>
        <w:t xml:space="preserve"> serum potassium levels </w:t>
      </w:r>
      <w:r w:rsidR="00306F7F" w:rsidRPr="0082254E">
        <w:rPr>
          <w:lang w:val="en-GB"/>
        </w:rPr>
        <w:t xml:space="preserve">in the </w:t>
      </w:r>
      <w:r w:rsidR="00011F62">
        <w:rPr>
          <w:lang w:val="en-GB"/>
        </w:rPr>
        <w:t>outpatient</w:t>
      </w:r>
      <w:r w:rsidR="001853DA">
        <w:rPr>
          <w:lang w:val="en-GB"/>
        </w:rPr>
        <w:t xml:space="preserve"> </w:t>
      </w:r>
      <w:r w:rsidR="00306F7F" w:rsidRPr="0082254E">
        <w:rPr>
          <w:lang w:val="en-GB"/>
        </w:rPr>
        <w:t xml:space="preserve">setting </w:t>
      </w:r>
      <w:r w:rsidR="00BC2F32" w:rsidRPr="0082254E">
        <w:rPr>
          <w:lang w:val="en-GB"/>
        </w:rPr>
        <w:t>leads to improved</w:t>
      </w:r>
      <w:r w:rsidR="00D114A8" w:rsidRPr="0082254E">
        <w:rPr>
          <w:lang w:val="en-GB"/>
        </w:rPr>
        <w:t xml:space="preserve"> outcomes.</w:t>
      </w:r>
      <w:bookmarkEnd w:id="8"/>
    </w:p>
    <w:p w14:paraId="0F195052" w14:textId="4493FA6F" w:rsidR="008517CF" w:rsidRPr="0082254E" w:rsidRDefault="007E6CB8" w:rsidP="007E6CB8">
      <w:pPr>
        <w:pStyle w:val="Heading3"/>
      </w:pPr>
      <w:r w:rsidRPr="0082254E">
        <w:t xml:space="preserve">Stopping RAAS inhibitors </w:t>
      </w:r>
      <w:r w:rsidR="009770BF" w:rsidRPr="0082254E">
        <w:t>likely</w:t>
      </w:r>
      <w:r w:rsidR="006E75A1" w:rsidRPr="0082254E">
        <w:t xml:space="preserve"> </w:t>
      </w:r>
      <w:r w:rsidRPr="0082254E">
        <w:t>increase</w:t>
      </w:r>
      <w:r w:rsidR="009770BF" w:rsidRPr="0082254E">
        <w:t>s the</w:t>
      </w:r>
      <w:r w:rsidRPr="0082254E">
        <w:t xml:space="preserve"> risk of </w:t>
      </w:r>
      <w:r w:rsidR="00F5461D">
        <w:t>death, hospitalisation</w:t>
      </w:r>
      <w:r w:rsidRPr="0082254E">
        <w:t xml:space="preserve"> and disease progression</w:t>
      </w:r>
    </w:p>
    <w:p w14:paraId="3F10B549" w14:textId="44D5196C" w:rsidR="007E6CB8" w:rsidRPr="0082254E" w:rsidRDefault="00F5461D" w:rsidP="00571E19">
      <w:pPr>
        <w:pStyle w:val="Numberedlevel2text"/>
        <w:rPr>
          <w:lang w:val="en-GB"/>
        </w:rPr>
      </w:pPr>
      <w:bookmarkStart w:id="9" w:name="_Ref5618059"/>
      <w:r>
        <w:rPr>
          <w:lang w:val="en-GB"/>
        </w:rPr>
        <w:t xml:space="preserve">In addition to </w:t>
      </w:r>
      <w:r w:rsidR="008A7E16">
        <w:rPr>
          <w:lang w:val="en-GB"/>
        </w:rPr>
        <w:t>proposing clinical benefit because</w:t>
      </w:r>
      <w:r>
        <w:rPr>
          <w:lang w:val="en-GB"/>
        </w:rPr>
        <w:t xml:space="preserve"> of lowering </w:t>
      </w:r>
      <w:r w:rsidR="008A7E16">
        <w:rPr>
          <w:lang w:val="en-GB"/>
        </w:rPr>
        <w:t xml:space="preserve">serum </w:t>
      </w:r>
      <w:r>
        <w:rPr>
          <w:lang w:val="en-GB"/>
        </w:rPr>
        <w:t>potassium</w:t>
      </w:r>
      <w:r w:rsidR="008A7E16">
        <w:rPr>
          <w:lang w:val="en-GB"/>
        </w:rPr>
        <w:t xml:space="preserve"> levels</w:t>
      </w:r>
      <w:r>
        <w:rPr>
          <w:lang w:val="en-GB"/>
        </w:rPr>
        <w:t xml:space="preserve"> (</w:t>
      </w:r>
      <w:r w:rsidR="008A7E16">
        <w:rPr>
          <w:lang w:val="en-GB"/>
        </w:rPr>
        <w:t xml:space="preserve">see </w:t>
      </w:r>
      <w:r>
        <w:rPr>
          <w:lang w:val="en-GB"/>
        </w:rPr>
        <w:t>section</w:t>
      </w:r>
      <w:r w:rsidR="0057228C">
        <w:rPr>
          <w:lang w:val="en-GB"/>
        </w:rPr>
        <w:t> </w:t>
      </w:r>
      <w:r w:rsidR="008A7E16">
        <w:rPr>
          <w:lang w:val="en-GB"/>
        </w:rPr>
        <w:fldChar w:fldCharType="begin"/>
      </w:r>
      <w:r w:rsidR="008A7E16">
        <w:rPr>
          <w:lang w:val="en-GB"/>
        </w:rPr>
        <w:instrText xml:space="preserve"> REF _Ref5618035 \r \h </w:instrText>
      </w:r>
      <w:r w:rsidR="008A7E16">
        <w:rPr>
          <w:lang w:val="en-GB"/>
        </w:rPr>
      </w:r>
      <w:r w:rsidR="008A7E16">
        <w:rPr>
          <w:lang w:val="en-GB"/>
        </w:rPr>
        <w:fldChar w:fldCharType="separate"/>
      </w:r>
      <w:r w:rsidR="00DA520D">
        <w:rPr>
          <w:lang w:val="en-GB"/>
        </w:rPr>
        <w:t>3.12</w:t>
      </w:r>
      <w:r w:rsidR="008A7E16">
        <w:rPr>
          <w:lang w:val="en-GB"/>
        </w:rPr>
        <w:fldChar w:fldCharType="end"/>
      </w:r>
      <w:r w:rsidR="008A7E16">
        <w:rPr>
          <w:lang w:val="en-GB"/>
        </w:rPr>
        <w:t>)</w:t>
      </w:r>
      <w:r w:rsidR="0057228C">
        <w:rPr>
          <w:lang w:val="en-GB"/>
        </w:rPr>
        <w:t>,</w:t>
      </w:r>
      <w:r>
        <w:rPr>
          <w:lang w:val="en-GB"/>
        </w:rPr>
        <w:t xml:space="preserve"> t</w:t>
      </w:r>
      <w:r w:rsidR="007E6CB8" w:rsidRPr="0082254E">
        <w:rPr>
          <w:lang w:val="en-GB"/>
        </w:rPr>
        <w:t>he com</w:t>
      </w:r>
      <w:r w:rsidR="009C1CA2" w:rsidRPr="0082254E">
        <w:rPr>
          <w:lang w:val="en-GB"/>
        </w:rPr>
        <w:t xml:space="preserve">pany also proposed that people </w:t>
      </w:r>
      <w:r w:rsidR="0036294D">
        <w:rPr>
          <w:lang w:val="en-GB"/>
        </w:rPr>
        <w:t>having treatment</w:t>
      </w:r>
      <w:r w:rsidR="0036294D" w:rsidRPr="0082254E">
        <w:rPr>
          <w:lang w:val="en-GB"/>
        </w:rPr>
        <w:t xml:space="preserve"> </w:t>
      </w:r>
      <w:r w:rsidR="009C1CA2" w:rsidRPr="0082254E">
        <w:rPr>
          <w:lang w:val="en-GB"/>
        </w:rPr>
        <w:t>with sodium zirconium cyclosilicate would live longer and have a better quality of life</w:t>
      </w:r>
      <w:r w:rsidR="00BB5D10">
        <w:rPr>
          <w:lang w:val="en-GB"/>
        </w:rPr>
        <w:t xml:space="preserve"> than people not on treatment</w:t>
      </w:r>
      <w:r w:rsidR="008D67AB">
        <w:rPr>
          <w:lang w:val="en-GB"/>
        </w:rPr>
        <w:t>. This was</w:t>
      </w:r>
      <w:r w:rsidR="009C1CA2" w:rsidRPr="0082254E">
        <w:rPr>
          <w:lang w:val="en-GB"/>
        </w:rPr>
        <w:t xml:space="preserve"> because treatment with sodium zirconium cyclosilicate would allow them </w:t>
      </w:r>
      <w:r w:rsidR="00D66890" w:rsidRPr="0082254E">
        <w:rPr>
          <w:lang w:val="en-GB"/>
        </w:rPr>
        <w:t xml:space="preserve">to </w:t>
      </w:r>
      <w:r w:rsidR="006E75A1" w:rsidRPr="0082254E">
        <w:rPr>
          <w:lang w:val="en-GB"/>
        </w:rPr>
        <w:t xml:space="preserve">maintain or </w:t>
      </w:r>
      <w:r w:rsidR="007A6459">
        <w:rPr>
          <w:lang w:val="en-GB"/>
        </w:rPr>
        <w:t>restart</w:t>
      </w:r>
      <w:r w:rsidR="007A6459" w:rsidRPr="0082254E">
        <w:rPr>
          <w:lang w:val="en-GB"/>
        </w:rPr>
        <w:t xml:space="preserve"> </w:t>
      </w:r>
      <w:r w:rsidR="00D66890" w:rsidRPr="0082254E">
        <w:rPr>
          <w:lang w:val="en-GB"/>
        </w:rPr>
        <w:t>treatment with RAAS inhibitors. Based on targeted reviews for chronic kidney disease and heart failure</w:t>
      </w:r>
      <w:r w:rsidR="008D67AB">
        <w:rPr>
          <w:lang w:val="en-GB"/>
        </w:rPr>
        <w:t>,</w:t>
      </w:r>
      <w:r w:rsidR="00D66890" w:rsidRPr="0082254E">
        <w:rPr>
          <w:lang w:val="en-GB"/>
        </w:rPr>
        <w:t xml:space="preserve"> </w:t>
      </w:r>
      <w:r w:rsidR="00BB5D10">
        <w:rPr>
          <w:lang w:val="en-GB"/>
        </w:rPr>
        <w:t>the company</w:t>
      </w:r>
      <w:r w:rsidR="00BB5D10" w:rsidRPr="0082254E">
        <w:rPr>
          <w:lang w:val="en-GB"/>
        </w:rPr>
        <w:t xml:space="preserve"> </w:t>
      </w:r>
      <w:r w:rsidR="00D66890" w:rsidRPr="0082254E">
        <w:rPr>
          <w:lang w:val="en-GB"/>
        </w:rPr>
        <w:t xml:space="preserve">presented </w:t>
      </w:r>
      <w:r w:rsidR="007E6CB8" w:rsidRPr="0082254E">
        <w:rPr>
          <w:lang w:val="en-GB"/>
        </w:rPr>
        <w:t>data from a network meta-analysis of randomised controlled trials</w:t>
      </w:r>
      <w:r w:rsidR="00D66890" w:rsidRPr="0082254E">
        <w:rPr>
          <w:lang w:val="en-GB"/>
        </w:rPr>
        <w:t xml:space="preserve"> and several observational studies</w:t>
      </w:r>
      <w:r w:rsidR="007E6CB8" w:rsidRPr="0082254E">
        <w:rPr>
          <w:lang w:val="en-GB"/>
        </w:rPr>
        <w:t xml:space="preserve">. </w:t>
      </w:r>
      <w:r w:rsidR="00BB5D10">
        <w:rPr>
          <w:lang w:val="en-GB"/>
        </w:rPr>
        <w:t>It</w:t>
      </w:r>
      <w:r w:rsidR="007E6CB8" w:rsidRPr="0082254E">
        <w:rPr>
          <w:lang w:val="en-GB"/>
        </w:rPr>
        <w:t xml:space="preserve"> assumed that</w:t>
      </w:r>
      <w:r w:rsidR="008D67AB">
        <w:rPr>
          <w:lang w:val="en-GB"/>
        </w:rPr>
        <w:t>,</w:t>
      </w:r>
      <w:r w:rsidR="007E6CB8" w:rsidRPr="0082254E">
        <w:rPr>
          <w:lang w:val="en-GB"/>
        </w:rPr>
        <w:t xml:space="preserve"> because th</w:t>
      </w:r>
      <w:r w:rsidR="00D66890" w:rsidRPr="0082254E">
        <w:rPr>
          <w:lang w:val="en-GB"/>
        </w:rPr>
        <w:t>ese</w:t>
      </w:r>
      <w:r w:rsidR="007E6CB8" w:rsidRPr="0082254E">
        <w:rPr>
          <w:lang w:val="en-GB"/>
        </w:rPr>
        <w:t xml:space="preserve"> stud</w:t>
      </w:r>
      <w:r w:rsidR="00D66890" w:rsidRPr="0082254E">
        <w:rPr>
          <w:lang w:val="en-GB"/>
        </w:rPr>
        <w:t>ies</w:t>
      </w:r>
      <w:r w:rsidR="007E6CB8" w:rsidRPr="0082254E">
        <w:rPr>
          <w:lang w:val="en-GB"/>
        </w:rPr>
        <w:t xml:space="preserve"> showed that starting a RAAS inhibitor is associated </w:t>
      </w:r>
      <w:r w:rsidR="007E6CB8" w:rsidRPr="0082254E">
        <w:rPr>
          <w:lang w:val="en-GB"/>
        </w:rPr>
        <w:lastRenderedPageBreak/>
        <w:t xml:space="preserve">with living longer, people who stop a RAAS inhibitor </w:t>
      </w:r>
      <w:r w:rsidR="009770BF" w:rsidRPr="0082254E">
        <w:rPr>
          <w:lang w:val="en-GB"/>
        </w:rPr>
        <w:t xml:space="preserve">would </w:t>
      </w:r>
      <w:r w:rsidR="008D67AB">
        <w:rPr>
          <w:lang w:val="en-GB"/>
        </w:rPr>
        <w:t>have shortened lives</w:t>
      </w:r>
      <w:r w:rsidR="007E6CB8" w:rsidRPr="0082254E">
        <w:rPr>
          <w:lang w:val="en-GB"/>
        </w:rPr>
        <w:t>.</w:t>
      </w:r>
      <w:r w:rsidR="00D66890" w:rsidRPr="0082254E">
        <w:rPr>
          <w:lang w:val="en-GB"/>
        </w:rPr>
        <w:t xml:space="preserve"> It also presented evidence that RAAS inhibitor</w:t>
      </w:r>
      <w:r w:rsidR="006E75A1" w:rsidRPr="0082254E">
        <w:rPr>
          <w:lang w:val="en-GB"/>
        </w:rPr>
        <w:t>s</w:t>
      </w:r>
      <w:r w:rsidR="00D66890" w:rsidRPr="0082254E">
        <w:rPr>
          <w:lang w:val="en-GB"/>
        </w:rPr>
        <w:t xml:space="preserve"> </w:t>
      </w:r>
      <w:r w:rsidR="006E75A1" w:rsidRPr="0082254E">
        <w:rPr>
          <w:lang w:val="en-GB"/>
        </w:rPr>
        <w:t>are</w:t>
      </w:r>
      <w:r w:rsidR="00D66890" w:rsidRPr="0082254E">
        <w:rPr>
          <w:lang w:val="en-GB"/>
        </w:rPr>
        <w:t xml:space="preserve"> associated with delayed disease progression, and therefore improved quality of life. The committee noted that it would have preferred to have seen a systematic review of the literature</w:t>
      </w:r>
      <w:r w:rsidR="008D67AB">
        <w:rPr>
          <w:lang w:val="en-GB"/>
        </w:rPr>
        <w:t>. It also noted</w:t>
      </w:r>
      <w:r w:rsidR="0087607E" w:rsidRPr="0082254E">
        <w:rPr>
          <w:lang w:val="en-GB"/>
        </w:rPr>
        <w:t xml:space="preserve"> that it was unclear whether the company had considered in its analyses the factors that may affect the balance of harms and benefits of continuing RAAS inhibitors in people with hyperkalaemia. The committee noted evidence from the clinical experts and from responses to consultation that the benefits of RAAS inhibitors were well established for certain people</w:t>
      </w:r>
      <w:r w:rsidR="008D67AB">
        <w:rPr>
          <w:lang w:val="en-GB"/>
        </w:rPr>
        <w:t>. It</w:t>
      </w:r>
      <w:r w:rsidR="0087607E" w:rsidRPr="0082254E">
        <w:rPr>
          <w:lang w:val="en-GB"/>
        </w:rPr>
        <w:t xml:space="preserve"> concluded that</w:t>
      </w:r>
      <w:r w:rsidR="008D67AB">
        <w:rPr>
          <w:lang w:val="en-GB"/>
        </w:rPr>
        <w:t>,</w:t>
      </w:r>
      <w:r w:rsidR="0087607E" w:rsidRPr="0082254E">
        <w:rPr>
          <w:lang w:val="en-GB"/>
        </w:rPr>
        <w:t xml:space="preserve"> in the population being considered</w:t>
      </w:r>
      <w:r w:rsidR="006E75A1" w:rsidRPr="0082254E">
        <w:rPr>
          <w:lang w:val="en-GB"/>
        </w:rPr>
        <w:t>,</w:t>
      </w:r>
      <w:r w:rsidR="0087607E" w:rsidRPr="0082254E">
        <w:rPr>
          <w:lang w:val="en-GB"/>
        </w:rPr>
        <w:t xml:space="preserve"> stopping RAAS inhibitors would generally be associated with an </w:t>
      </w:r>
      <w:r w:rsidR="0082254E" w:rsidRPr="0082254E">
        <w:rPr>
          <w:lang w:val="en-GB"/>
        </w:rPr>
        <w:t>increased</w:t>
      </w:r>
      <w:r w:rsidR="0087607E" w:rsidRPr="0082254E">
        <w:rPr>
          <w:lang w:val="en-GB"/>
        </w:rPr>
        <w:t xml:space="preserve"> risk of adverse outcomes and disease progression.</w:t>
      </w:r>
      <w:r w:rsidR="00476A61" w:rsidRPr="0082254E">
        <w:rPr>
          <w:lang w:val="en-GB"/>
        </w:rPr>
        <w:t xml:space="preserve"> </w:t>
      </w:r>
      <w:r w:rsidR="00134EA2" w:rsidRPr="0082254E">
        <w:rPr>
          <w:lang w:val="en-GB"/>
        </w:rPr>
        <w:t>The committee concluded that starting RAAS inhibitors prolongs life</w:t>
      </w:r>
      <w:r w:rsidR="00476A61" w:rsidRPr="0082254E">
        <w:rPr>
          <w:lang w:val="en-GB"/>
        </w:rPr>
        <w:t xml:space="preserve"> for many people</w:t>
      </w:r>
      <w:r w:rsidR="00134EA2" w:rsidRPr="0082254E">
        <w:rPr>
          <w:lang w:val="en-GB"/>
        </w:rPr>
        <w:t>,</w:t>
      </w:r>
      <w:r w:rsidR="00476A61" w:rsidRPr="0082254E">
        <w:rPr>
          <w:lang w:val="en-GB"/>
        </w:rPr>
        <w:t xml:space="preserve"> </w:t>
      </w:r>
      <w:r w:rsidR="008D67AB">
        <w:rPr>
          <w:lang w:val="en-GB"/>
        </w:rPr>
        <w:t>so</w:t>
      </w:r>
      <w:r w:rsidR="008D67AB" w:rsidRPr="0082254E">
        <w:rPr>
          <w:lang w:val="en-GB"/>
        </w:rPr>
        <w:t xml:space="preserve"> </w:t>
      </w:r>
      <w:r w:rsidR="00134EA2" w:rsidRPr="0082254E">
        <w:rPr>
          <w:lang w:val="en-GB"/>
        </w:rPr>
        <w:t>stopping RAAS inhibitors</w:t>
      </w:r>
      <w:r w:rsidR="00476A61" w:rsidRPr="0082254E">
        <w:rPr>
          <w:lang w:val="en-GB"/>
        </w:rPr>
        <w:t xml:space="preserve"> for people who benefit from them</w:t>
      </w:r>
      <w:r w:rsidR="00134EA2" w:rsidRPr="0082254E">
        <w:rPr>
          <w:lang w:val="en-GB"/>
        </w:rPr>
        <w:t xml:space="preserve"> would likely shorten life.</w:t>
      </w:r>
      <w:bookmarkEnd w:id="9"/>
    </w:p>
    <w:p w14:paraId="410DE3C7" w14:textId="35E2C3A3" w:rsidR="00096E57" w:rsidRPr="0082254E" w:rsidRDefault="00E65F11" w:rsidP="003D0B58">
      <w:pPr>
        <w:pStyle w:val="Heading3"/>
      </w:pPr>
      <w:r w:rsidRPr="0082254E">
        <w:t>There is no evidence that sodium zirconium cyclosilicate prolongs survival</w:t>
      </w:r>
      <w:r w:rsidR="001619DC">
        <w:t xml:space="preserve"> in people </w:t>
      </w:r>
      <w:r w:rsidR="005D70C6">
        <w:t xml:space="preserve">having treatment </w:t>
      </w:r>
      <w:r w:rsidR="001619DC">
        <w:t xml:space="preserve">for </w:t>
      </w:r>
      <w:r w:rsidR="00FC2664">
        <w:t xml:space="preserve">chronic </w:t>
      </w:r>
      <w:r w:rsidR="001619DC">
        <w:t>hyperkalaemia</w:t>
      </w:r>
    </w:p>
    <w:p w14:paraId="63B98649" w14:textId="481F62F0" w:rsidR="00D078DF" w:rsidRPr="0082254E" w:rsidRDefault="0041469D" w:rsidP="005C2F28">
      <w:pPr>
        <w:pStyle w:val="Numberedlevel2text"/>
        <w:rPr>
          <w:lang w:val="en-GB"/>
        </w:rPr>
      </w:pPr>
      <w:bookmarkStart w:id="10" w:name="_Ref5617525"/>
      <w:r w:rsidRPr="0082254E">
        <w:rPr>
          <w:lang w:val="en-GB"/>
        </w:rPr>
        <w:t xml:space="preserve">The committee </w:t>
      </w:r>
      <w:r w:rsidR="00571E19" w:rsidRPr="0082254E">
        <w:rPr>
          <w:lang w:val="en-GB"/>
        </w:rPr>
        <w:t>recalled that serum potassium levels outside the normal range</w:t>
      </w:r>
      <w:r w:rsidR="001619DC">
        <w:rPr>
          <w:lang w:val="en-GB"/>
        </w:rPr>
        <w:t xml:space="preserve"> (but below the threshold </w:t>
      </w:r>
      <w:r w:rsidR="00642883">
        <w:rPr>
          <w:lang w:val="en-GB"/>
        </w:rPr>
        <w:t xml:space="preserve">needing </w:t>
      </w:r>
      <w:r w:rsidR="001619DC">
        <w:rPr>
          <w:lang w:val="en-GB"/>
        </w:rPr>
        <w:t>treatment as an emergency in hospital)</w:t>
      </w:r>
      <w:r w:rsidR="00571E19" w:rsidRPr="0082254E">
        <w:rPr>
          <w:lang w:val="en-GB"/>
        </w:rPr>
        <w:t xml:space="preserve"> may increase the risk of mortality (see section</w:t>
      </w:r>
      <w:r w:rsidR="002A0520">
        <w:rPr>
          <w:lang w:val="en-GB"/>
        </w:rPr>
        <w:t> </w:t>
      </w:r>
      <w:r w:rsidR="00F87E97">
        <w:rPr>
          <w:lang w:val="en-GB"/>
        </w:rPr>
        <w:fldChar w:fldCharType="begin"/>
      </w:r>
      <w:r w:rsidR="00F87E97">
        <w:rPr>
          <w:lang w:val="en-GB"/>
        </w:rPr>
        <w:instrText xml:space="preserve"> REF _Ref5618035 \r \h </w:instrText>
      </w:r>
      <w:r w:rsidR="00F87E97">
        <w:rPr>
          <w:lang w:val="en-GB"/>
        </w:rPr>
      </w:r>
      <w:r w:rsidR="00F87E97">
        <w:rPr>
          <w:lang w:val="en-GB"/>
        </w:rPr>
        <w:fldChar w:fldCharType="separate"/>
      </w:r>
      <w:r w:rsidR="00DA520D">
        <w:rPr>
          <w:lang w:val="en-GB"/>
        </w:rPr>
        <w:t>3.12</w:t>
      </w:r>
      <w:r w:rsidR="00F87E97">
        <w:rPr>
          <w:lang w:val="en-GB"/>
        </w:rPr>
        <w:fldChar w:fldCharType="end"/>
      </w:r>
      <w:r w:rsidR="00571E19" w:rsidRPr="0082254E">
        <w:rPr>
          <w:lang w:val="en-GB"/>
        </w:rPr>
        <w:t>).</w:t>
      </w:r>
      <w:r w:rsidR="00464BCE" w:rsidRPr="0082254E">
        <w:rPr>
          <w:lang w:val="en-GB"/>
        </w:rPr>
        <w:t xml:space="preserve"> </w:t>
      </w:r>
      <w:r w:rsidR="001619DC">
        <w:rPr>
          <w:lang w:val="en-GB"/>
        </w:rPr>
        <w:t>However, t</w:t>
      </w:r>
      <w:r w:rsidR="00464BCE" w:rsidRPr="0082254E">
        <w:rPr>
          <w:lang w:val="en-GB"/>
        </w:rPr>
        <w:t xml:space="preserve">he </w:t>
      </w:r>
      <w:r w:rsidR="00AC514F" w:rsidRPr="0082254E">
        <w:rPr>
          <w:lang w:val="en-GB"/>
        </w:rPr>
        <w:t xml:space="preserve">committee noted that there was no comparative evidence from a randomised trial </w:t>
      </w:r>
      <w:r w:rsidR="001619DC">
        <w:rPr>
          <w:lang w:val="en-GB"/>
        </w:rPr>
        <w:t xml:space="preserve">showing </w:t>
      </w:r>
      <w:r w:rsidR="00AC514F" w:rsidRPr="0082254E">
        <w:rPr>
          <w:lang w:val="en-GB"/>
        </w:rPr>
        <w:t xml:space="preserve">that lowering serum potassium in </w:t>
      </w:r>
      <w:r w:rsidR="001619DC">
        <w:rPr>
          <w:lang w:val="en-GB"/>
        </w:rPr>
        <w:t xml:space="preserve">such </w:t>
      </w:r>
      <w:r w:rsidR="00AC514F" w:rsidRPr="0082254E">
        <w:rPr>
          <w:lang w:val="en-GB"/>
        </w:rPr>
        <w:t xml:space="preserve">people prolonged survival. </w:t>
      </w:r>
      <w:r w:rsidR="001619DC">
        <w:rPr>
          <w:lang w:val="en-GB"/>
        </w:rPr>
        <w:t>Stopping RAAS inhibitors may also increase the risk of mortality</w:t>
      </w:r>
      <w:r w:rsidR="00F87E97">
        <w:rPr>
          <w:lang w:val="en-GB"/>
        </w:rPr>
        <w:t xml:space="preserve"> (see section</w:t>
      </w:r>
      <w:r w:rsidR="00642883">
        <w:rPr>
          <w:lang w:val="en-GB"/>
        </w:rPr>
        <w:t> </w:t>
      </w:r>
      <w:r w:rsidR="00F87E97">
        <w:rPr>
          <w:lang w:val="en-GB"/>
        </w:rPr>
        <w:fldChar w:fldCharType="begin"/>
      </w:r>
      <w:r w:rsidR="00F87E97">
        <w:rPr>
          <w:lang w:val="en-GB"/>
        </w:rPr>
        <w:instrText xml:space="preserve"> REF _Ref5618059 \r \h </w:instrText>
      </w:r>
      <w:r w:rsidR="00F87E97">
        <w:rPr>
          <w:lang w:val="en-GB"/>
        </w:rPr>
      </w:r>
      <w:r w:rsidR="00F87E97">
        <w:rPr>
          <w:lang w:val="en-GB"/>
        </w:rPr>
        <w:fldChar w:fldCharType="separate"/>
      </w:r>
      <w:r w:rsidR="00DA520D">
        <w:rPr>
          <w:lang w:val="en-GB"/>
        </w:rPr>
        <w:t>3.13</w:t>
      </w:r>
      <w:r w:rsidR="00F87E97">
        <w:rPr>
          <w:lang w:val="en-GB"/>
        </w:rPr>
        <w:fldChar w:fldCharType="end"/>
      </w:r>
      <w:r w:rsidR="00F87E97">
        <w:rPr>
          <w:lang w:val="en-GB"/>
        </w:rPr>
        <w:t>)</w:t>
      </w:r>
      <w:r w:rsidR="001619DC">
        <w:rPr>
          <w:lang w:val="en-GB"/>
        </w:rPr>
        <w:t xml:space="preserve">. The committee </w:t>
      </w:r>
      <w:r w:rsidR="00AC514F" w:rsidRPr="0082254E">
        <w:rPr>
          <w:lang w:val="en-GB"/>
        </w:rPr>
        <w:t xml:space="preserve">noted that there was </w:t>
      </w:r>
      <w:r w:rsidR="001619DC">
        <w:rPr>
          <w:lang w:val="en-GB"/>
        </w:rPr>
        <w:t xml:space="preserve">also </w:t>
      </w:r>
      <w:r w:rsidR="00AC514F" w:rsidRPr="0082254E">
        <w:rPr>
          <w:lang w:val="en-GB"/>
        </w:rPr>
        <w:t xml:space="preserve">no comparative evidence from clinical trials that RAAS inhibitor use differed between people </w:t>
      </w:r>
      <w:r w:rsidR="0036294D">
        <w:rPr>
          <w:lang w:val="en-GB"/>
        </w:rPr>
        <w:t>having</w:t>
      </w:r>
      <w:r w:rsidR="00AC514F" w:rsidRPr="0082254E">
        <w:rPr>
          <w:lang w:val="en-GB"/>
        </w:rPr>
        <w:t xml:space="preserve"> sodium zirconium cyclosilicate and people </w:t>
      </w:r>
      <w:r w:rsidR="0036294D">
        <w:rPr>
          <w:lang w:val="en-GB"/>
        </w:rPr>
        <w:t>having</w:t>
      </w:r>
      <w:r w:rsidR="00AC514F" w:rsidRPr="0082254E">
        <w:rPr>
          <w:lang w:val="en-GB"/>
        </w:rPr>
        <w:t xml:space="preserve"> standard care in the NHS. Therefore, t</w:t>
      </w:r>
      <w:r w:rsidR="00D078DF" w:rsidRPr="0082254E">
        <w:rPr>
          <w:lang w:val="en-GB"/>
        </w:rPr>
        <w:t xml:space="preserve">he committee concluded that </w:t>
      </w:r>
      <w:r w:rsidR="00AC514F" w:rsidRPr="0082254E">
        <w:rPr>
          <w:lang w:val="en-GB"/>
        </w:rPr>
        <w:t>there was no direct evidence that sodium zirconium cyclosilicate improves survival</w:t>
      </w:r>
      <w:r w:rsidR="001619DC">
        <w:rPr>
          <w:lang w:val="en-GB"/>
        </w:rPr>
        <w:t xml:space="preserve"> </w:t>
      </w:r>
      <w:r w:rsidR="001619DC">
        <w:t xml:space="preserve">in people </w:t>
      </w:r>
      <w:r w:rsidR="005D70C6">
        <w:rPr>
          <w:lang w:val="en-US"/>
        </w:rPr>
        <w:t>having treatment</w:t>
      </w:r>
      <w:r w:rsidR="005D70C6">
        <w:t xml:space="preserve"> </w:t>
      </w:r>
      <w:r w:rsidR="001619DC">
        <w:t xml:space="preserve">for </w:t>
      </w:r>
      <w:r w:rsidR="00FC2664">
        <w:rPr>
          <w:lang w:val="en-GB"/>
        </w:rPr>
        <w:t>chronic</w:t>
      </w:r>
      <w:r w:rsidR="001619DC">
        <w:t xml:space="preserve"> hyperkalaemia</w:t>
      </w:r>
      <w:r w:rsidR="00D078DF" w:rsidRPr="0082254E">
        <w:rPr>
          <w:lang w:val="en-GB"/>
        </w:rPr>
        <w:t>.</w:t>
      </w:r>
      <w:bookmarkEnd w:id="10"/>
    </w:p>
    <w:p w14:paraId="62932B84" w14:textId="1E82E415" w:rsidR="00737BB9" w:rsidRPr="0082254E" w:rsidRDefault="00737BB9" w:rsidP="00737BB9">
      <w:pPr>
        <w:pStyle w:val="Heading2"/>
      </w:pPr>
      <w:r w:rsidRPr="0082254E">
        <w:lastRenderedPageBreak/>
        <w:t>Cost</w:t>
      </w:r>
      <w:r w:rsidR="00120589" w:rsidRPr="0082254E">
        <w:t>-</w:t>
      </w:r>
      <w:r w:rsidRPr="0082254E">
        <w:t xml:space="preserve">effectiveness </w:t>
      </w:r>
      <w:r w:rsidR="00082E97" w:rsidRPr="0082254E">
        <w:t>modelling</w:t>
      </w:r>
    </w:p>
    <w:p w14:paraId="1E74ABE8" w14:textId="100E57A0" w:rsidR="00BD65DB" w:rsidRPr="0082254E" w:rsidRDefault="00BD65DB" w:rsidP="00BD65DB">
      <w:pPr>
        <w:pStyle w:val="Heading3"/>
      </w:pPr>
      <w:r w:rsidRPr="0082254E">
        <w:t>The company’s patient</w:t>
      </w:r>
      <w:r w:rsidR="00D57DFE" w:rsidRPr="0082254E">
        <w:t>-</w:t>
      </w:r>
      <w:r w:rsidRPr="0082254E">
        <w:t>level</w:t>
      </w:r>
      <w:r w:rsidR="00D57DFE" w:rsidRPr="0082254E">
        <w:t xml:space="preserve"> simulation</w:t>
      </w:r>
      <w:r w:rsidRPr="0082254E">
        <w:t xml:space="preserve"> model is appropriate</w:t>
      </w:r>
    </w:p>
    <w:p w14:paraId="75F68100" w14:textId="070458FE" w:rsidR="00892F74" w:rsidRPr="0082254E" w:rsidRDefault="00BD65DB" w:rsidP="00BD65DB">
      <w:pPr>
        <w:pStyle w:val="Numberedlevel2text"/>
        <w:rPr>
          <w:lang w:val="en-GB"/>
        </w:rPr>
      </w:pPr>
      <w:bookmarkStart w:id="11" w:name="_Ref5618390"/>
      <w:r w:rsidRPr="0082254E">
        <w:rPr>
          <w:lang w:val="en-GB"/>
        </w:rPr>
        <w:t>The company modelled the cost</w:t>
      </w:r>
      <w:r w:rsidR="0082254E">
        <w:rPr>
          <w:lang w:val="en-GB"/>
        </w:rPr>
        <w:t xml:space="preserve"> </w:t>
      </w:r>
      <w:r w:rsidRPr="0082254E">
        <w:rPr>
          <w:lang w:val="en-GB"/>
        </w:rPr>
        <w:t xml:space="preserve">effectiveness of sodium zirconium cyclosilicate using </w:t>
      </w:r>
      <w:r w:rsidR="00D57DFE" w:rsidRPr="0082254E">
        <w:rPr>
          <w:lang w:val="en-GB"/>
        </w:rPr>
        <w:t>a</w:t>
      </w:r>
      <w:r w:rsidRPr="0082254E">
        <w:rPr>
          <w:lang w:val="en-GB"/>
        </w:rPr>
        <w:t xml:space="preserve"> patient</w:t>
      </w:r>
      <w:r w:rsidR="00381149" w:rsidRPr="0082254E">
        <w:rPr>
          <w:lang w:val="en-GB"/>
        </w:rPr>
        <w:t>-</w:t>
      </w:r>
      <w:r w:rsidRPr="0082254E">
        <w:rPr>
          <w:lang w:val="en-GB"/>
        </w:rPr>
        <w:t>level</w:t>
      </w:r>
      <w:r w:rsidR="00381149" w:rsidRPr="0082254E">
        <w:rPr>
          <w:lang w:val="en-GB"/>
        </w:rPr>
        <w:t xml:space="preserve"> </w:t>
      </w:r>
      <w:r w:rsidR="00D57DFE" w:rsidRPr="0082254E">
        <w:rPr>
          <w:lang w:val="en-GB"/>
        </w:rPr>
        <w:t>simulation</w:t>
      </w:r>
      <w:r w:rsidRPr="0082254E">
        <w:rPr>
          <w:lang w:val="en-GB"/>
        </w:rPr>
        <w:t xml:space="preserve"> model.</w:t>
      </w:r>
      <w:r w:rsidR="002B3EEA" w:rsidRPr="0082254E">
        <w:rPr>
          <w:lang w:val="en-GB"/>
        </w:rPr>
        <w:t xml:space="preserve"> The model </w:t>
      </w:r>
      <w:r w:rsidR="00D57DFE" w:rsidRPr="0082254E">
        <w:rPr>
          <w:lang w:val="en-GB"/>
        </w:rPr>
        <w:t>generate</w:t>
      </w:r>
      <w:r w:rsidR="004556BD">
        <w:rPr>
          <w:lang w:val="en-GB"/>
        </w:rPr>
        <w:t>d</w:t>
      </w:r>
      <w:r w:rsidR="002B3EEA" w:rsidRPr="0082254E">
        <w:rPr>
          <w:lang w:val="en-GB"/>
        </w:rPr>
        <w:t xml:space="preserve"> </w:t>
      </w:r>
      <w:r w:rsidR="00381149" w:rsidRPr="0082254E">
        <w:rPr>
          <w:lang w:val="en-GB"/>
        </w:rPr>
        <w:t>a</w:t>
      </w:r>
      <w:r w:rsidR="002B3EEA" w:rsidRPr="0082254E">
        <w:rPr>
          <w:lang w:val="en-GB"/>
        </w:rPr>
        <w:t xml:space="preserve"> serum potassium </w:t>
      </w:r>
      <w:r w:rsidR="00381149" w:rsidRPr="0082254E">
        <w:rPr>
          <w:lang w:val="en-GB"/>
        </w:rPr>
        <w:t>trajectory</w:t>
      </w:r>
      <w:r w:rsidR="002B3EEA" w:rsidRPr="0082254E">
        <w:rPr>
          <w:lang w:val="en-GB"/>
        </w:rPr>
        <w:t xml:space="preserve"> </w:t>
      </w:r>
      <w:r w:rsidR="00381149" w:rsidRPr="0082254E">
        <w:rPr>
          <w:lang w:val="en-GB"/>
        </w:rPr>
        <w:t>for</w:t>
      </w:r>
      <w:r w:rsidR="002B3EEA" w:rsidRPr="0082254E">
        <w:rPr>
          <w:lang w:val="en-GB"/>
        </w:rPr>
        <w:t xml:space="preserve"> each patient</w:t>
      </w:r>
      <w:r w:rsidR="00D57DFE" w:rsidRPr="0082254E">
        <w:rPr>
          <w:lang w:val="en-GB"/>
        </w:rPr>
        <w:t xml:space="preserve"> over time</w:t>
      </w:r>
      <w:r w:rsidR="002B3EEA" w:rsidRPr="0082254E">
        <w:rPr>
          <w:lang w:val="en-GB"/>
        </w:rPr>
        <w:t>.</w:t>
      </w:r>
      <w:r w:rsidR="004B420B" w:rsidRPr="0082254E">
        <w:rPr>
          <w:lang w:val="en-GB"/>
        </w:rPr>
        <w:t xml:space="preserve"> </w:t>
      </w:r>
      <w:r w:rsidR="003D6747" w:rsidRPr="0082254E">
        <w:rPr>
          <w:lang w:val="en-GB"/>
        </w:rPr>
        <w:t>The proportion of patients who enter</w:t>
      </w:r>
      <w:r w:rsidR="004556BD">
        <w:rPr>
          <w:lang w:val="en-GB"/>
        </w:rPr>
        <w:t>ed</w:t>
      </w:r>
      <w:r w:rsidR="003D6747" w:rsidRPr="0082254E">
        <w:rPr>
          <w:lang w:val="en-GB"/>
        </w:rPr>
        <w:t xml:space="preserve"> the model on RAAS inhibitors </w:t>
      </w:r>
      <w:r w:rsidR="004556BD">
        <w:rPr>
          <w:lang w:val="en-GB"/>
        </w:rPr>
        <w:t>wa</w:t>
      </w:r>
      <w:r w:rsidR="003D6747" w:rsidRPr="0082254E">
        <w:rPr>
          <w:lang w:val="en-GB"/>
        </w:rPr>
        <w:t>s based on the</w:t>
      </w:r>
      <w:r w:rsidR="0009342C">
        <w:rPr>
          <w:lang w:val="en-GB"/>
        </w:rPr>
        <w:t xml:space="preserve"> ZS005</w:t>
      </w:r>
      <w:r w:rsidR="003D6747" w:rsidRPr="0082254E">
        <w:rPr>
          <w:lang w:val="en-GB"/>
        </w:rPr>
        <w:t xml:space="preserve"> clinical trial</w:t>
      </w:r>
      <w:r w:rsidR="004556BD">
        <w:rPr>
          <w:lang w:val="en-GB"/>
        </w:rPr>
        <w:t>. T</w:t>
      </w:r>
      <w:r w:rsidR="003D6747" w:rsidRPr="0082254E">
        <w:rPr>
          <w:lang w:val="en-GB"/>
        </w:rPr>
        <w:t>hereafter</w:t>
      </w:r>
      <w:r w:rsidR="004556BD">
        <w:rPr>
          <w:lang w:val="en-GB"/>
        </w:rPr>
        <w:t>,</w:t>
      </w:r>
      <w:r w:rsidR="003D6747" w:rsidRPr="0082254E">
        <w:rPr>
          <w:lang w:val="en-GB"/>
        </w:rPr>
        <w:t xml:space="preserve"> RAAS inhibitor use </w:t>
      </w:r>
      <w:r w:rsidR="004556BD">
        <w:rPr>
          <w:lang w:val="en-GB"/>
        </w:rPr>
        <w:t>wa</w:t>
      </w:r>
      <w:r w:rsidR="003D6747" w:rsidRPr="0082254E">
        <w:rPr>
          <w:lang w:val="en-GB"/>
        </w:rPr>
        <w:t xml:space="preserve">s determined by the patient’s serum potassium trajectory. </w:t>
      </w:r>
      <w:r w:rsidR="004B420B" w:rsidRPr="0082254E">
        <w:rPr>
          <w:lang w:val="en-GB"/>
        </w:rPr>
        <w:t xml:space="preserve">The </w:t>
      </w:r>
      <w:r w:rsidR="00134EA2" w:rsidRPr="0082254E">
        <w:rPr>
          <w:lang w:val="en-GB"/>
        </w:rPr>
        <w:t>company chose to model sodium zirconium cyclosilicate as prolonging life in 2</w:t>
      </w:r>
      <w:r w:rsidR="004556BD">
        <w:rPr>
          <w:lang w:val="en-GB"/>
        </w:rPr>
        <w:t> </w:t>
      </w:r>
      <w:r w:rsidR="00134EA2" w:rsidRPr="0082254E">
        <w:rPr>
          <w:lang w:val="en-GB"/>
        </w:rPr>
        <w:t xml:space="preserve">ways: </w:t>
      </w:r>
      <w:r w:rsidR="00476A61" w:rsidRPr="0082254E">
        <w:rPr>
          <w:lang w:val="en-GB"/>
        </w:rPr>
        <w:t>by</w:t>
      </w:r>
      <w:r w:rsidR="00134EA2" w:rsidRPr="0082254E">
        <w:rPr>
          <w:lang w:val="en-GB"/>
        </w:rPr>
        <w:t xml:space="preserve"> </w:t>
      </w:r>
      <w:r w:rsidR="004B420B" w:rsidRPr="0082254E">
        <w:rPr>
          <w:lang w:val="en-GB"/>
        </w:rPr>
        <w:t>level of serum potassium</w:t>
      </w:r>
      <w:r w:rsidR="00947521" w:rsidRPr="0082254E">
        <w:rPr>
          <w:lang w:val="en-GB"/>
        </w:rPr>
        <w:t xml:space="preserve"> (</w:t>
      </w:r>
      <w:r w:rsidR="004556BD">
        <w:rPr>
          <w:lang w:val="en-GB"/>
        </w:rPr>
        <w:t>in which</w:t>
      </w:r>
      <w:r w:rsidR="004556BD" w:rsidRPr="0082254E">
        <w:rPr>
          <w:lang w:val="en-GB"/>
        </w:rPr>
        <w:t xml:space="preserve"> </w:t>
      </w:r>
      <w:r w:rsidR="00947521" w:rsidRPr="0082254E">
        <w:rPr>
          <w:lang w:val="en-GB"/>
        </w:rPr>
        <w:t xml:space="preserve">treatment led </w:t>
      </w:r>
      <w:r w:rsidR="00476A61" w:rsidRPr="0082254E">
        <w:rPr>
          <w:lang w:val="en-GB"/>
        </w:rPr>
        <w:t>to the full</w:t>
      </w:r>
      <w:r w:rsidR="00947521" w:rsidRPr="0082254E">
        <w:rPr>
          <w:lang w:val="en-GB"/>
        </w:rPr>
        <w:t xml:space="preserve"> benefit </w:t>
      </w:r>
      <w:r w:rsidR="004556BD">
        <w:rPr>
          <w:lang w:val="en-GB"/>
        </w:rPr>
        <w:t>seen</w:t>
      </w:r>
      <w:r w:rsidR="004556BD" w:rsidRPr="0082254E">
        <w:rPr>
          <w:lang w:val="en-GB"/>
        </w:rPr>
        <w:t xml:space="preserve"> </w:t>
      </w:r>
      <w:r w:rsidR="00947521" w:rsidRPr="0082254E">
        <w:rPr>
          <w:lang w:val="en-GB"/>
        </w:rPr>
        <w:t>in epidemiological studies)</w:t>
      </w:r>
      <w:r w:rsidR="004B420B" w:rsidRPr="0082254E">
        <w:rPr>
          <w:lang w:val="en-GB"/>
        </w:rPr>
        <w:t xml:space="preserve"> and </w:t>
      </w:r>
      <w:r w:rsidR="00134EA2" w:rsidRPr="0082254E">
        <w:rPr>
          <w:lang w:val="en-GB"/>
        </w:rPr>
        <w:t xml:space="preserve">by </w:t>
      </w:r>
      <w:r w:rsidR="004B420B" w:rsidRPr="0082254E">
        <w:rPr>
          <w:lang w:val="en-GB"/>
        </w:rPr>
        <w:t xml:space="preserve">whether the patient </w:t>
      </w:r>
      <w:r w:rsidR="004556BD">
        <w:rPr>
          <w:lang w:val="en-GB"/>
        </w:rPr>
        <w:t>wa</w:t>
      </w:r>
      <w:r w:rsidR="004B420B" w:rsidRPr="0082254E">
        <w:rPr>
          <w:lang w:val="en-GB"/>
        </w:rPr>
        <w:t>s on a RAAS inhibitor</w:t>
      </w:r>
      <w:r w:rsidR="008A7E16">
        <w:rPr>
          <w:lang w:val="en-GB"/>
        </w:rPr>
        <w:t xml:space="preserve"> (see sections</w:t>
      </w:r>
      <w:r w:rsidR="005D70C6">
        <w:rPr>
          <w:lang w:val="en-GB"/>
        </w:rPr>
        <w:t> </w:t>
      </w:r>
      <w:r w:rsidR="008A7E16">
        <w:rPr>
          <w:lang w:val="en-GB"/>
        </w:rPr>
        <w:fldChar w:fldCharType="begin"/>
      </w:r>
      <w:r w:rsidR="008A7E16">
        <w:rPr>
          <w:lang w:val="en-GB"/>
        </w:rPr>
        <w:instrText xml:space="preserve"> REF _Ref5618035 \r \h </w:instrText>
      </w:r>
      <w:r w:rsidR="008A7E16">
        <w:rPr>
          <w:lang w:val="en-GB"/>
        </w:rPr>
      </w:r>
      <w:r w:rsidR="008A7E16">
        <w:rPr>
          <w:lang w:val="en-GB"/>
        </w:rPr>
        <w:fldChar w:fldCharType="separate"/>
      </w:r>
      <w:r w:rsidR="00DA520D">
        <w:rPr>
          <w:lang w:val="en-GB"/>
        </w:rPr>
        <w:t>3.12</w:t>
      </w:r>
      <w:r w:rsidR="008A7E16">
        <w:rPr>
          <w:lang w:val="en-GB"/>
        </w:rPr>
        <w:fldChar w:fldCharType="end"/>
      </w:r>
      <w:r w:rsidR="008A7E16">
        <w:rPr>
          <w:lang w:val="en-GB"/>
        </w:rPr>
        <w:t xml:space="preserve"> and</w:t>
      </w:r>
      <w:r w:rsidR="005D70C6">
        <w:rPr>
          <w:lang w:val="en-GB"/>
        </w:rPr>
        <w:t> </w:t>
      </w:r>
      <w:r w:rsidR="008A7E16">
        <w:rPr>
          <w:lang w:val="en-GB"/>
        </w:rPr>
        <w:fldChar w:fldCharType="begin"/>
      </w:r>
      <w:r w:rsidR="008A7E16">
        <w:rPr>
          <w:lang w:val="en-GB"/>
        </w:rPr>
        <w:instrText xml:space="preserve"> REF _Ref5618059 \r \h </w:instrText>
      </w:r>
      <w:r w:rsidR="008A7E16">
        <w:rPr>
          <w:lang w:val="en-GB"/>
        </w:rPr>
      </w:r>
      <w:r w:rsidR="008A7E16">
        <w:rPr>
          <w:lang w:val="en-GB"/>
        </w:rPr>
        <w:fldChar w:fldCharType="separate"/>
      </w:r>
      <w:r w:rsidR="00DA520D">
        <w:rPr>
          <w:lang w:val="en-GB"/>
        </w:rPr>
        <w:t>3.13</w:t>
      </w:r>
      <w:r w:rsidR="008A7E16">
        <w:rPr>
          <w:lang w:val="en-GB"/>
        </w:rPr>
        <w:fldChar w:fldCharType="end"/>
      </w:r>
      <w:r w:rsidR="008A7E16">
        <w:rPr>
          <w:lang w:val="en-GB"/>
        </w:rPr>
        <w:t>)</w:t>
      </w:r>
      <w:r w:rsidR="004B420B" w:rsidRPr="0082254E">
        <w:rPr>
          <w:lang w:val="en-GB"/>
        </w:rPr>
        <w:t>.</w:t>
      </w:r>
      <w:r w:rsidR="003D6747" w:rsidRPr="0082254E">
        <w:rPr>
          <w:lang w:val="en-GB"/>
        </w:rPr>
        <w:t xml:space="preserve"> </w:t>
      </w:r>
      <w:r w:rsidR="002B3EEA" w:rsidRPr="0082254E">
        <w:rPr>
          <w:lang w:val="en-GB"/>
        </w:rPr>
        <w:t xml:space="preserve">Therefore, patients in the model with normal levels of serum potassium and </w:t>
      </w:r>
      <w:r w:rsidR="004B420B" w:rsidRPr="0082254E">
        <w:rPr>
          <w:lang w:val="en-GB"/>
        </w:rPr>
        <w:t>on</w:t>
      </w:r>
      <w:r w:rsidR="002B3EEA" w:rsidRPr="0082254E">
        <w:rPr>
          <w:lang w:val="en-GB"/>
        </w:rPr>
        <w:t xml:space="preserve"> RAAS inhibitors on average </w:t>
      </w:r>
      <w:r w:rsidR="00134EA2" w:rsidRPr="0082254E">
        <w:rPr>
          <w:lang w:val="en-GB"/>
        </w:rPr>
        <w:t>live</w:t>
      </w:r>
      <w:r w:rsidR="004556BD">
        <w:rPr>
          <w:lang w:val="en-GB"/>
        </w:rPr>
        <w:t>d</w:t>
      </w:r>
      <w:r w:rsidR="00134EA2" w:rsidRPr="0082254E">
        <w:rPr>
          <w:lang w:val="en-GB"/>
        </w:rPr>
        <w:t xml:space="preserve"> longer</w:t>
      </w:r>
      <w:r w:rsidR="002B3EEA" w:rsidRPr="0082254E">
        <w:rPr>
          <w:lang w:val="en-GB"/>
        </w:rPr>
        <w:t xml:space="preserve"> and </w:t>
      </w:r>
      <w:r w:rsidR="00134EA2" w:rsidRPr="0082254E">
        <w:rPr>
          <w:lang w:val="en-GB"/>
        </w:rPr>
        <w:t>ha</w:t>
      </w:r>
      <w:r w:rsidR="004556BD">
        <w:rPr>
          <w:lang w:val="en-GB"/>
        </w:rPr>
        <w:t>d</w:t>
      </w:r>
      <w:r w:rsidR="00134EA2" w:rsidRPr="0082254E">
        <w:rPr>
          <w:lang w:val="en-GB"/>
        </w:rPr>
        <w:t xml:space="preserve"> a </w:t>
      </w:r>
      <w:r w:rsidR="002B3EEA" w:rsidRPr="0082254E">
        <w:rPr>
          <w:lang w:val="en-GB"/>
        </w:rPr>
        <w:t xml:space="preserve">better quality of life </w:t>
      </w:r>
      <w:r w:rsidR="00134EA2" w:rsidRPr="0082254E">
        <w:rPr>
          <w:lang w:val="en-GB"/>
        </w:rPr>
        <w:t>than patients with higher levels of serum potassium not on RAAS inhibitors</w:t>
      </w:r>
      <w:r w:rsidR="002B3EEA" w:rsidRPr="0082254E">
        <w:rPr>
          <w:lang w:val="en-GB"/>
        </w:rPr>
        <w:t>.</w:t>
      </w:r>
      <w:r w:rsidR="00892F74" w:rsidRPr="0082254E">
        <w:rPr>
          <w:lang w:val="en-GB"/>
        </w:rPr>
        <w:t xml:space="preserve"> The committee noted that the company modelled 2</w:t>
      </w:r>
      <w:r w:rsidR="004556BD">
        <w:rPr>
          <w:lang w:val="en-GB"/>
        </w:rPr>
        <w:t> </w:t>
      </w:r>
      <w:r w:rsidR="00892F74" w:rsidRPr="0082254E">
        <w:rPr>
          <w:lang w:val="en-GB"/>
        </w:rPr>
        <w:t>settings:</w:t>
      </w:r>
      <w:bookmarkEnd w:id="11"/>
    </w:p>
    <w:p w14:paraId="64991AAF" w14:textId="61F443D1" w:rsidR="00892F74" w:rsidRPr="0082254E" w:rsidRDefault="001853DA" w:rsidP="00892F74">
      <w:pPr>
        <w:pStyle w:val="Bulletindent1"/>
        <w:rPr>
          <w:lang w:val="en-GB"/>
        </w:rPr>
      </w:pPr>
      <w:r>
        <w:rPr>
          <w:b/>
          <w:lang w:val="en-GB"/>
        </w:rPr>
        <w:t>Emergency</w:t>
      </w:r>
      <w:r w:rsidRPr="0082254E">
        <w:rPr>
          <w:b/>
          <w:lang w:val="en-GB"/>
        </w:rPr>
        <w:t xml:space="preserve"> </w:t>
      </w:r>
      <w:r w:rsidR="005C2F28" w:rsidRPr="0082254E">
        <w:rPr>
          <w:b/>
          <w:lang w:val="en-GB"/>
        </w:rPr>
        <w:t>care</w:t>
      </w:r>
      <w:r w:rsidR="00892F74" w:rsidRPr="0082254E">
        <w:rPr>
          <w:b/>
          <w:lang w:val="en-GB"/>
        </w:rPr>
        <w:t xml:space="preserve"> setting: </w:t>
      </w:r>
      <w:r w:rsidR="00892F74" w:rsidRPr="0082254E">
        <w:rPr>
          <w:lang w:val="en-GB"/>
        </w:rPr>
        <w:t>patients ha</w:t>
      </w:r>
      <w:r w:rsidR="004556BD">
        <w:rPr>
          <w:lang w:val="en-GB"/>
        </w:rPr>
        <w:t>d</w:t>
      </w:r>
      <w:r w:rsidR="00892F74" w:rsidRPr="0082254E">
        <w:rPr>
          <w:lang w:val="en-GB"/>
        </w:rPr>
        <w:t xml:space="preserve"> sodium zirconium cyclosilicate after insulin</w:t>
      </w:r>
      <w:r w:rsidR="004556BD">
        <w:rPr>
          <w:rFonts w:cs="Arial"/>
          <w:lang w:val="en-GB"/>
        </w:rPr>
        <w:t>−</w:t>
      </w:r>
      <w:r w:rsidR="009E0FA1" w:rsidRPr="0082254E">
        <w:rPr>
          <w:lang w:val="en-GB"/>
        </w:rPr>
        <w:t>glucose</w:t>
      </w:r>
      <w:r w:rsidR="00892F74" w:rsidRPr="0082254E">
        <w:rPr>
          <w:lang w:val="en-GB"/>
        </w:rPr>
        <w:t xml:space="preserve"> for up to 28</w:t>
      </w:r>
      <w:r w:rsidR="004556BD">
        <w:rPr>
          <w:lang w:val="en-GB"/>
        </w:rPr>
        <w:t> </w:t>
      </w:r>
      <w:r w:rsidR="00892F74" w:rsidRPr="0082254E">
        <w:rPr>
          <w:lang w:val="en-GB"/>
        </w:rPr>
        <w:t xml:space="preserve">days. The time horizon </w:t>
      </w:r>
      <w:r w:rsidR="004556BD">
        <w:rPr>
          <w:lang w:val="en-GB"/>
        </w:rPr>
        <w:t>was</w:t>
      </w:r>
      <w:r w:rsidR="00892F74" w:rsidRPr="0082254E">
        <w:rPr>
          <w:lang w:val="en-GB"/>
        </w:rPr>
        <w:t xml:space="preserve"> 52</w:t>
      </w:r>
      <w:r w:rsidR="004556BD">
        <w:rPr>
          <w:lang w:val="en-GB"/>
        </w:rPr>
        <w:t> </w:t>
      </w:r>
      <w:r w:rsidR="00892F74" w:rsidRPr="0082254E">
        <w:rPr>
          <w:lang w:val="en-GB"/>
        </w:rPr>
        <w:t>weeks.</w:t>
      </w:r>
    </w:p>
    <w:p w14:paraId="186D2BA0" w14:textId="698E8721" w:rsidR="00F600BD" w:rsidRPr="0082254E" w:rsidRDefault="00892F74" w:rsidP="00011F62">
      <w:pPr>
        <w:pStyle w:val="Bulletindent1last"/>
      </w:pPr>
      <w:r w:rsidRPr="0082254E">
        <w:rPr>
          <w:b/>
        </w:rPr>
        <w:t>Outpatient setting:</w:t>
      </w:r>
      <w:r w:rsidRPr="0082254E">
        <w:t xml:space="preserve"> patients </w:t>
      </w:r>
      <w:r w:rsidR="004556BD" w:rsidRPr="0082254E">
        <w:t>ha</w:t>
      </w:r>
      <w:r w:rsidR="004556BD">
        <w:t>d</w:t>
      </w:r>
      <w:r w:rsidR="004556BD" w:rsidRPr="0082254E">
        <w:t xml:space="preserve"> </w:t>
      </w:r>
      <w:r w:rsidRPr="0082254E">
        <w:t>sodium zirconium cyclosilicate for 28</w:t>
      </w:r>
      <w:r w:rsidR="004556BD">
        <w:t> </w:t>
      </w:r>
      <w:r w:rsidRPr="0082254E">
        <w:t xml:space="preserve">days if it </w:t>
      </w:r>
      <w:r w:rsidR="004556BD">
        <w:t>was</w:t>
      </w:r>
      <w:r w:rsidR="004556BD" w:rsidRPr="0082254E">
        <w:t xml:space="preserve"> </w:t>
      </w:r>
      <w:r w:rsidRPr="0082254E">
        <w:t>the first episode of hyperkalaemia or 52</w:t>
      </w:r>
      <w:r w:rsidR="004556BD">
        <w:t> </w:t>
      </w:r>
      <w:r w:rsidRPr="0082254E">
        <w:t>weeks otherwise.</w:t>
      </w:r>
      <w:r w:rsidR="001B1180" w:rsidRPr="0082254E">
        <w:t xml:space="preserve"> </w:t>
      </w:r>
      <w:r w:rsidR="00134EA2" w:rsidRPr="0082254E">
        <w:t>The committee understood the company chose 52</w:t>
      </w:r>
      <w:r w:rsidR="004556BD">
        <w:t> </w:t>
      </w:r>
      <w:r w:rsidR="00134EA2" w:rsidRPr="0082254E">
        <w:t>weeks because it had no data beyond 52</w:t>
      </w:r>
      <w:r w:rsidR="004556BD">
        <w:t> </w:t>
      </w:r>
      <w:r w:rsidR="00134EA2" w:rsidRPr="0082254E">
        <w:t xml:space="preserve">weeks. </w:t>
      </w:r>
      <w:r w:rsidRPr="0082254E">
        <w:t>The time horizon is lifetime.</w:t>
      </w:r>
      <w:r w:rsidR="004556BD">
        <w:br/>
      </w:r>
      <w:r w:rsidR="004556BD">
        <w:br/>
      </w:r>
      <w:r w:rsidRPr="0082254E">
        <w:t>The clinical experts noted that they may only offer people sodium zirconium cyclosilicate for a few days in</w:t>
      </w:r>
      <w:r w:rsidR="004B420B" w:rsidRPr="0082254E">
        <w:t xml:space="preserve"> the</w:t>
      </w:r>
      <w:r w:rsidRPr="0082254E">
        <w:t xml:space="preserve"> </w:t>
      </w:r>
      <w:r w:rsidR="001853DA">
        <w:t>emergency care</w:t>
      </w:r>
      <w:r w:rsidR="001853DA" w:rsidRPr="0082254E">
        <w:t xml:space="preserve"> </w:t>
      </w:r>
      <w:r w:rsidRPr="0082254E">
        <w:t>setting, rather than 28</w:t>
      </w:r>
      <w:r w:rsidR="00FA175B">
        <w:t> </w:t>
      </w:r>
      <w:r w:rsidRPr="0082254E">
        <w:t>days. In the outpatient setting</w:t>
      </w:r>
      <w:r w:rsidR="009E0FA1" w:rsidRPr="0082254E">
        <w:t xml:space="preserve">, </w:t>
      </w:r>
      <w:r w:rsidRPr="0082254E">
        <w:t>they would find it difficult to stop treatment at 52</w:t>
      </w:r>
      <w:r w:rsidR="00FA175B">
        <w:t> </w:t>
      </w:r>
      <w:r w:rsidRPr="0082254E">
        <w:t xml:space="preserve">weeks for fear that serum potassium will increase again. </w:t>
      </w:r>
      <w:r w:rsidR="00B5294B">
        <w:br/>
      </w:r>
      <w:r w:rsidR="00B5294B">
        <w:br/>
      </w:r>
      <w:r w:rsidR="00F600BD" w:rsidRPr="00CC7452">
        <w:lastRenderedPageBreak/>
        <w:t>The committee noted that the company’s updated model incorporated some of its preferred assumptions, including</w:t>
      </w:r>
      <w:r w:rsidR="00F600BD" w:rsidRPr="0082254E">
        <w:t>:</w:t>
      </w:r>
    </w:p>
    <w:p w14:paraId="3861AB0F" w14:textId="0A3CDAA1" w:rsidR="00F600BD" w:rsidRPr="0082254E" w:rsidRDefault="0062015E" w:rsidP="00F600BD">
      <w:pPr>
        <w:pStyle w:val="Bulletindent1"/>
        <w:rPr>
          <w:lang w:val="en-GB"/>
        </w:rPr>
      </w:pPr>
      <w:r w:rsidRPr="0082254E">
        <w:rPr>
          <w:lang w:val="en-GB"/>
        </w:rPr>
        <w:t xml:space="preserve">serum potassium treatment thresholds </w:t>
      </w:r>
      <w:r w:rsidR="00CC7452">
        <w:rPr>
          <w:lang w:val="en-GB"/>
        </w:rPr>
        <w:t>that</w:t>
      </w:r>
      <w:r w:rsidR="0009342C">
        <w:rPr>
          <w:lang w:val="en-GB"/>
        </w:rPr>
        <w:t xml:space="preserve"> </w:t>
      </w:r>
      <w:r w:rsidR="001F7AA8">
        <w:rPr>
          <w:lang w:val="en-GB"/>
        </w:rPr>
        <w:t>more closely</w:t>
      </w:r>
      <w:r w:rsidR="00CC7452" w:rsidRPr="0082254E">
        <w:rPr>
          <w:lang w:val="en-GB"/>
        </w:rPr>
        <w:t xml:space="preserve"> </w:t>
      </w:r>
      <w:r w:rsidRPr="0082254E">
        <w:rPr>
          <w:lang w:val="en-GB"/>
        </w:rPr>
        <w:t xml:space="preserve">reflect clinical practice in the NHS </w:t>
      </w:r>
      <w:r w:rsidR="00D57DFE" w:rsidRPr="0082254E">
        <w:rPr>
          <w:lang w:val="en-GB"/>
        </w:rPr>
        <w:t>for chronic kidney disease and heart failure</w:t>
      </w:r>
      <w:r w:rsidR="00381149" w:rsidRPr="0082254E">
        <w:rPr>
          <w:lang w:val="en-GB"/>
        </w:rPr>
        <w:t xml:space="preserve"> (see section</w:t>
      </w:r>
      <w:r w:rsidR="00CC7452">
        <w:rPr>
          <w:lang w:val="en-GB"/>
        </w:rPr>
        <w:t> </w:t>
      </w:r>
      <w:r w:rsidR="00F87E97">
        <w:rPr>
          <w:lang w:val="en-GB"/>
        </w:rPr>
        <w:fldChar w:fldCharType="begin"/>
      </w:r>
      <w:r w:rsidR="00F87E97">
        <w:rPr>
          <w:lang w:val="en-GB"/>
        </w:rPr>
        <w:instrText xml:space="preserve"> REF _Ref5617579 \r \h </w:instrText>
      </w:r>
      <w:r w:rsidR="00F87E97">
        <w:rPr>
          <w:lang w:val="en-GB"/>
        </w:rPr>
      </w:r>
      <w:r w:rsidR="00F87E97">
        <w:rPr>
          <w:lang w:val="en-GB"/>
        </w:rPr>
        <w:fldChar w:fldCharType="separate"/>
      </w:r>
      <w:r w:rsidR="00DA520D">
        <w:rPr>
          <w:lang w:val="en-GB"/>
        </w:rPr>
        <w:t>3.1</w:t>
      </w:r>
      <w:r w:rsidR="00F87E97">
        <w:rPr>
          <w:lang w:val="en-GB"/>
        </w:rPr>
        <w:fldChar w:fldCharType="end"/>
      </w:r>
      <w:r w:rsidR="00381149" w:rsidRPr="0082254E">
        <w:rPr>
          <w:lang w:val="en-GB"/>
        </w:rPr>
        <w:t>)</w:t>
      </w:r>
    </w:p>
    <w:p w14:paraId="3682DE2A" w14:textId="0ACBCFD9" w:rsidR="0062015E" w:rsidRPr="0082254E" w:rsidRDefault="0062015E" w:rsidP="0062015E">
      <w:pPr>
        <w:pStyle w:val="Bulletindent1"/>
        <w:rPr>
          <w:lang w:val="en-GB"/>
        </w:rPr>
      </w:pPr>
      <w:r w:rsidRPr="0082254E">
        <w:rPr>
          <w:lang w:val="en-GB"/>
        </w:rPr>
        <w:t>comparative data for standard of care during the correction phase</w:t>
      </w:r>
      <w:r w:rsidR="00B010F2" w:rsidRPr="0082254E">
        <w:rPr>
          <w:lang w:val="en-GB"/>
        </w:rPr>
        <w:t xml:space="preserve"> (from ZS003</w:t>
      </w:r>
      <w:r w:rsidR="00381149" w:rsidRPr="0082254E">
        <w:rPr>
          <w:lang w:val="en-GB"/>
        </w:rPr>
        <w:t>, see section</w:t>
      </w:r>
      <w:r w:rsidR="00CC7452">
        <w:rPr>
          <w:lang w:val="en-GB"/>
        </w:rPr>
        <w:t> </w:t>
      </w:r>
      <w:r w:rsidR="00F87E97">
        <w:rPr>
          <w:lang w:val="en-GB"/>
        </w:rPr>
        <w:fldChar w:fldCharType="begin"/>
      </w:r>
      <w:r w:rsidR="00F87E97">
        <w:rPr>
          <w:lang w:val="en-GB"/>
        </w:rPr>
        <w:instrText xml:space="preserve"> REF _Ref5617748 \r \h </w:instrText>
      </w:r>
      <w:r w:rsidR="00F87E97">
        <w:rPr>
          <w:lang w:val="en-GB"/>
        </w:rPr>
      </w:r>
      <w:r w:rsidR="00F87E97">
        <w:rPr>
          <w:lang w:val="en-GB"/>
        </w:rPr>
        <w:fldChar w:fldCharType="separate"/>
      </w:r>
      <w:r w:rsidR="00DA520D">
        <w:rPr>
          <w:lang w:val="en-GB"/>
        </w:rPr>
        <w:t>3.8</w:t>
      </w:r>
      <w:r w:rsidR="00F87E97">
        <w:rPr>
          <w:lang w:val="en-GB"/>
        </w:rPr>
        <w:fldChar w:fldCharType="end"/>
      </w:r>
      <w:r w:rsidR="00381149" w:rsidRPr="0082254E">
        <w:rPr>
          <w:lang w:val="en-GB"/>
        </w:rPr>
        <w:t>)</w:t>
      </w:r>
    </w:p>
    <w:p w14:paraId="7BFB68CE" w14:textId="25E0D725" w:rsidR="0062015E" w:rsidRPr="0082254E" w:rsidRDefault="0062015E" w:rsidP="0062015E">
      <w:pPr>
        <w:pStyle w:val="Bulletindent1"/>
        <w:rPr>
          <w:lang w:val="en-GB"/>
        </w:rPr>
      </w:pPr>
      <w:r w:rsidRPr="0082254E">
        <w:rPr>
          <w:lang w:val="en-GB"/>
        </w:rPr>
        <w:t>modelling a reduction in serum potassium level when patients stop or down-titrate RAAS inhibitors</w:t>
      </w:r>
    </w:p>
    <w:p w14:paraId="15A3C446" w14:textId="6DD7FD10" w:rsidR="0062015E" w:rsidRPr="0082254E" w:rsidRDefault="0062015E" w:rsidP="0062015E">
      <w:pPr>
        <w:pStyle w:val="Bulletindent1"/>
        <w:rPr>
          <w:lang w:val="en-GB"/>
        </w:rPr>
      </w:pPr>
      <w:r w:rsidRPr="0082254E">
        <w:rPr>
          <w:lang w:val="en-GB"/>
        </w:rPr>
        <w:t>costs of changing RAAS inhibitor dose incurred in the outpatient setting</w:t>
      </w:r>
    </w:p>
    <w:p w14:paraId="0CCB4F04" w14:textId="0CA6DB96" w:rsidR="00652848" w:rsidRPr="0082254E" w:rsidRDefault="0062015E" w:rsidP="003530E1">
      <w:pPr>
        <w:pStyle w:val="Bulletindent1last"/>
      </w:pPr>
      <w:r w:rsidRPr="0082254E">
        <w:t>all patients</w:t>
      </w:r>
      <w:r w:rsidR="00652848" w:rsidRPr="0082254E">
        <w:t xml:space="preserve"> with a serum potassium level </w:t>
      </w:r>
      <w:r w:rsidR="00CC7452">
        <w:t>above</w:t>
      </w:r>
      <w:r w:rsidR="00652848" w:rsidRPr="0082254E">
        <w:t xml:space="preserve"> 6</w:t>
      </w:r>
      <w:r w:rsidR="004B420B" w:rsidRPr="0082254E">
        <w:t>.0</w:t>
      </w:r>
      <w:r w:rsidR="00A31105">
        <w:t> </w:t>
      </w:r>
      <w:r w:rsidR="00652848" w:rsidRPr="0082254E">
        <w:t>mmol/litre stop RAAS inhibitors for 12</w:t>
      </w:r>
      <w:r w:rsidR="00A31105">
        <w:t> </w:t>
      </w:r>
      <w:r w:rsidR="00652848" w:rsidRPr="0082254E">
        <w:t>weeks.</w:t>
      </w:r>
      <w:r w:rsidR="00B5294B">
        <w:br/>
      </w:r>
      <w:r w:rsidR="00B5294B">
        <w:br/>
      </w:r>
      <w:r w:rsidR="00652848" w:rsidRPr="0082254E">
        <w:t xml:space="preserve">The committee concluded that </w:t>
      </w:r>
      <w:r w:rsidR="0009342C">
        <w:t>a patient-simulation</w:t>
      </w:r>
      <w:r w:rsidR="00652848" w:rsidRPr="0082254E">
        <w:t xml:space="preserve"> model was appropriate for decision making.</w:t>
      </w:r>
    </w:p>
    <w:p w14:paraId="354A8D5E" w14:textId="1454CF1E" w:rsidR="00BD65DB" w:rsidRPr="0082254E" w:rsidRDefault="003648E8" w:rsidP="00BD65DB">
      <w:pPr>
        <w:pStyle w:val="Heading3"/>
      </w:pPr>
      <w:r w:rsidRPr="0082254E">
        <w:t>It is not appropriate to assume that lowering serum potassium</w:t>
      </w:r>
      <w:r w:rsidR="00D10142">
        <w:t xml:space="preserve"> in people </w:t>
      </w:r>
      <w:r w:rsidR="00FC2664">
        <w:t xml:space="preserve">with chronic </w:t>
      </w:r>
      <w:r w:rsidR="00D10142">
        <w:t>hyperkalaemia</w:t>
      </w:r>
      <w:r w:rsidRPr="0082254E">
        <w:t xml:space="preserve"> prolongs life</w:t>
      </w:r>
      <w:r w:rsidR="00D10142">
        <w:t>,</w:t>
      </w:r>
      <w:r w:rsidR="00CC7452" w:rsidRPr="00CC7452">
        <w:t xml:space="preserve"> </w:t>
      </w:r>
      <w:r w:rsidR="00CC7452" w:rsidRPr="0082254E">
        <w:t>based</w:t>
      </w:r>
      <w:r w:rsidR="003530E1">
        <w:t xml:space="preserve"> only</w:t>
      </w:r>
      <w:r w:rsidR="00CC7452" w:rsidRPr="0082254E">
        <w:t xml:space="preserve"> on observational studies</w:t>
      </w:r>
    </w:p>
    <w:p w14:paraId="13615D8F" w14:textId="269B9448" w:rsidR="00BD65DB" w:rsidRPr="0082254E" w:rsidRDefault="00103B0A" w:rsidP="00BD65DB">
      <w:pPr>
        <w:pStyle w:val="Numberedlevel2text"/>
        <w:rPr>
          <w:lang w:val="en-GB"/>
        </w:rPr>
      </w:pPr>
      <w:bookmarkStart w:id="12" w:name="_Ref5619024"/>
      <w:r w:rsidRPr="0082254E">
        <w:rPr>
          <w:lang w:val="en-GB"/>
        </w:rPr>
        <w:t xml:space="preserve">The company modelled an association between serum potassium levels and the risks of mortality, hospitalisation and </w:t>
      </w:r>
      <w:r w:rsidR="00A14253" w:rsidRPr="0082254E">
        <w:rPr>
          <w:lang w:val="en-GB"/>
        </w:rPr>
        <w:t xml:space="preserve">major adverse </w:t>
      </w:r>
      <w:r w:rsidRPr="0082254E">
        <w:rPr>
          <w:lang w:val="en-GB"/>
        </w:rPr>
        <w:t>cardiovascular events</w:t>
      </w:r>
      <w:r w:rsidR="00DD4C79">
        <w:rPr>
          <w:lang w:val="en-GB"/>
        </w:rPr>
        <w:t xml:space="preserve"> using observational studies</w:t>
      </w:r>
      <w:r w:rsidR="00A14253" w:rsidRPr="0082254E">
        <w:rPr>
          <w:lang w:val="en-GB"/>
        </w:rPr>
        <w:t xml:space="preserve">. The committee recalled that </w:t>
      </w:r>
      <w:r w:rsidR="00947521" w:rsidRPr="0082254E">
        <w:rPr>
          <w:lang w:val="en-GB"/>
        </w:rPr>
        <w:t>the</w:t>
      </w:r>
      <w:r w:rsidR="00A14253" w:rsidRPr="0082254E">
        <w:rPr>
          <w:lang w:val="en-GB"/>
        </w:rPr>
        <w:t xml:space="preserve"> </w:t>
      </w:r>
      <w:r w:rsidR="003648E8" w:rsidRPr="0082254E">
        <w:rPr>
          <w:lang w:val="en-GB"/>
        </w:rPr>
        <w:t xml:space="preserve">observational </w:t>
      </w:r>
      <w:r w:rsidR="00A14253" w:rsidRPr="0082254E">
        <w:rPr>
          <w:lang w:val="en-GB"/>
        </w:rPr>
        <w:t>studies</w:t>
      </w:r>
      <w:r w:rsidR="003530E1">
        <w:rPr>
          <w:lang w:val="en-GB"/>
        </w:rPr>
        <w:t xml:space="preserve"> support</w:t>
      </w:r>
      <w:r w:rsidR="005D70C6">
        <w:rPr>
          <w:lang w:val="en-GB"/>
        </w:rPr>
        <w:t>ing</w:t>
      </w:r>
      <w:r w:rsidR="003530E1">
        <w:rPr>
          <w:lang w:val="en-GB"/>
        </w:rPr>
        <w:t xml:space="preserve"> this assumption</w:t>
      </w:r>
      <w:r w:rsidR="00A14253" w:rsidRPr="0082254E">
        <w:rPr>
          <w:lang w:val="en-GB"/>
        </w:rPr>
        <w:t xml:space="preserve"> did not establish a direct causal link</w:t>
      </w:r>
      <w:r w:rsidR="00381149" w:rsidRPr="0082254E">
        <w:rPr>
          <w:lang w:val="en-GB"/>
        </w:rPr>
        <w:t xml:space="preserve"> between lowering serum potassium and improved outcomes</w:t>
      </w:r>
      <w:r w:rsidR="009C2AAA" w:rsidRPr="0082254E">
        <w:rPr>
          <w:lang w:val="en-GB"/>
        </w:rPr>
        <w:t xml:space="preserve"> (or low serum potassium levels and worse outcomes</w:t>
      </w:r>
      <w:r w:rsidR="00A14253" w:rsidRPr="0082254E">
        <w:rPr>
          <w:lang w:val="en-GB"/>
        </w:rPr>
        <w:t>).</w:t>
      </w:r>
      <w:r w:rsidR="00947521" w:rsidRPr="0082254E">
        <w:rPr>
          <w:lang w:val="en-GB"/>
        </w:rPr>
        <w:t xml:space="preserve"> </w:t>
      </w:r>
      <w:r w:rsidR="00DD4C79">
        <w:rPr>
          <w:lang w:val="en-GB"/>
        </w:rPr>
        <w:t>Also, it</w:t>
      </w:r>
      <w:r w:rsidR="00947521" w:rsidRPr="0082254E">
        <w:rPr>
          <w:lang w:val="en-GB"/>
        </w:rPr>
        <w:t xml:space="preserve"> was aware that the </w:t>
      </w:r>
      <w:r w:rsidR="00A07045" w:rsidRPr="0082254E">
        <w:rPr>
          <w:lang w:val="en-GB"/>
        </w:rPr>
        <w:t>underlying causes of hyperkalaemia</w:t>
      </w:r>
      <w:r w:rsidR="00947521" w:rsidRPr="0082254E">
        <w:rPr>
          <w:lang w:val="en-GB"/>
        </w:rPr>
        <w:t xml:space="preserve"> may have led to poor </w:t>
      </w:r>
      <w:r w:rsidR="003648E8" w:rsidRPr="0082254E">
        <w:rPr>
          <w:lang w:val="en-GB"/>
        </w:rPr>
        <w:t>outcomes</w:t>
      </w:r>
      <w:r w:rsidR="00947521" w:rsidRPr="0082254E">
        <w:rPr>
          <w:lang w:val="en-GB"/>
        </w:rPr>
        <w:t xml:space="preserve"> rather than </w:t>
      </w:r>
      <w:r w:rsidR="005D70C6">
        <w:rPr>
          <w:lang w:val="en-GB"/>
        </w:rPr>
        <w:t xml:space="preserve">the </w:t>
      </w:r>
      <w:r w:rsidR="00947521" w:rsidRPr="0082254E">
        <w:rPr>
          <w:lang w:val="en-GB"/>
        </w:rPr>
        <w:t>hyperkalaemia</w:t>
      </w:r>
      <w:r w:rsidR="00A07045" w:rsidRPr="0082254E">
        <w:rPr>
          <w:lang w:val="en-GB"/>
        </w:rPr>
        <w:t xml:space="preserve"> itself</w:t>
      </w:r>
      <w:r w:rsidR="005D70C6">
        <w:rPr>
          <w:lang w:val="en-GB"/>
        </w:rPr>
        <w:t>,</w:t>
      </w:r>
      <w:r w:rsidR="00CC7162">
        <w:rPr>
          <w:lang w:val="en-GB"/>
        </w:rPr>
        <w:t xml:space="preserve"> and</w:t>
      </w:r>
      <w:r w:rsidR="005D70C6">
        <w:rPr>
          <w:lang w:val="en-GB"/>
        </w:rPr>
        <w:t xml:space="preserve"> that</w:t>
      </w:r>
      <w:r w:rsidR="00CC7162">
        <w:rPr>
          <w:lang w:val="en-GB"/>
        </w:rPr>
        <w:t xml:space="preserve"> </w:t>
      </w:r>
      <w:r w:rsidR="007A6061">
        <w:rPr>
          <w:lang w:val="en-GB"/>
        </w:rPr>
        <w:t xml:space="preserve">it was unclear whether results from the observational studies had been appropriately adjusted to account for time-dependent confounders </w:t>
      </w:r>
      <w:r w:rsidR="0084487F">
        <w:rPr>
          <w:lang w:val="en-GB"/>
        </w:rPr>
        <w:t>(</w:t>
      </w:r>
      <w:r w:rsidR="00CC7162">
        <w:rPr>
          <w:lang w:val="en-GB"/>
        </w:rPr>
        <w:t>see section</w:t>
      </w:r>
      <w:r w:rsidR="005D70C6">
        <w:rPr>
          <w:lang w:val="en-GB"/>
        </w:rPr>
        <w:t> </w:t>
      </w:r>
      <w:r w:rsidR="00CC7162">
        <w:rPr>
          <w:lang w:val="en-GB"/>
        </w:rPr>
        <w:fldChar w:fldCharType="begin"/>
      </w:r>
      <w:r w:rsidR="00CC7162">
        <w:rPr>
          <w:lang w:val="en-GB"/>
        </w:rPr>
        <w:instrText xml:space="preserve"> REF _Ref5618035 \r \h </w:instrText>
      </w:r>
      <w:r w:rsidR="00CC7162">
        <w:rPr>
          <w:lang w:val="en-GB"/>
        </w:rPr>
      </w:r>
      <w:r w:rsidR="00CC7162">
        <w:rPr>
          <w:lang w:val="en-GB"/>
        </w:rPr>
        <w:fldChar w:fldCharType="separate"/>
      </w:r>
      <w:r w:rsidR="00DA520D">
        <w:rPr>
          <w:lang w:val="en-GB"/>
        </w:rPr>
        <w:t>3.12</w:t>
      </w:r>
      <w:r w:rsidR="00CC7162">
        <w:rPr>
          <w:lang w:val="en-GB"/>
        </w:rPr>
        <w:fldChar w:fldCharType="end"/>
      </w:r>
      <w:r w:rsidR="00CC7162">
        <w:rPr>
          <w:lang w:val="en-GB"/>
        </w:rPr>
        <w:t>)</w:t>
      </w:r>
      <w:r w:rsidR="00947521" w:rsidRPr="0082254E">
        <w:rPr>
          <w:lang w:val="en-GB"/>
        </w:rPr>
        <w:t xml:space="preserve">. </w:t>
      </w:r>
      <w:r w:rsidR="001943C8" w:rsidRPr="0082254E">
        <w:rPr>
          <w:lang w:val="en-GB"/>
        </w:rPr>
        <w:t xml:space="preserve">The committee </w:t>
      </w:r>
      <w:r w:rsidR="009208F0">
        <w:rPr>
          <w:lang w:val="en-GB"/>
        </w:rPr>
        <w:t>noted that</w:t>
      </w:r>
      <w:r w:rsidR="001943C8" w:rsidRPr="0082254E">
        <w:rPr>
          <w:lang w:val="en-GB"/>
        </w:rPr>
        <w:t xml:space="preserve"> the company chose a single</w:t>
      </w:r>
      <w:r w:rsidR="00CC7162">
        <w:rPr>
          <w:lang w:val="en-GB"/>
        </w:rPr>
        <w:t>, company sponsored,</w:t>
      </w:r>
      <w:r w:rsidR="001943C8" w:rsidRPr="0082254E">
        <w:rPr>
          <w:lang w:val="en-GB"/>
        </w:rPr>
        <w:t xml:space="preserve"> study (Luo et al</w:t>
      </w:r>
      <w:r w:rsidR="009208F0">
        <w:rPr>
          <w:lang w:val="en-GB"/>
        </w:rPr>
        <w:t xml:space="preserve">., </w:t>
      </w:r>
      <w:r w:rsidR="003530E1">
        <w:rPr>
          <w:lang w:val="en-GB"/>
        </w:rPr>
        <w:t>2016</w:t>
      </w:r>
      <w:r w:rsidR="001943C8" w:rsidRPr="0082254E">
        <w:rPr>
          <w:lang w:val="en-GB"/>
        </w:rPr>
        <w:t>) rather than a meta-analysis, and</w:t>
      </w:r>
      <w:r w:rsidR="00A07045" w:rsidRPr="0082254E">
        <w:rPr>
          <w:lang w:val="en-GB"/>
        </w:rPr>
        <w:t xml:space="preserve"> that this was</w:t>
      </w:r>
      <w:r w:rsidR="001943C8" w:rsidRPr="0082254E">
        <w:rPr>
          <w:lang w:val="en-GB"/>
        </w:rPr>
        <w:t xml:space="preserve"> a US study rather than a UK study.</w:t>
      </w:r>
      <w:r w:rsidR="00A07045" w:rsidRPr="0082254E">
        <w:rPr>
          <w:lang w:val="en-GB"/>
        </w:rPr>
        <w:t xml:space="preserve"> </w:t>
      </w:r>
      <w:r w:rsidR="00947521" w:rsidRPr="0082254E">
        <w:rPr>
          <w:lang w:val="en-GB"/>
        </w:rPr>
        <w:t xml:space="preserve">The ERG </w:t>
      </w:r>
      <w:r w:rsidR="00400AB4" w:rsidRPr="0082254E">
        <w:rPr>
          <w:lang w:val="en-GB"/>
        </w:rPr>
        <w:t>assumed no direct effect</w:t>
      </w:r>
      <w:r w:rsidR="00A07045" w:rsidRPr="0082254E">
        <w:rPr>
          <w:lang w:val="en-GB"/>
        </w:rPr>
        <w:t xml:space="preserve"> of potassium level</w:t>
      </w:r>
      <w:r w:rsidR="009208F0">
        <w:rPr>
          <w:lang w:val="en-GB"/>
        </w:rPr>
        <w:t>s</w:t>
      </w:r>
      <w:r w:rsidR="00A07045" w:rsidRPr="0082254E">
        <w:rPr>
          <w:lang w:val="en-GB"/>
        </w:rPr>
        <w:t xml:space="preserve"> on outcomes</w:t>
      </w:r>
      <w:r w:rsidR="00400AB4" w:rsidRPr="0082254E">
        <w:rPr>
          <w:lang w:val="en-GB"/>
        </w:rPr>
        <w:t xml:space="preserve"> </w:t>
      </w:r>
      <w:r w:rsidR="00947521" w:rsidRPr="0082254E">
        <w:rPr>
          <w:lang w:val="en-GB"/>
        </w:rPr>
        <w:t>in a</w:t>
      </w:r>
      <w:r w:rsidR="00021857" w:rsidRPr="0082254E">
        <w:rPr>
          <w:lang w:val="en-GB"/>
        </w:rPr>
        <w:t xml:space="preserve">n exploratory </w:t>
      </w:r>
      <w:r w:rsidR="00021857" w:rsidRPr="0082254E">
        <w:rPr>
          <w:lang w:val="en-GB"/>
        </w:rPr>
        <w:lastRenderedPageBreak/>
        <w:t>analysis</w:t>
      </w:r>
      <w:r w:rsidR="009208F0">
        <w:rPr>
          <w:lang w:val="en-GB"/>
        </w:rPr>
        <w:t>. T</w:t>
      </w:r>
      <w:r w:rsidR="00400AB4" w:rsidRPr="0082254E">
        <w:rPr>
          <w:lang w:val="en-GB"/>
        </w:rPr>
        <w:t>he</w:t>
      </w:r>
      <w:r w:rsidR="001B1180" w:rsidRPr="0082254E">
        <w:rPr>
          <w:lang w:val="en-GB"/>
        </w:rPr>
        <w:t xml:space="preserve"> </w:t>
      </w:r>
      <w:r w:rsidR="00021857" w:rsidRPr="0082254E">
        <w:rPr>
          <w:lang w:val="en-GB"/>
        </w:rPr>
        <w:t>committee</w:t>
      </w:r>
      <w:r w:rsidR="00F31988" w:rsidRPr="0082254E">
        <w:rPr>
          <w:lang w:val="en-GB"/>
        </w:rPr>
        <w:t xml:space="preserve"> agreed</w:t>
      </w:r>
      <w:r w:rsidR="0012772F" w:rsidRPr="0082254E">
        <w:rPr>
          <w:lang w:val="en-GB"/>
        </w:rPr>
        <w:t xml:space="preserve"> </w:t>
      </w:r>
      <w:r w:rsidR="009208F0">
        <w:rPr>
          <w:lang w:val="en-GB"/>
        </w:rPr>
        <w:t xml:space="preserve">that this </w:t>
      </w:r>
      <w:r w:rsidR="00400AB4" w:rsidRPr="0082254E">
        <w:rPr>
          <w:lang w:val="en-GB"/>
        </w:rPr>
        <w:t>could</w:t>
      </w:r>
      <w:r w:rsidR="00947521" w:rsidRPr="0082254E">
        <w:rPr>
          <w:lang w:val="en-GB"/>
        </w:rPr>
        <w:t xml:space="preserve"> be </w:t>
      </w:r>
      <w:r w:rsidR="0012772F" w:rsidRPr="0082254E">
        <w:rPr>
          <w:lang w:val="en-GB"/>
        </w:rPr>
        <w:t>conservative</w:t>
      </w:r>
      <w:r w:rsidR="003648E8" w:rsidRPr="0082254E">
        <w:rPr>
          <w:lang w:val="en-GB"/>
        </w:rPr>
        <w:t xml:space="preserve"> </w:t>
      </w:r>
      <w:r w:rsidR="009C2AAA" w:rsidRPr="0082254E">
        <w:rPr>
          <w:lang w:val="en-GB"/>
        </w:rPr>
        <w:t xml:space="preserve">for some endpoints </w:t>
      </w:r>
      <w:r w:rsidR="003648E8" w:rsidRPr="0082254E">
        <w:rPr>
          <w:lang w:val="en-GB"/>
        </w:rPr>
        <w:t>but</w:t>
      </w:r>
      <w:r w:rsidR="009208F0">
        <w:rPr>
          <w:lang w:val="en-GB"/>
        </w:rPr>
        <w:t xml:space="preserve"> agreed that this</w:t>
      </w:r>
      <w:r w:rsidR="003648E8" w:rsidRPr="0082254E">
        <w:rPr>
          <w:lang w:val="en-GB"/>
        </w:rPr>
        <w:t xml:space="preserve"> was reasonable</w:t>
      </w:r>
      <w:r w:rsidR="009208F0">
        <w:rPr>
          <w:lang w:val="en-GB"/>
        </w:rPr>
        <w:t xml:space="preserve"> without better evidence</w:t>
      </w:r>
      <w:r w:rsidR="003648E8" w:rsidRPr="0082254E">
        <w:rPr>
          <w:lang w:val="en-GB"/>
        </w:rPr>
        <w:t xml:space="preserve">. </w:t>
      </w:r>
      <w:r w:rsidR="009208F0">
        <w:rPr>
          <w:lang w:val="en-GB"/>
        </w:rPr>
        <w:t>It</w:t>
      </w:r>
      <w:r w:rsidR="007C5EC4" w:rsidRPr="0082254E">
        <w:rPr>
          <w:lang w:val="en-GB"/>
        </w:rPr>
        <w:t xml:space="preserve"> noted</w:t>
      </w:r>
      <w:r w:rsidR="0012772F" w:rsidRPr="0082254E">
        <w:rPr>
          <w:lang w:val="en-GB"/>
        </w:rPr>
        <w:t xml:space="preserve"> that the company had done scenario analysis</w:t>
      </w:r>
      <w:r w:rsidR="0074630B" w:rsidRPr="0082254E">
        <w:rPr>
          <w:lang w:val="en-GB"/>
        </w:rPr>
        <w:t xml:space="preserve"> individually</w:t>
      </w:r>
      <w:r w:rsidR="009208F0">
        <w:rPr>
          <w:lang w:val="en-GB"/>
        </w:rPr>
        <w:t>,</w:t>
      </w:r>
      <w:r w:rsidR="0012772F" w:rsidRPr="0082254E">
        <w:rPr>
          <w:lang w:val="en-GB"/>
        </w:rPr>
        <w:t xml:space="preserve"> reducing the </w:t>
      </w:r>
      <w:r w:rsidR="00F600BD" w:rsidRPr="0082254E">
        <w:rPr>
          <w:lang w:val="en-GB"/>
        </w:rPr>
        <w:t xml:space="preserve">increased risk of </w:t>
      </w:r>
      <w:r w:rsidR="007C5EC4" w:rsidRPr="0082254E">
        <w:rPr>
          <w:lang w:val="en-GB"/>
        </w:rPr>
        <w:t>mortality, hospitali</w:t>
      </w:r>
      <w:r w:rsidR="005C2F28" w:rsidRPr="0082254E">
        <w:rPr>
          <w:lang w:val="en-GB"/>
        </w:rPr>
        <w:t>s</w:t>
      </w:r>
      <w:r w:rsidR="007C5EC4" w:rsidRPr="0082254E">
        <w:rPr>
          <w:lang w:val="en-GB"/>
        </w:rPr>
        <w:t xml:space="preserve">ation </w:t>
      </w:r>
      <w:r w:rsidR="0074630B" w:rsidRPr="0082254E">
        <w:rPr>
          <w:lang w:val="en-GB"/>
        </w:rPr>
        <w:t>or</w:t>
      </w:r>
      <w:r w:rsidR="007C5EC4" w:rsidRPr="0082254E">
        <w:rPr>
          <w:lang w:val="en-GB"/>
        </w:rPr>
        <w:t xml:space="preserve"> adverse events</w:t>
      </w:r>
      <w:r w:rsidR="0012772F" w:rsidRPr="0082254E">
        <w:rPr>
          <w:lang w:val="en-GB"/>
        </w:rPr>
        <w:t xml:space="preserve"> </w:t>
      </w:r>
      <w:r w:rsidR="007C5EC4" w:rsidRPr="0082254E">
        <w:rPr>
          <w:lang w:val="en-GB"/>
        </w:rPr>
        <w:t>assumed to be caused by abnormal potassium levels</w:t>
      </w:r>
      <w:r w:rsidR="0012772F" w:rsidRPr="0082254E">
        <w:rPr>
          <w:lang w:val="en-GB"/>
        </w:rPr>
        <w:t xml:space="preserve"> </w:t>
      </w:r>
      <w:r w:rsidR="003648E8" w:rsidRPr="0082254E">
        <w:rPr>
          <w:lang w:val="en-GB"/>
        </w:rPr>
        <w:t>to 80</w:t>
      </w:r>
      <w:r w:rsidR="0012772F" w:rsidRPr="0082254E">
        <w:rPr>
          <w:lang w:val="en-GB"/>
        </w:rPr>
        <w:t>%</w:t>
      </w:r>
      <w:r w:rsidR="00A07045" w:rsidRPr="0082254E">
        <w:rPr>
          <w:lang w:val="en-GB"/>
        </w:rPr>
        <w:t xml:space="preserve"> of</w:t>
      </w:r>
      <w:r w:rsidR="003648E8" w:rsidRPr="0082254E">
        <w:rPr>
          <w:lang w:val="en-GB"/>
        </w:rPr>
        <w:t xml:space="preserve"> the </w:t>
      </w:r>
      <w:r w:rsidR="005D387B">
        <w:rPr>
          <w:lang w:val="en-GB"/>
        </w:rPr>
        <w:t>modelled</w:t>
      </w:r>
      <w:r w:rsidR="005D387B" w:rsidRPr="0082254E">
        <w:rPr>
          <w:lang w:val="en-GB"/>
        </w:rPr>
        <w:t xml:space="preserve"> </w:t>
      </w:r>
      <w:r w:rsidR="003648E8" w:rsidRPr="0082254E">
        <w:rPr>
          <w:lang w:val="en-GB"/>
        </w:rPr>
        <w:t>benefit</w:t>
      </w:r>
      <w:r w:rsidR="00CC7162">
        <w:rPr>
          <w:lang w:val="en-GB"/>
        </w:rPr>
        <w:t xml:space="preserve"> in the company’s base case</w:t>
      </w:r>
      <w:r w:rsidR="009208F0">
        <w:rPr>
          <w:lang w:val="en-GB"/>
        </w:rPr>
        <w:t>. However</w:t>
      </w:r>
      <w:r w:rsidR="00400AB4" w:rsidRPr="0082254E">
        <w:rPr>
          <w:lang w:val="en-GB"/>
        </w:rPr>
        <w:t>,</w:t>
      </w:r>
      <w:r w:rsidR="009208F0">
        <w:rPr>
          <w:lang w:val="en-GB"/>
        </w:rPr>
        <w:t xml:space="preserve"> the committee</w:t>
      </w:r>
      <w:r w:rsidR="00F600BD" w:rsidRPr="0082254E">
        <w:rPr>
          <w:lang w:val="en-GB"/>
        </w:rPr>
        <w:t xml:space="preserve"> would have preferred to have seen</w:t>
      </w:r>
      <w:r w:rsidR="001B1180" w:rsidRPr="0082254E">
        <w:rPr>
          <w:lang w:val="en-GB"/>
        </w:rPr>
        <w:t xml:space="preserve"> </w:t>
      </w:r>
      <w:r w:rsidR="00F600BD" w:rsidRPr="0082254E">
        <w:rPr>
          <w:lang w:val="en-GB"/>
        </w:rPr>
        <w:t xml:space="preserve">a wider range of </w:t>
      </w:r>
      <w:r w:rsidR="00381149" w:rsidRPr="0082254E">
        <w:rPr>
          <w:lang w:val="en-GB"/>
        </w:rPr>
        <w:t>scenarios</w:t>
      </w:r>
      <w:r w:rsidR="00CC7162">
        <w:rPr>
          <w:lang w:val="en-GB"/>
        </w:rPr>
        <w:t>,</w:t>
      </w:r>
      <w:r w:rsidR="005D387B">
        <w:rPr>
          <w:lang w:val="en-GB"/>
        </w:rPr>
        <w:t xml:space="preserve"> including its preferred scenario of no benefit</w:t>
      </w:r>
      <w:r w:rsidR="00CC7162">
        <w:rPr>
          <w:lang w:val="en-GB"/>
        </w:rPr>
        <w:t xml:space="preserve">, </w:t>
      </w:r>
      <w:r w:rsidR="00F600BD" w:rsidRPr="0082254E">
        <w:rPr>
          <w:lang w:val="en-GB"/>
        </w:rPr>
        <w:t xml:space="preserve">to </w:t>
      </w:r>
      <w:r w:rsidR="003648E8" w:rsidRPr="0082254E">
        <w:rPr>
          <w:lang w:val="en-GB"/>
        </w:rPr>
        <w:t>understand</w:t>
      </w:r>
      <w:r w:rsidR="00F600BD" w:rsidRPr="0082254E">
        <w:rPr>
          <w:lang w:val="en-GB"/>
        </w:rPr>
        <w:t xml:space="preserve"> the uncertainty around these parameters. </w:t>
      </w:r>
      <w:r w:rsidR="009208F0">
        <w:rPr>
          <w:lang w:val="en-GB"/>
        </w:rPr>
        <w:t>It</w:t>
      </w:r>
      <w:r w:rsidR="007C5EC4" w:rsidRPr="0082254E">
        <w:rPr>
          <w:lang w:val="en-GB"/>
        </w:rPr>
        <w:t xml:space="preserve"> </w:t>
      </w:r>
      <w:r w:rsidR="00021857" w:rsidRPr="0082254E">
        <w:rPr>
          <w:lang w:val="en-GB"/>
        </w:rPr>
        <w:t>concluded that</w:t>
      </w:r>
      <w:r w:rsidR="001B1180" w:rsidRPr="0082254E">
        <w:rPr>
          <w:lang w:val="en-GB"/>
        </w:rPr>
        <w:t xml:space="preserve"> </w:t>
      </w:r>
      <w:r w:rsidR="00A07045" w:rsidRPr="0082254E">
        <w:rPr>
          <w:lang w:val="en-GB"/>
        </w:rPr>
        <w:t xml:space="preserve">it </w:t>
      </w:r>
      <w:r w:rsidR="003648E8" w:rsidRPr="0082254E">
        <w:rPr>
          <w:lang w:val="en-GB"/>
        </w:rPr>
        <w:t>is not appropriate to assume that lowering serum potassium prolongs life</w:t>
      </w:r>
      <w:r w:rsidR="00D10142">
        <w:rPr>
          <w:lang w:val="en-GB"/>
        </w:rPr>
        <w:t xml:space="preserve"> in people wit</w:t>
      </w:r>
      <w:r w:rsidR="00FC2664">
        <w:rPr>
          <w:lang w:val="en-GB"/>
        </w:rPr>
        <w:t>h chronic</w:t>
      </w:r>
      <w:r w:rsidR="00D10142">
        <w:rPr>
          <w:lang w:val="en-GB"/>
        </w:rPr>
        <w:t xml:space="preserve"> hyperkalaemia,</w:t>
      </w:r>
      <w:r w:rsidR="009208F0" w:rsidRPr="009208F0">
        <w:rPr>
          <w:lang w:val="en-GB"/>
        </w:rPr>
        <w:t xml:space="preserve"> </w:t>
      </w:r>
      <w:r w:rsidR="009208F0" w:rsidRPr="0082254E">
        <w:rPr>
          <w:lang w:val="en-GB"/>
        </w:rPr>
        <w:t>based</w:t>
      </w:r>
      <w:r w:rsidR="003530E1">
        <w:rPr>
          <w:lang w:val="en-GB"/>
        </w:rPr>
        <w:t xml:space="preserve"> only</w:t>
      </w:r>
      <w:r w:rsidR="009208F0" w:rsidRPr="0082254E">
        <w:rPr>
          <w:lang w:val="en-GB"/>
        </w:rPr>
        <w:t xml:space="preserve"> on observational studies</w:t>
      </w:r>
      <w:r w:rsidR="009208F0">
        <w:rPr>
          <w:lang w:val="en-GB"/>
        </w:rPr>
        <w:t>. It would have preferred</w:t>
      </w:r>
      <w:r w:rsidR="003648E8" w:rsidRPr="0082254E">
        <w:rPr>
          <w:lang w:val="en-GB"/>
        </w:rPr>
        <w:t xml:space="preserve"> to </w:t>
      </w:r>
      <w:r w:rsidR="00893CD5">
        <w:rPr>
          <w:lang w:val="en-GB"/>
        </w:rPr>
        <w:t xml:space="preserve">have </w:t>
      </w:r>
      <w:r w:rsidR="003648E8" w:rsidRPr="0082254E">
        <w:rPr>
          <w:lang w:val="en-GB"/>
        </w:rPr>
        <w:t>see</w:t>
      </w:r>
      <w:r w:rsidR="00893CD5">
        <w:rPr>
          <w:lang w:val="en-GB"/>
        </w:rPr>
        <w:t>n</w:t>
      </w:r>
      <w:r w:rsidR="003648E8" w:rsidRPr="0082254E">
        <w:rPr>
          <w:lang w:val="en-GB"/>
        </w:rPr>
        <w:t xml:space="preserve"> how sensitive the estimates of cost effectiveness were to this assumption.</w:t>
      </w:r>
      <w:r w:rsidR="00DC45EA" w:rsidRPr="0082254E">
        <w:rPr>
          <w:lang w:val="en-GB"/>
        </w:rPr>
        <w:t xml:space="preserve"> </w:t>
      </w:r>
      <w:r w:rsidR="009C2AAA" w:rsidRPr="0082254E">
        <w:rPr>
          <w:lang w:val="en-GB"/>
        </w:rPr>
        <w:t>Given the uncertainty, t</w:t>
      </w:r>
      <w:r w:rsidR="004F3ED0" w:rsidRPr="0082254E">
        <w:rPr>
          <w:lang w:val="en-GB"/>
        </w:rPr>
        <w:t xml:space="preserve">he committee concluded </w:t>
      </w:r>
      <w:r w:rsidR="009C2AAA" w:rsidRPr="0082254E">
        <w:rPr>
          <w:lang w:val="en-GB"/>
        </w:rPr>
        <w:t xml:space="preserve">that it would </w:t>
      </w:r>
      <w:r w:rsidR="009208F0">
        <w:rPr>
          <w:lang w:val="en-GB"/>
        </w:rPr>
        <w:t>like</w:t>
      </w:r>
      <w:r w:rsidR="009208F0" w:rsidRPr="0082254E">
        <w:rPr>
          <w:lang w:val="en-GB"/>
        </w:rPr>
        <w:t xml:space="preserve"> </w:t>
      </w:r>
      <w:r w:rsidR="009C2AAA" w:rsidRPr="0082254E">
        <w:rPr>
          <w:lang w:val="en-GB"/>
        </w:rPr>
        <w:t>to</w:t>
      </w:r>
      <w:r w:rsidR="00893CD5">
        <w:rPr>
          <w:lang w:val="en-GB"/>
        </w:rPr>
        <w:t xml:space="preserve"> have</w:t>
      </w:r>
      <w:r w:rsidR="009C2AAA" w:rsidRPr="0082254E">
        <w:rPr>
          <w:lang w:val="en-GB"/>
        </w:rPr>
        <w:t xml:space="preserve"> see</w:t>
      </w:r>
      <w:r w:rsidR="00893CD5">
        <w:rPr>
          <w:lang w:val="en-GB"/>
        </w:rPr>
        <w:t>n</w:t>
      </w:r>
      <w:r w:rsidR="009C2AAA" w:rsidRPr="0082254E">
        <w:rPr>
          <w:lang w:val="en-GB"/>
        </w:rPr>
        <w:t xml:space="preserve"> </w:t>
      </w:r>
      <w:r w:rsidR="00DC45EA" w:rsidRPr="0082254E">
        <w:rPr>
          <w:lang w:val="en-GB"/>
        </w:rPr>
        <w:t>that sodium zirconium cyclosilicate was</w:t>
      </w:r>
      <w:r w:rsidR="009C2AAA" w:rsidRPr="0082254E">
        <w:rPr>
          <w:lang w:val="en-GB"/>
        </w:rPr>
        <w:t xml:space="preserve"> cost effective </w:t>
      </w:r>
      <w:bookmarkEnd w:id="12"/>
      <w:r w:rsidR="005D387B">
        <w:rPr>
          <w:lang w:val="en-GB"/>
        </w:rPr>
        <w:t>in the absence of an association between serum potassium and adverse outcomes, including death.</w:t>
      </w:r>
    </w:p>
    <w:p w14:paraId="3DA18AE9" w14:textId="65873CE6" w:rsidR="00F600BD" w:rsidRPr="0082254E" w:rsidRDefault="00F600BD" w:rsidP="00F600BD">
      <w:pPr>
        <w:pStyle w:val="Heading3"/>
      </w:pPr>
      <w:r w:rsidRPr="0082254E">
        <w:t>The</w:t>
      </w:r>
      <w:r w:rsidR="00AB3411" w:rsidRPr="0082254E">
        <w:t xml:space="preserve"> </w:t>
      </w:r>
      <w:r w:rsidR="0068538D">
        <w:t xml:space="preserve">company’s approach to modelling the </w:t>
      </w:r>
      <w:r w:rsidR="00AB3411" w:rsidRPr="0082254E">
        <w:t>association between RAAS inhibitor use and outcomes</w:t>
      </w:r>
      <w:r w:rsidR="003A463E">
        <w:t xml:space="preserve"> </w:t>
      </w:r>
      <w:r w:rsidR="00FA6DAC">
        <w:t xml:space="preserve">is </w:t>
      </w:r>
      <w:r w:rsidR="0068538D">
        <w:t>appropriate</w:t>
      </w:r>
    </w:p>
    <w:p w14:paraId="7A60D193" w14:textId="4145C00A" w:rsidR="003A463E" w:rsidRDefault="007C5EC4">
      <w:pPr>
        <w:pStyle w:val="Numberedlevel2text"/>
        <w:rPr>
          <w:lang w:val="en-GB"/>
        </w:rPr>
      </w:pPr>
      <w:bookmarkStart w:id="13" w:name="_Ref5618419"/>
      <w:r w:rsidRPr="0082254E">
        <w:rPr>
          <w:lang w:val="en-GB"/>
        </w:rPr>
        <w:t xml:space="preserve">The company modelled an association between </w:t>
      </w:r>
      <w:r w:rsidR="00400AB4" w:rsidRPr="0082254E">
        <w:rPr>
          <w:lang w:val="en-GB"/>
        </w:rPr>
        <w:t xml:space="preserve">use of </w:t>
      </w:r>
      <w:r w:rsidRPr="0082254E">
        <w:rPr>
          <w:lang w:val="en-GB"/>
        </w:rPr>
        <w:t>RAAS inhibitor</w:t>
      </w:r>
      <w:r w:rsidR="00DC45EA" w:rsidRPr="0082254E">
        <w:rPr>
          <w:lang w:val="en-GB"/>
        </w:rPr>
        <w:t>s</w:t>
      </w:r>
      <w:r w:rsidR="001B1180" w:rsidRPr="0082254E">
        <w:rPr>
          <w:lang w:val="en-GB"/>
        </w:rPr>
        <w:t xml:space="preserve"> </w:t>
      </w:r>
      <w:r w:rsidRPr="0082254E">
        <w:rPr>
          <w:lang w:val="en-GB"/>
        </w:rPr>
        <w:t>and the risks of mortality, hospitalisation and major adverse cardiovascular events</w:t>
      </w:r>
      <w:r w:rsidR="00381149" w:rsidRPr="0082254E">
        <w:rPr>
          <w:lang w:val="en-GB"/>
        </w:rPr>
        <w:t xml:space="preserve"> based on</w:t>
      </w:r>
      <w:r w:rsidR="003376AE">
        <w:rPr>
          <w:lang w:val="en-GB"/>
        </w:rPr>
        <w:t xml:space="preserve"> odds ratios from</w:t>
      </w:r>
      <w:r w:rsidR="00381149" w:rsidRPr="0082254E">
        <w:rPr>
          <w:lang w:val="en-GB"/>
        </w:rPr>
        <w:t xml:space="preserve"> </w:t>
      </w:r>
      <w:r w:rsidRPr="0082254E">
        <w:rPr>
          <w:lang w:val="en-GB"/>
        </w:rPr>
        <w:t>a network meta</w:t>
      </w:r>
      <w:r w:rsidR="00F66499" w:rsidRPr="0082254E">
        <w:rPr>
          <w:lang w:val="en-GB"/>
        </w:rPr>
        <w:t>-</w:t>
      </w:r>
      <w:r w:rsidRPr="0082254E">
        <w:rPr>
          <w:lang w:val="en-GB"/>
        </w:rPr>
        <w:t>analysis of clinical trials</w:t>
      </w:r>
      <w:r w:rsidR="00381149" w:rsidRPr="0082254E">
        <w:rPr>
          <w:lang w:val="en-GB"/>
        </w:rPr>
        <w:t xml:space="preserve"> of starting RAAS inhibitors</w:t>
      </w:r>
      <w:r w:rsidR="003A463E">
        <w:rPr>
          <w:lang w:val="en-GB"/>
        </w:rPr>
        <w:t xml:space="preserve"> (Xie et al., 2016)</w:t>
      </w:r>
      <w:r w:rsidRPr="0082254E">
        <w:rPr>
          <w:lang w:val="en-GB"/>
        </w:rPr>
        <w:t xml:space="preserve">. The committee recalled </w:t>
      </w:r>
      <w:r w:rsidR="00D76C1C">
        <w:rPr>
          <w:lang w:val="en-GB"/>
        </w:rPr>
        <w:t xml:space="preserve">and accepted </w:t>
      </w:r>
      <w:r w:rsidRPr="0082254E">
        <w:rPr>
          <w:lang w:val="en-GB"/>
        </w:rPr>
        <w:t xml:space="preserve">evidence from the clinical and patient experts that maintaining RAAS inhibitor therapy is likely to be beneficial </w:t>
      </w:r>
      <w:r w:rsidR="00400AB4" w:rsidRPr="0082254E">
        <w:rPr>
          <w:lang w:val="en-GB"/>
        </w:rPr>
        <w:t xml:space="preserve">for </w:t>
      </w:r>
      <w:r w:rsidRPr="0082254E">
        <w:rPr>
          <w:lang w:val="en-GB"/>
        </w:rPr>
        <w:t>certain patients</w:t>
      </w:r>
      <w:r w:rsidR="003A463E">
        <w:rPr>
          <w:lang w:val="en-GB"/>
        </w:rPr>
        <w:t xml:space="preserve"> </w:t>
      </w:r>
      <w:r w:rsidR="003A463E" w:rsidRPr="0082254E">
        <w:rPr>
          <w:lang w:val="en-GB"/>
        </w:rPr>
        <w:t>(see section</w:t>
      </w:r>
      <w:r w:rsidR="003A463E">
        <w:rPr>
          <w:lang w:val="en-GB"/>
        </w:rPr>
        <w:t> </w:t>
      </w:r>
      <w:r w:rsidR="003A463E">
        <w:rPr>
          <w:lang w:val="en-GB"/>
        </w:rPr>
        <w:fldChar w:fldCharType="begin"/>
      </w:r>
      <w:r w:rsidR="003A463E">
        <w:rPr>
          <w:lang w:val="en-GB"/>
        </w:rPr>
        <w:instrText xml:space="preserve"> REF _Ref5618059 \r \h </w:instrText>
      </w:r>
      <w:r w:rsidR="003A463E">
        <w:rPr>
          <w:lang w:val="en-GB"/>
        </w:rPr>
      </w:r>
      <w:r w:rsidR="003A463E">
        <w:rPr>
          <w:lang w:val="en-GB"/>
        </w:rPr>
        <w:fldChar w:fldCharType="separate"/>
      </w:r>
      <w:r w:rsidR="00DA520D">
        <w:rPr>
          <w:lang w:val="en-GB"/>
        </w:rPr>
        <w:t>3.13</w:t>
      </w:r>
      <w:r w:rsidR="003A463E">
        <w:rPr>
          <w:lang w:val="en-GB"/>
        </w:rPr>
        <w:fldChar w:fldCharType="end"/>
      </w:r>
      <w:r w:rsidR="003A463E" w:rsidRPr="0082254E">
        <w:rPr>
          <w:lang w:val="en-GB"/>
        </w:rPr>
        <w:t>)</w:t>
      </w:r>
      <w:r w:rsidR="00AB3411" w:rsidRPr="0082254E">
        <w:rPr>
          <w:lang w:val="en-GB"/>
        </w:rPr>
        <w:t>. It noted that the company did scenario analyses using alternative data sources and assuming that RAAS</w:t>
      </w:r>
      <w:r w:rsidR="00DC45EA" w:rsidRPr="0082254E">
        <w:rPr>
          <w:lang w:val="en-GB"/>
        </w:rPr>
        <w:t xml:space="preserve"> inhibitor</w:t>
      </w:r>
      <w:r w:rsidR="00AB3411" w:rsidRPr="0082254E">
        <w:rPr>
          <w:lang w:val="en-GB"/>
        </w:rPr>
        <w:t xml:space="preserve"> use had no effect on outcomes. </w:t>
      </w:r>
      <w:r w:rsidR="00B26580" w:rsidRPr="0082254E">
        <w:rPr>
          <w:lang w:val="en-GB"/>
        </w:rPr>
        <w:t xml:space="preserve">The committee concluded that the </w:t>
      </w:r>
      <w:r w:rsidR="0068538D">
        <w:rPr>
          <w:lang w:val="en-GB"/>
        </w:rPr>
        <w:t>company’s approach to modelling the association between RAAS inhibitor use and outcomes was appropriate</w:t>
      </w:r>
      <w:r w:rsidR="00B26580" w:rsidRPr="0082254E">
        <w:rPr>
          <w:lang w:val="en-GB"/>
        </w:rPr>
        <w:t>.</w:t>
      </w:r>
      <w:bookmarkEnd w:id="13"/>
    </w:p>
    <w:p w14:paraId="262AD33C" w14:textId="0E1B9462" w:rsidR="003A463E" w:rsidRDefault="003A463E" w:rsidP="0068538D">
      <w:pPr>
        <w:pStyle w:val="Heading3"/>
      </w:pPr>
      <w:r>
        <w:lastRenderedPageBreak/>
        <w:t>The number of people who stop, down-titrate o</w:t>
      </w:r>
      <w:r w:rsidR="004F1E7A">
        <w:t>r</w:t>
      </w:r>
      <w:r>
        <w:t xml:space="preserve"> restart RAAS inhibitors is a source of uncertainty in the model</w:t>
      </w:r>
    </w:p>
    <w:p w14:paraId="0B4E0ADC" w14:textId="4AF3C9A9" w:rsidR="00C34DBE" w:rsidRPr="0082254E" w:rsidRDefault="00F45A20">
      <w:pPr>
        <w:pStyle w:val="Numberedlevel2text"/>
        <w:rPr>
          <w:lang w:val="en-GB"/>
        </w:rPr>
      </w:pPr>
      <w:r>
        <w:rPr>
          <w:lang w:val="en-GB"/>
        </w:rPr>
        <w:t>T</w:t>
      </w:r>
      <w:r w:rsidR="003A463E" w:rsidRPr="0082254E">
        <w:rPr>
          <w:lang w:val="en-GB"/>
        </w:rPr>
        <w:t xml:space="preserve">he proportion of patients in the model who </w:t>
      </w:r>
      <w:r w:rsidR="003A463E">
        <w:rPr>
          <w:lang w:val="en-GB"/>
        </w:rPr>
        <w:t>stopped</w:t>
      </w:r>
      <w:r w:rsidR="003A463E" w:rsidRPr="0082254E">
        <w:rPr>
          <w:lang w:val="en-GB"/>
        </w:rPr>
        <w:t xml:space="preserve"> or down-titrate</w:t>
      </w:r>
      <w:r w:rsidR="003A463E">
        <w:rPr>
          <w:lang w:val="en-GB"/>
        </w:rPr>
        <w:t>d</w:t>
      </w:r>
      <w:r w:rsidR="003A463E" w:rsidRPr="0082254E">
        <w:rPr>
          <w:lang w:val="en-GB"/>
        </w:rPr>
        <w:t xml:space="preserve"> RAAS inhibitors at specific serum potassium levels</w:t>
      </w:r>
      <w:r w:rsidR="003A463E">
        <w:rPr>
          <w:lang w:val="en-GB"/>
        </w:rPr>
        <w:t>,</w:t>
      </w:r>
      <w:r w:rsidR="003A463E" w:rsidRPr="0082254E">
        <w:rPr>
          <w:lang w:val="en-GB"/>
        </w:rPr>
        <w:t xml:space="preserve"> </w:t>
      </w:r>
      <w:r w:rsidR="003A463E">
        <w:rPr>
          <w:lang w:val="en-GB"/>
        </w:rPr>
        <w:t>or</w:t>
      </w:r>
      <w:r w:rsidR="003A463E" w:rsidRPr="0082254E">
        <w:rPr>
          <w:lang w:val="en-GB"/>
        </w:rPr>
        <w:t xml:space="preserve"> who </w:t>
      </w:r>
      <w:r w:rsidR="003A463E">
        <w:rPr>
          <w:lang w:val="en-GB"/>
        </w:rPr>
        <w:t>restarted</w:t>
      </w:r>
      <w:r w:rsidR="003A463E" w:rsidRPr="0082254E">
        <w:rPr>
          <w:lang w:val="en-GB"/>
        </w:rPr>
        <w:t xml:space="preserve"> RAAS inhibitor therapy</w:t>
      </w:r>
      <w:r w:rsidR="003A463E">
        <w:rPr>
          <w:lang w:val="en-GB"/>
        </w:rPr>
        <w:t>,</w:t>
      </w:r>
      <w:r w:rsidR="003A463E" w:rsidRPr="0082254E">
        <w:rPr>
          <w:lang w:val="en-GB"/>
        </w:rPr>
        <w:t xml:space="preserve"> were </w:t>
      </w:r>
      <w:r w:rsidR="003A463E">
        <w:rPr>
          <w:lang w:val="en-GB"/>
        </w:rPr>
        <w:t xml:space="preserve">mostly </w:t>
      </w:r>
      <w:r w:rsidR="003A463E" w:rsidRPr="0082254E">
        <w:rPr>
          <w:lang w:val="en-GB"/>
        </w:rPr>
        <w:t>based on clinical expert opinion and differed between sodium zirconium cyclosilicate and standard care. The committee questioned why the company had not provided more robust data for UK practice</w:t>
      </w:r>
      <w:r w:rsidR="005426A3">
        <w:rPr>
          <w:lang w:val="en-GB"/>
        </w:rPr>
        <w:t>,</w:t>
      </w:r>
      <w:r>
        <w:rPr>
          <w:lang w:val="en-GB"/>
        </w:rPr>
        <w:t xml:space="preserve"> and was concerned about </w:t>
      </w:r>
      <w:r w:rsidR="005426A3">
        <w:rPr>
          <w:lang w:val="en-GB"/>
        </w:rPr>
        <w:t xml:space="preserve">the </w:t>
      </w:r>
      <w:r>
        <w:rPr>
          <w:lang w:val="en-GB"/>
        </w:rPr>
        <w:t>potential conflicts of interest</w:t>
      </w:r>
      <w:r w:rsidR="004F1E7A">
        <w:rPr>
          <w:lang w:val="en-GB"/>
        </w:rPr>
        <w:t>s</w:t>
      </w:r>
      <w:r w:rsidR="0068538D">
        <w:rPr>
          <w:lang w:val="en-GB"/>
        </w:rPr>
        <w:t xml:space="preserve"> of the experts consulted by the company</w:t>
      </w:r>
      <w:r w:rsidR="003A463E" w:rsidRPr="0082254E">
        <w:rPr>
          <w:lang w:val="en-GB"/>
        </w:rPr>
        <w:t xml:space="preserve">. It also recalled </w:t>
      </w:r>
      <w:r w:rsidR="003A463E">
        <w:rPr>
          <w:lang w:val="en-GB"/>
        </w:rPr>
        <w:t xml:space="preserve">that </w:t>
      </w:r>
      <w:r w:rsidR="003A463E" w:rsidRPr="0082254E">
        <w:rPr>
          <w:lang w:val="en-GB"/>
        </w:rPr>
        <w:t xml:space="preserve">it had not seen evidence that the use of RAAS inhibitors would differ depending on whether patients </w:t>
      </w:r>
      <w:r w:rsidR="003A463E">
        <w:rPr>
          <w:lang w:val="en-GB"/>
        </w:rPr>
        <w:t>had</w:t>
      </w:r>
      <w:r w:rsidR="003A463E" w:rsidRPr="0082254E">
        <w:rPr>
          <w:lang w:val="en-GB"/>
        </w:rPr>
        <w:t xml:space="preserve"> sodium zirconium cyclosilicate or standard of care (see section</w:t>
      </w:r>
      <w:r w:rsidR="003A463E">
        <w:rPr>
          <w:lang w:val="en-GB"/>
        </w:rPr>
        <w:t> </w:t>
      </w:r>
      <w:r w:rsidR="003A463E">
        <w:rPr>
          <w:lang w:val="en-GB"/>
        </w:rPr>
        <w:fldChar w:fldCharType="begin"/>
      </w:r>
      <w:r w:rsidR="003A463E">
        <w:rPr>
          <w:lang w:val="en-GB"/>
        </w:rPr>
        <w:instrText xml:space="preserve"> REF _Ref5618059 \r \h </w:instrText>
      </w:r>
      <w:r w:rsidR="003A463E">
        <w:rPr>
          <w:lang w:val="en-GB"/>
        </w:rPr>
      </w:r>
      <w:r w:rsidR="003A463E">
        <w:rPr>
          <w:lang w:val="en-GB"/>
        </w:rPr>
        <w:fldChar w:fldCharType="separate"/>
      </w:r>
      <w:r w:rsidR="00DA520D">
        <w:rPr>
          <w:lang w:val="en-GB"/>
        </w:rPr>
        <w:t>3.13</w:t>
      </w:r>
      <w:r w:rsidR="003A463E">
        <w:rPr>
          <w:lang w:val="en-GB"/>
        </w:rPr>
        <w:fldChar w:fldCharType="end"/>
      </w:r>
      <w:r w:rsidR="003A463E" w:rsidRPr="0082254E">
        <w:rPr>
          <w:lang w:val="en-GB"/>
        </w:rPr>
        <w:t xml:space="preserve">). It therefore preferred the ERG’s assumption that rates of </w:t>
      </w:r>
      <w:r w:rsidR="003A463E">
        <w:rPr>
          <w:lang w:val="en-GB"/>
        </w:rPr>
        <w:t xml:space="preserve">stopping, down-titrating </w:t>
      </w:r>
      <w:r w:rsidR="004F1E7A">
        <w:rPr>
          <w:lang w:val="en-GB"/>
        </w:rPr>
        <w:t xml:space="preserve">or </w:t>
      </w:r>
      <w:r w:rsidR="003A463E">
        <w:rPr>
          <w:lang w:val="en-GB"/>
        </w:rPr>
        <w:t xml:space="preserve">restarting </w:t>
      </w:r>
      <w:r w:rsidR="003A463E" w:rsidRPr="0082254E">
        <w:rPr>
          <w:lang w:val="en-GB"/>
        </w:rPr>
        <w:t>RAAS inhibitor</w:t>
      </w:r>
      <w:r w:rsidR="003A463E">
        <w:rPr>
          <w:lang w:val="en-GB"/>
        </w:rPr>
        <w:t>s</w:t>
      </w:r>
      <w:r w:rsidR="003A463E" w:rsidRPr="0082254E">
        <w:rPr>
          <w:lang w:val="en-GB"/>
        </w:rPr>
        <w:t xml:space="preserve"> were the same for all patients. It would </w:t>
      </w:r>
      <w:r w:rsidR="003A463E">
        <w:rPr>
          <w:lang w:val="en-GB"/>
        </w:rPr>
        <w:t xml:space="preserve">also </w:t>
      </w:r>
      <w:r w:rsidR="003A463E" w:rsidRPr="0082254E">
        <w:rPr>
          <w:lang w:val="en-GB"/>
        </w:rPr>
        <w:t xml:space="preserve">have preferred to have seen evidence for the proportion of patients who </w:t>
      </w:r>
      <w:r w:rsidR="003A463E">
        <w:rPr>
          <w:lang w:val="en-GB"/>
        </w:rPr>
        <w:t>stop</w:t>
      </w:r>
      <w:r w:rsidR="003A463E" w:rsidRPr="0082254E">
        <w:rPr>
          <w:lang w:val="en-GB"/>
        </w:rPr>
        <w:t xml:space="preserve"> or down-titrate RAAS inhibitors based on UK studies instead of expert opinion.</w:t>
      </w:r>
    </w:p>
    <w:p w14:paraId="33E611E0" w14:textId="372F99DF" w:rsidR="00C34DBE" w:rsidRPr="0082254E" w:rsidRDefault="00C34DBE" w:rsidP="00C34DBE">
      <w:pPr>
        <w:pStyle w:val="Heading3"/>
      </w:pPr>
      <w:r w:rsidRPr="0082254E">
        <w:t xml:space="preserve">The costs of sodium zirconium cyclosilicate would be higher in the NHS in the </w:t>
      </w:r>
      <w:r w:rsidR="00426079">
        <w:t>outpatient</w:t>
      </w:r>
      <w:r w:rsidR="00426079" w:rsidRPr="0082254E">
        <w:t xml:space="preserve"> </w:t>
      </w:r>
      <w:r w:rsidRPr="0082254E">
        <w:t xml:space="preserve">setting than </w:t>
      </w:r>
      <w:r w:rsidR="00BD5790">
        <w:t xml:space="preserve">is </w:t>
      </w:r>
      <w:r w:rsidRPr="0082254E">
        <w:t>assumed by the company</w:t>
      </w:r>
    </w:p>
    <w:p w14:paraId="37FDD9B7" w14:textId="6D508666" w:rsidR="009E671B" w:rsidRPr="0082254E" w:rsidRDefault="00C34DBE">
      <w:pPr>
        <w:pStyle w:val="Numberedlevel2text"/>
      </w:pPr>
      <w:r w:rsidRPr="0082254E">
        <w:t>The committee recalled that the company assumed that</w:t>
      </w:r>
      <w:r w:rsidR="00D10142">
        <w:t xml:space="preserve"> in the outpatient setting,</w:t>
      </w:r>
      <w:r w:rsidRPr="0082254E">
        <w:t xml:space="preserve"> patients would </w:t>
      </w:r>
      <w:r w:rsidR="0036294D">
        <w:t>have treatment</w:t>
      </w:r>
      <w:r w:rsidRPr="0082254E">
        <w:t xml:space="preserve"> for up to </w:t>
      </w:r>
      <w:r w:rsidR="0036294D">
        <w:t>1 </w:t>
      </w:r>
      <w:r w:rsidRPr="0082254E">
        <w:t>year, and then sodium zirconium cyclosilicate would be stopped (see section</w:t>
      </w:r>
      <w:r w:rsidR="0036294D">
        <w:t> </w:t>
      </w:r>
      <w:r w:rsidR="00776856">
        <w:fldChar w:fldCharType="begin"/>
      </w:r>
      <w:r w:rsidR="00776856">
        <w:instrText xml:space="preserve"> REF _Ref5618390 \r \h </w:instrText>
      </w:r>
      <w:r w:rsidR="00776856">
        <w:fldChar w:fldCharType="separate"/>
      </w:r>
      <w:r w:rsidR="00DA520D">
        <w:t>3.15</w:t>
      </w:r>
      <w:r w:rsidR="00776856">
        <w:fldChar w:fldCharType="end"/>
      </w:r>
      <w:r w:rsidRPr="0082254E">
        <w:t xml:space="preserve">). It noted that this did not align with the expected use in clinical practice, where treatment would continue indefinitely </w:t>
      </w:r>
      <w:r w:rsidR="00536428" w:rsidRPr="0082254E">
        <w:t>if</w:t>
      </w:r>
      <w:r w:rsidRPr="0082254E">
        <w:t xml:space="preserve"> there was clinical benefit. </w:t>
      </w:r>
      <w:r w:rsidR="00536428" w:rsidRPr="0082254E">
        <w:t xml:space="preserve">It would have preferred to have seen a scenario analysis </w:t>
      </w:r>
      <w:r w:rsidR="009F4FCD">
        <w:t>in which</w:t>
      </w:r>
      <w:r w:rsidR="009F4FCD" w:rsidRPr="0082254E">
        <w:t xml:space="preserve"> </w:t>
      </w:r>
      <w:r w:rsidR="00536428" w:rsidRPr="0082254E">
        <w:t>the costs and benefits of sodium zirconium cyclosilicate were modelled beyond 52</w:t>
      </w:r>
      <w:r w:rsidR="009F4FCD">
        <w:t> </w:t>
      </w:r>
      <w:r w:rsidR="00536428" w:rsidRPr="0082254E">
        <w:t>weeks.</w:t>
      </w:r>
      <w:r w:rsidR="00E60895">
        <w:rPr>
          <w:lang w:val="en-GB"/>
        </w:rPr>
        <w:t xml:space="preserve"> </w:t>
      </w:r>
      <w:r w:rsidR="00E60895" w:rsidRPr="0082254E">
        <w:t>The committee concluded that the company’s model underestimated the treatment costs</w:t>
      </w:r>
      <w:r w:rsidR="00E60895">
        <w:rPr>
          <w:lang w:val="en-GB"/>
        </w:rPr>
        <w:t xml:space="preserve"> in the outpatient setting</w:t>
      </w:r>
      <w:r w:rsidR="00E60895" w:rsidRPr="0082254E">
        <w:t>.</w:t>
      </w:r>
      <w:r w:rsidR="00536428" w:rsidRPr="0082254E">
        <w:t xml:space="preserve"> </w:t>
      </w:r>
      <w:r w:rsidR="0068538D">
        <w:rPr>
          <w:lang w:val="en-US"/>
        </w:rPr>
        <w:t xml:space="preserve">The </w:t>
      </w:r>
      <w:r w:rsidR="0068538D" w:rsidRPr="0068538D">
        <w:t xml:space="preserve">analyses considered by the committee used the list price for </w:t>
      </w:r>
      <w:r w:rsidR="0068538D">
        <w:rPr>
          <w:lang w:val="en-US"/>
        </w:rPr>
        <w:t>sodium zirconium cyclosilicate</w:t>
      </w:r>
      <w:r w:rsidR="0068538D" w:rsidRPr="0068538D">
        <w:t xml:space="preserve">. However, the committee noted that, because </w:t>
      </w:r>
      <w:r w:rsidR="0068538D">
        <w:rPr>
          <w:lang w:val="en-US"/>
        </w:rPr>
        <w:t>the drug</w:t>
      </w:r>
      <w:r w:rsidR="0068538D" w:rsidRPr="0068538D">
        <w:t xml:space="preserve"> would only be </w:t>
      </w:r>
      <w:r w:rsidR="0068538D">
        <w:rPr>
          <w:lang w:val="en-US"/>
        </w:rPr>
        <w:t>prescribed in secondary care</w:t>
      </w:r>
      <w:r w:rsidR="0068538D" w:rsidRPr="0068538D">
        <w:t>, then it would be eligible for a patient access scheme discount.</w:t>
      </w:r>
    </w:p>
    <w:p w14:paraId="52C74238" w14:textId="6259580D" w:rsidR="00131F1D" w:rsidRPr="0082254E" w:rsidRDefault="00B010F2" w:rsidP="00131F1D">
      <w:pPr>
        <w:pStyle w:val="Heading3"/>
      </w:pPr>
      <w:r w:rsidRPr="0082254E">
        <w:lastRenderedPageBreak/>
        <w:t xml:space="preserve">The </w:t>
      </w:r>
      <w:r w:rsidR="001A4757" w:rsidRPr="0082254E">
        <w:t>ERG’s</w:t>
      </w:r>
      <w:r w:rsidR="00E4214E" w:rsidRPr="0082254E">
        <w:t xml:space="preserve"> exploratory</w:t>
      </w:r>
      <w:r w:rsidR="001A4757" w:rsidRPr="0082254E">
        <w:t xml:space="preserve"> base case </w:t>
      </w:r>
      <w:r w:rsidR="00071B4D">
        <w:t>i</w:t>
      </w:r>
      <w:r w:rsidR="001A4757" w:rsidRPr="0082254E">
        <w:t>s more closely aligned to committee’s preferred assumptions</w:t>
      </w:r>
    </w:p>
    <w:p w14:paraId="79DF8F3E" w14:textId="7684A8F4" w:rsidR="00B010F2" w:rsidRPr="0082254E" w:rsidRDefault="00B010F2" w:rsidP="00B010F2">
      <w:pPr>
        <w:pStyle w:val="Numberedlevel2text"/>
        <w:rPr>
          <w:lang w:val="en-GB"/>
        </w:rPr>
      </w:pPr>
      <w:bookmarkStart w:id="14" w:name="_Ref5618582"/>
      <w:r w:rsidRPr="0082254E">
        <w:rPr>
          <w:lang w:val="en-GB"/>
        </w:rPr>
        <w:t xml:space="preserve">The committee noted that the ERG’s </w:t>
      </w:r>
      <w:r w:rsidR="00E4214E" w:rsidRPr="0082254E">
        <w:rPr>
          <w:lang w:val="en-GB"/>
        </w:rPr>
        <w:t xml:space="preserve">exploratory </w:t>
      </w:r>
      <w:r w:rsidRPr="0082254E">
        <w:rPr>
          <w:lang w:val="en-GB"/>
        </w:rPr>
        <w:t>base case was more closely aligned to its preferred assumptions</w:t>
      </w:r>
      <w:r w:rsidR="00071B4D">
        <w:rPr>
          <w:lang w:val="en-GB"/>
        </w:rPr>
        <w:t>,</w:t>
      </w:r>
      <w:r w:rsidRPr="0082254E">
        <w:rPr>
          <w:lang w:val="en-GB"/>
        </w:rPr>
        <w:t xml:space="preserve"> including:</w:t>
      </w:r>
      <w:bookmarkEnd w:id="14"/>
    </w:p>
    <w:p w14:paraId="3EC407CC" w14:textId="1893E36F" w:rsidR="00B010F2" w:rsidRPr="0082254E" w:rsidRDefault="00B010F2" w:rsidP="00B010F2">
      <w:pPr>
        <w:pStyle w:val="Bulletindent1"/>
        <w:rPr>
          <w:lang w:val="en-GB"/>
        </w:rPr>
      </w:pPr>
      <w:r w:rsidRPr="0082254E">
        <w:rPr>
          <w:lang w:val="en-GB"/>
        </w:rPr>
        <w:t>assuming the rate of decline in serum potassium from ZS003 used for standard of care in the model continues over 3</w:t>
      </w:r>
      <w:r w:rsidR="00071B4D">
        <w:rPr>
          <w:lang w:val="en-GB"/>
        </w:rPr>
        <w:t> </w:t>
      </w:r>
      <w:r w:rsidRPr="0082254E">
        <w:rPr>
          <w:lang w:val="en-GB"/>
        </w:rPr>
        <w:t>days, matching the number of days of decline in the sodium zirconium cyclosilicate arm</w:t>
      </w:r>
    </w:p>
    <w:p w14:paraId="1D42D11F" w14:textId="66CDC291" w:rsidR="00B010F2" w:rsidRPr="0082254E" w:rsidRDefault="00B010F2" w:rsidP="00B010F2">
      <w:pPr>
        <w:pStyle w:val="Bulletindent1"/>
        <w:rPr>
          <w:lang w:val="en-GB"/>
        </w:rPr>
      </w:pPr>
      <w:r w:rsidRPr="0082254E">
        <w:rPr>
          <w:lang w:val="en-GB"/>
        </w:rPr>
        <w:t xml:space="preserve">setting RAAS inhibitor </w:t>
      </w:r>
      <w:r w:rsidR="007A6459">
        <w:rPr>
          <w:lang w:val="en-GB"/>
        </w:rPr>
        <w:t>stopping</w:t>
      </w:r>
      <w:r w:rsidR="007A6459" w:rsidRPr="0082254E">
        <w:rPr>
          <w:lang w:val="en-GB"/>
        </w:rPr>
        <w:t xml:space="preserve"> </w:t>
      </w:r>
      <w:r w:rsidRPr="0082254E">
        <w:rPr>
          <w:lang w:val="en-GB"/>
        </w:rPr>
        <w:t xml:space="preserve">and down-titration rates for standard of care equal to sodium zirconium cyclosilicate </w:t>
      </w:r>
      <w:r w:rsidR="00071B4D">
        <w:rPr>
          <w:lang w:val="en-GB"/>
        </w:rPr>
        <w:t>because</w:t>
      </w:r>
      <w:r w:rsidR="00071B4D" w:rsidRPr="0082254E">
        <w:rPr>
          <w:lang w:val="en-GB"/>
        </w:rPr>
        <w:t xml:space="preserve"> </w:t>
      </w:r>
      <w:r w:rsidRPr="0082254E">
        <w:rPr>
          <w:lang w:val="en-GB"/>
        </w:rPr>
        <w:t>there is no evidence that these would be different between treatments</w:t>
      </w:r>
      <w:r w:rsidR="004E0BBE" w:rsidRPr="0082254E">
        <w:rPr>
          <w:lang w:val="en-GB"/>
        </w:rPr>
        <w:t xml:space="preserve"> (see section</w:t>
      </w:r>
      <w:r w:rsidR="00071B4D">
        <w:rPr>
          <w:lang w:val="en-GB"/>
        </w:rPr>
        <w:t> </w:t>
      </w:r>
      <w:r w:rsidR="00776856">
        <w:rPr>
          <w:lang w:val="en-GB"/>
        </w:rPr>
        <w:fldChar w:fldCharType="begin"/>
      </w:r>
      <w:r w:rsidR="00776856">
        <w:rPr>
          <w:lang w:val="en-GB"/>
        </w:rPr>
        <w:instrText xml:space="preserve"> REF _Ref5618419 \r \h </w:instrText>
      </w:r>
      <w:r w:rsidR="00776856">
        <w:rPr>
          <w:lang w:val="en-GB"/>
        </w:rPr>
      </w:r>
      <w:r w:rsidR="00776856">
        <w:rPr>
          <w:lang w:val="en-GB"/>
        </w:rPr>
        <w:fldChar w:fldCharType="separate"/>
      </w:r>
      <w:r w:rsidR="00DA520D">
        <w:rPr>
          <w:lang w:val="en-GB"/>
        </w:rPr>
        <w:t>3.17</w:t>
      </w:r>
      <w:r w:rsidR="00776856">
        <w:rPr>
          <w:lang w:val="en-GB"/>
        </w:rPr>
        <w:fldChar w:fldCharType="end"/>
      </w:r>
      <w:r w:rsidR="004E0BBE" w:rsidRPr="0082254E">
        <w:rPr>
          <w:lang w:val="en-GB"/>
        </w:rPr>
        <w:t>)</w:t>
      </w:r>
    </w:p>
    <w:p w14:paraId="146FBD32" w14:textId="09907A25" w:rsidR="001A4757" w:rsidRPr="0082254E" w:rsidRDefault="001A4757" w:rsidP="006C0146">
      <w:pPr>
        <w:pStyle w:val="Bulletindent1last"/>
      </w:pPr>
      <w:r w:rsidRPr="0082254E">
        <w:t xml:space="preserve">using the utility values </w:t>
      </w:r>
      <w:r w:rsidR="007077D3" w:rsidRPr="0082254E">
        <w:t xml:space="preserve">derived by the ERG </w:t>
      </w:r>
      <w:r w:rsidRPr="0082254E">
        <w:t>for chronic kidney disease</w:t>
      </w:r>
      <w:r w:rsidR="00071B4D">
        <w:t>.</w:t>
      </w:r>
      <w:r w:rsidR="00071B4D">
        <w:br/>
      </w:r>
      <w:r w:rsidR="00071B4D">
        <w:br/>
      </w:r>
      <w:r w:rsidRPr="0082254E">
        <w:t xml:space="preserve">However, </w:t>
      </w:r>
      <w:r w:rsidR="00E4214E" w:rsidRPr="0082254E">
        <w:t xml:space="preserve">as part of the ERG’s exploratory base case, </w:t>
      </w:r>
      <w:r w:rsidRPr="0082254E">
        <w:t xml:space="preserve">the </w:t>
      </w:r>
      <w:r w:rsidR="004B420B" w:rsidRPr="0082254E">
        <w:t xml:space="preserve">reduced </w:t>
      </w:r>
      <w:r w:rsidRPr="0082254E">
        <w:t xml:space="preserve">risk of adverse events and death </w:t>
      </w:r>
      <w:r w:rsidR="00E4214E" w:rsidRPr="0082254E">
        <w:t xml:space="preserve">associated with RAAS inhibitors was compared </w:t>
      </w:r>
      <w:r w:rsidRPr="0082254E">
        <w:t>to an active control</w:t>
      </w:r>
      <w:r w:rsidR="00E4214E" w:rsidRPr="0082254E">
        <w:t xml:space="preserve"> rather than placebo. The committee agreed that this was not plausible</w:t>
      </w:r>
      <w:r w:rsidRPr="0082254E">
        <w:t xml:space="preserve"> because </w:t>
      </w:r>
      <w:r w:rsidR="006154FD" w:rsidRPr="0082254E">
        <w:t xml:space="preserve">some </w:t>
      </w:r>
      <w:r w:rsidR="00E4214E" w:rsidRPr="0082254E">
        <w:t>people</w:t>
      </w:r>
      <w:r w:rsidR="00071B4D">
        <w:t>,</w:t>
      </w:r>
      <w:r w:rsidR="006154FD" w:rsidRPr="0082254E">
        <w:t xml:space="preserve"> notably those with hypertension</w:t>
      </w:r>
      <w:r w:rsidR="00071B4D">
        <w:t>,</w:t>
      </w:r>
      <w:r w:rsidR="006154FD" w:rsidRPr="0082254E">
        <w:t xml:space="preserve"> </w:t>
      </w:r>
      <w:r w:rsidR="00E4214E" w:rsidRPr="0082254E">
        <w:t>a</w:t>
      </w:r>
      <w:r w:rsidRPr="0082254E">
        <w:t xml:space="preserve">re unlikely to switch to another active treatment </w:t>
      </w:r>
      <w:r w:rsidR="00E4214E" w:rsidRPr="0082254E">
        <w:t>after</w:t>
      </w:r>
      <w:r w:rsidRPr="0082254E">
        <w:t xml:space="preserve"> stopping RAAS inhibitors. </w:t>
      </w:r>
      <w:r w:rsidR="00071B4D">
        <w:t>It</w:t>
      </w:r>
      <w:r w:rsidR="00CF7529" w:rsidRPr="0082254E">
        <w:t xml:space="preserve"> also did not accept the modelled life extension using observational data associating serum potassium levels and mortality. </w:t>
      </w:r>
      <w:r w:rsidR="00957586">
        <w:t xml:space="preserve">However, overall, </w:t>
      </w:r>
      <w:r w:rsidR="00C242EC">
        <w:t>the committee</w:t>
      </w:r>
      <w:r w:rsidR="00C242EC" w:rsidRPr="0082254E">
        <w:t xml:space="preserve"> </w:t>
      </w:r>
      <w:r w:rsidRPr="0082254E">
        <w:t>concluded that the ERG’s base case was</w:t>
      </w:r>
      <w:r w:rsidR="002F63A7" w:rsidRPr="0082254E">
        <w:t xml:space="preserve"> </w:t>
      </w:r>
      <w:r w:rsidRPr="0082254E">
        <w:t>more closely aligned to its preferred assumptions.</w:t>
      </w:r>
    </w:p>
    <w:p w14:paraId="45C30F2C" w14:textId="0358E65C" w:rsidR="00C4617C" w:rsidRPr="0082254E" w:rsidRDefault="00C4617C" w:rsidP="00C4617C">
      <w:pPr>
        <w:pStyle w:val="Heading2"/>
      </w:pPr>
      <w:r w:rsidRPr="0082254E">
        <w:t xml:space="preserve">Cost-effectiveness </w:t>
      </w:r>
      <w:r w:rsidR="00BD65DB" w:rsidRPr="0082254E">
        <w:t>estimates</w:t>
      </w:r>
    </w:p>
    <w:p w14:paraId="438076CD" w14:textId="3D33B31A" w:rsidR="00B010F2" w:rsidRPr="0082254E" w:rsidRDefault="00B010F2" w:rsidP="00E1195B">
      <w:pPr>
        <w:pStyle w:val="Heading3"/>
      </w:pPr>
      <w:r w:rsidRPr="0082254E">
        <w:t xml:space="preserve">Sodium zirconium cyclosilicate is recommended as an option </w:t>
      </w:r>
      <w:r w:rsidR="006965FC" w:rsidRPr="0082254E">
        <w:t xml:space="preserve">for people who </w:t>
      </w:r>
      <w:r w:rsidR="007A6459">
        <w:t>need</w:t>
      </w:r>
      <w:r w:rsidR="007A6459" w:rsidRPr="0082254E">
        <w:t xml:space="preserve"> </w:t>
      </w:r>
      <w:r w:rsidR="001853DA">
        <w:t>emergency</w:t>
      </w:r>
      <w:r w:rsidR="001853DA" w:rsidRPr="0082254E">
        <w:t xml:space="preserve"> </w:t>
      </w:r>
      <w:r w:rsidR="006965FC" w:rsidRPr="0082254E">
        <w:t>treatment of hyperkalaemia in hospital</w:t>
      </w:r>
    </w:p>
    <w:p w14:paraId="5A3715C4" w14:textId="1ECBBABD" w:rsidR="00752C42" w:rsidRPr="0082254E" w:rsidRDefault="00752C42" w:rsidP="00DA0670">
      <w:pPr>
        <w:pStyle w:val="Numberedlevel2text"/>
        <w:rPr>
          <w:lang w:val="en-GB"/>
        </w:rPr>
      </w:pPr>
      <w:r w:rsidRPr="0082254E">
        <w:rPr>
          <w:lang w:val="en-GB"/>
        </w:rPr>
        <w:t>The committee</w:t>
      </w:r>
      <w:r w:rsidR="007D1EEC" w:rsidRPr="0082254E">
        <w:rPr>
          <w:lang w:val="en-GB"/>
        </w:rPr>
        <w:t xml:space="preserve"> considered the cost-effectiveness results in the </w:t>
      </w:r>
      <w:r w:rsidR="001853DA">
        <w:rPr>
          <w:lang w:val="en-GB"/>
        </w:rPr>
        <w:t>emergency</w:t>
      </w:r>
      <w:r w:rsidR="001853DA" w:rsidRPr="0082254E">
        <w:rPr>
          <w:lang w:val="en-GB"/>
        </w:rPr>
        <w:t xml:space="preserve"> </w:t>
      </w:r>
      <w:r w:rsidR="007D1EEC" w:rsidRPr="0082254E">
        <w:rPr>
          <w:lang w:val="en-GB"/>
        </w:rPr>
        <w:t>care setting.</w:t>
      </w:r>
      <w:r w:rsidR="002F63A7" w:rsidRPr="0082254E">
        <w:rPr>
          <w:lang w:val="en-GB"/>
        </w:rPr>
        <w:t xml:space="preserve"> </w:t>
      </w:r>
      <w:r w:rsidR="00E46F55">
        <w:rPr>
          <w:lang w:val="en-GB"/>
        </w:rPr>
        <w:t>It</w:t>
      </w:r>
      <w:r w:rsidR="00E46F55" w:rsidRPr="0082254E">
        <w:rPr>
          <w:lang w:val="en-GB"/>
        </w:rPr>
        <w:t xml:space="preserve"> </w:t>
      </w:r>
      <w:r w:rsidR="003F0BC5" w:rsidRPr="0082254E">
        <w:rPr>
          <w:lang w:val="en-GB"/>
        </w:rPr>
        <w:t xml:space="preserve">recalled that randomised evidence was not </w:t>
      </w:r>
      <w:r w:rsidR="007A6459">
        <w:rPr>
          <w:lang w:val="en-GB"/>
        </w:rPr>
        <w:t>needed</w:t>
      </w:r>
      <w:r w:rsidR="007A6459" w:rsidRPr="0082254E">
        <w:rPr>
          <w:lang w:val="en-GB"/>
        </w:rPr>
        <w:t xml:space="preserve"> </w:t>
      </w:r>
      <w:r w:rsidR="003F0BC5" w:rsidRPr="0082254E">
        <w:rPr>
          <w:lang w:val="en-GB"/>
        </w:rPr>
        <w:t>to show that treating hyperkalaemia in the emergency</w:t>
      </w:r>
      <w:r w:rsidR="00E47A48">
        <w:rPr>
          <w:lang w:val="en-GB"/>
        </w:rPr>
        <w:t xml:space="preserve"> care</w:t>
      </w:r>
      <w:r w:rsidR="003F0BC5" w:rsidRPr="0082254E">
        <w:rPr>
          <w:lang w:val="en-GB"/>
        </w:rPr>
        <w:t xml:space="preserve"> setting prolonged life</w:t>
      </w:r>
      <w:r w:rsidR="00E46F55">
        <w:rPr>
          <w:lang w:val="en-GB"/>
        </w:rPr>
        <w:t>,</w:t>
      </w:r>
      <w:r w:rsidR="003F0BC5" w:rsidRPr="0082254E">
        <w:rPr>
          <w:lang w:val="en-GB"/>
        </w:rPr>
        <w:t xml:space="preserve"> and that such treatment was standard clinical practice (see </w:t>
      </w:r>
      <w:r w:rsidR="003F0BC5" w:rsidRPr="0082254E">
        <w:rPr>
          <w:lang w:val="en-GB"/>
        </w:rPr>
        <w:lastRenderedPageBreak/>
        <w:t>section</w:t>
      </w:r>
      <w:r w:rsidR="00E46F55">
        <w:rPr>
          <w:lang w:val="en-GB"/>
        </w:rPr>
        <w:t> </w:t>
      </w:r>
      <w:r w:rsidR="00F46693">
        <w:rPr>
          <w:b/>
          <w:bCs w:val="0"/>
          <w:lang w:val="en-US"/>
        </w:rPr>
        <w:fldChar w:fldCharType="begin"/>
      </w:r>
      <w:r w:rsidR="00F46693">
        <w:rPr>
          <w:lang w:val="en-GB"/>
        </w:rPr>
        <w:instrText xml:space="preserve"> REF _Ref5877911 \r \h </w:instrText>
      </w:r>
      <w:r w:rsidR="00F46693">
        <w:rPr>
          <w:b/>
          <w:bCs w:val="0"/>
          <w:lang w:val="en-US"/>
        </w:rPr>
      </w:r>
      <w:r w:rsidR="00F46693">
        <w:rPr>
          <w:b/>
          <w:bCs w:val="0"/>
          <w:lang w:val="en-US"/>
        </w:rPr>
        <w:fldChar w:fldCharType="separate"/>
      </w:r>
      <w:r w:rsidR="00DA520D">
        <w:rPr>
          <w:lang w:val="en-GB"/>
        </w:rPr>
        <w:t>3.9</w:t>
      </w:r>
      <w:r w:rsidR="00F46693">
        <w:rPr>
          <w:b/>
          <w:bCs w:val="0"/>
          <w:lang w:val="en-US"/>
        </w:rPr>
        <w:fldChar w:fldCharType="end"/>
      </w:r>
      <w:r w:rsidR="003F0BC5" w:rsidRPr="0082254E">
        <w:rPr>
          <w:lang w:val="en-GB"/>
        </w:rPr>
        <w:t xml:space="preserve">). </w:t>
      </w:r>
      <w:r w:rsidR="006154FD" w:rsidRPr="0082254E">
        <w:rPr>
          <w:lang w:val="en-GB"/>
        </w:rPr>
        <w:t xml:space="preserve">It </w:t>
      </w:r>
      <w:r w:rsidR="003F0BC5" w:rsidRPr="0082254E">
        <w:rPr>
          <w:lang w:val="en-GB"/>
        </w:rPr>
        <w:t xml:space="preserve">also agreed that sodium zirconium cyclosilicate reduced serum potassium levels quickly </w:t>
      </w:r>
      <w:r w:rsidR="00E46F55">
        <w:rPr>
          <w:lang w:val="en-GB"/>
        </w:rPr>
        <w:t>so</w:t>
      </w:r>
      <w:r w:rsidR="00E46F55" w:rsidRPr="0082254E">
        <w:rPr>
          <w:lang w:val="en-GB"/>
        </w:rPr>
        <w:t xml:space="preserve"> </w:t>
      </w:r>
      <w:r w:rsidR="003F0BC5" w:rsidRPr="0082254E">
        <w:rPr>
          <w:lang w:val="en-GB"/>
        </w:rPr>
        <w:t>was a suitable treatment option in this setting</w:t>
      </w:r>
      <w:r w:rsidR="006154FD" w:rsidRPr="0082254E">
        <w:rPr>
          <w:lang w:val="en-GB"/>
        </w:rPr>
        <w:t xml:space="preserve">. </w:t>
      </w:r>
      <w:r w:rsidR="00F5539F" w:rsidRPr="0082254E">
        <w:rPr>
          <w:lang w:val="en-GB"/>
        </w:rPr>
        <w:t xml:space="preserve">It noted that </w:t>
      </w:r>
      <w:r w:rsidR="00E46F55">
        <w:rPr>
          <w:lang w:val="en-GB"/>
        </w:rPr>
        <w:t>the drug</w:t>
      </w:r>
      <w:r w:rsidR="00F5539F" w:rsidRPr="0082254E">
        <w:rPr>
          <w:lang w:val="en-GB"/>
        </w:rPr>
        <w:t xml:space="preserve"> was associated with lower costs and improved quality of life in both the company</w:t>
      </w:r>
      <w:r w:rsidR="00E46F55">
        <w:rPr>
          <w:lang w:val="en-GB"/>
        </w:rPr>
        <w:t>’s</w:t>
      </w:r>
      <w:r w:rsidR="00F5539F" w:rsidRPr="0082254E">
        <w:rPr>
          <w:lang w:val="en-GB"/>
        </w:rPr>
        <w:t xml:space="preserve"> and ERG’s base case</w:t>
      </w:r>
      <w:r w:rsidR="00E46F55">
        <w:rPr>
          <w:lang w:val="en-GB"/>
        </w:rPr>
        <w:t>s</w:t>
      </w:r>
      <w:r w:rsidR="00F5539F" w:rsidRPr="0082254E">
        <w:rPr>
          <w:lang w:val="en-GB"/>
        </w:rPr>
        <w:t xml:space="preserve"> and all scenario analyses. It </w:t>
      </w:r>
      <w:r w:rsidR="003F0BC5" w:rsidRPr="0082254E">
        <w:rPr>
          <w:lang w:val="en-GB"/>
        </w:rPr>
        <w:t>recalled</w:t>
      </w:r>
      <w:r w:rsidR="00F5539F" w:rsidRPr="0082254E">
        <w:rPr>
          <w:lang w:val="en-GB"/>
        </w:rPr>
        <w:t xml:space="preserve"> that these results were subject to some uncertainty because there was limited clinical evidence </w:t>
      </w:r>
      <w:r w:rsidR="00E4214E" w:rsidRPr="0082254E">
        <w:rPr>
          <w:lang w:val="en-GB"/>
        </w:rPr>
        <w:t xml:space="preserve">of sodium zirconium cyclosilicate’s use </w:t>
      </w:r>
      <w:r w:rsidR="00E46F55">
        <w:rPr>
          <w:lang w:val="en-GB"/>
        </w:rPr>
        <w:t>in</w:t>
      </w:r>
      <w:r w:rsidR="00F5539F" w:rsidRPr="0082254E">
        <w:rPr>
          <w:lang w:val="en-GB"/>
        </w:rPr>
        <w:t xml:space="preserve"> the </w:t>
      </w:r>
      <w:r w:rsidR="001853DA">
        <w:rPr>
          <w:lang w:val="en-GB"/>
        </w:rPr>
        <w:t>emergency</w:t>
      </w:r>
      <w:r w:rsidR="001853DA" w:rsidRPr="0082254E">
        <w:rPr>
          <w:lang w:val="en-GB"/>
        </w:rPr>
        <w:t xml:space="preserve"> </w:t>
      </w:r>
      <w:r w:rsidR="00F5539F" w:rsidRPr="0082254E">
        <w:rPr>
          <w:lang w:val="en-GB"/>
        </w:rPr>
        <w:t>care setting (see section</w:t>
      </w:r>
      <w:r w:rsidR="007D71C7">
        <w:rPr>
          <w:lang w:val="en-GB"/>
        </w:rPr>
        <w:t> </w:t>
      </w:r>
      <w:r w:rsidR="00776856">
        <w:rPr>
          <w:lang w:val="en-GB"/>
        </w:rPr>
        <w:fldChar w:fldCharType="begin"/>
      </w:r>
      <w:r w:rsidR="00776856">
        <w:rPr>
          <w:lang w:val="en-GB"/>
        </w:rPr>
        <w:instrText xml:space="preserve"> REF _Ref5617748 \r \h </w:instrText>
      </w:r>
      <w:r w:rsidR="00776856">
        <w:rPr>
          <w:lang w:val="en-GB"/>
        </w:rPr>
      </w:r>
      <w:r w:rsidR="00776856">
        <w:rPr>
          <w:lang w:val="en-GB"/>
        </w:rPr>
        <w:fldChar w:fldCharType="separate"/>
      </w:r>
      <w:r w:rsidR="00DA520D">
        <w:rPr>
          <w:lang w:val="en-GB"/>
        </w:rPr>
        <w:t>3.8</w:t>
      </w:r>
      <w:r w:rsidR="00776856">
        <w:rPr>
          <w:lang w:val="en-GB"/>
        </w:rPr>
        <w:fldChar w:fldCharType="end"/>
      </w:r>
      <w:r w:rsidR="00F5539F" w:rsidRPr="0082254E">
        <w:rPr>
          <w:lang w:val="en-GB"/>
        </w:rPr>
        <w:t>) and the gain in quality</w:t>
      </w:r>
      <w:r w:rsidR="00DA0670" w:rsidRPr="0082254E">
        <w:rPr>
          <w:lang w:val="en-GB"/>
        </w:rPr>
        <w:t>-</w:t>
      </w:r>
      <w:r w:rsidR="00F5539F" w:rsidRPr="0082254E">
        <w:rPr>
          <w:lang w:val="en-GB"/>
        </w:rPr>
        <w:t xml:space="preserve">adjusted life years (QALYs) was very small. It </w:t>
      </w:r>
      <w:r w:rsidR="003F0BC5" w:rsidRPr="0082254E">
        <w:rPr>
          <w:lang w:val="en-GB"/>
        </w:rPr>
        <w:t xml:space="preserve">also </w:t>
      </w:r>
      <w:r w:rsidR="00F5539F" w:rsidRPr="0082254E">
        <w:rPr>
          <w:lang w:val="en-GB"/>
        </w:rPr>
        <w:t xml:space="preserve">recalled that the model used a short time horizon in the </w:t>
      </w:r>
      <w:r w:rsidR="001853DA">
        <w:rPr>
          <w:lang w:val="en-GB"/>
        </w:rPr>
        <w:t>emergency</w:t>
      </w:r>
      <w:r w:rsidR="001853DA" w:rsidRPr="0082254E">
        <w:rPr>
          <w:lang w:val="en-GB"/>
        </w:rPr>
        <w:t xml:space="preserve"> </w:t>
      </w:r>
      <w:r w:rsidR="00F5539F" w:rsidRPr="0082254E">
        <w:rPr>
          <w:lang w:val="en-GB"/>
        </w:rPr>
        <w:t xml:space="preserve">care setting </w:t>
      </w:r>
      <w:r w:rsidR="00E46F55">
        <w:rPr>
          <w:lang w:val="en-GB"/>
        </w:rPr>
        <w:t>so</w:t>
      </w:r>
      <w:r w:rsidR="00F5539F" w:rsidRPr="0082254E">
        <w:rPr>
          <w:lang w:val="en-GB"/>
        </w:rPr>
        <w:t xml:space="preserve"> any long</w:t>
      </w:r>
      <w:r w:rsidR="00C4617C" w:rsidRPr="0082254E">
        <w:rPr>
          <w:lang w:val="en-GB"/>
        </w:rPr>
        <w:t>-</w:t>
      </w:r>
      <w:r w:rsidR="00F5539F" w:rsidRPr="0082254E">
        <w:rPr>
          <w:lang w:val="en-GB"/>
        </w:rPr>
        <w:t xml:space="preserve">term benefits of sodium zirconium cyclosilicate (such as enabling patients to </w:t>
      </w:r>
      <w:r w:rsidR="007A6459">
        <w:rPr>
          <w:lang w:val="en-GB"/>
        </w:rPr>
        <w:t>restart</w:t>
      </w:r>
      <w:r w:rsidR="007A6459" w:rsidRPr="0082254E">
        <w:rPr>
          <w:lang w:val="en-GB"/>
        </w:rPr>
        <w:t xml:space="preserve"> </w:t>
      </w:r>
      <w:r w:rsidR="00F5539F" w:rsidRPr="0082254E">
        <w:rPr>
          <w:lang w:val="en-GB"/>
        </w:rPr>
        <w:t xml:space="preserve">RAAS inhibitors) may </w:t>
      </w:r>
      <w:r w:rsidR="00E46F55">
        <w:rPr>
          <w:lang w:val="en-GB"/>
        </w:rPr>
        <w:t xml:space="preserve">have </w:t>
      </w:r>
      <w:r w:rsidR="00F5539F" w:rsidRPr="0082254E">
        <w:rPr>
          <w:lang w:val="en-GB"/>
        </w:rPr>
        <w:t>be</w:t>
      </w:r>
      <w:r w:rsidR="00E46F55">
        <w:rPr>
          <w:lang w:val="en-GB"/>
        </w:rPr>
        <w:t>en</w:t>
      </w:r>
      <w:r w:rsidR="00F5539F" w:rsidRPr="0082254E">
        <w:rPr>
          <w:lang w:val="en-GB"/>
        </w:rPr>
        <w:t xml:space="preserve"> underestimated. </w:t>
      </w:r>
      <w:r w:rsidR="00E4214E" w:rsidRPr="0082254E">
        <w:rPr>
          <w:lang w:val="en-GB"/>
        </w:rPr>
        <w:t xml:space="preserve">The committee </w:t>
      </w:r>
      <w:r w:rsidR="00C4617C" w:rsidRPr="0082254E">
        <w:rPr>
          <w:lang w:val="en-GB"/>
        </w:rPr>
        <w:t xml:space="preserve">agreed that </w:t>
      </w:r>
      <w:r w:rsidR="00E4214E" w:rsidRPr="0082254E">
        <w:rPr>
          <w:lang w:val="en-GB"/>
        </w:rPr>
        <w:t xml:space="preserve">people </w:t>
      </w:r>
      <w:r w:rsidR="00C4617C" w:rsidRPr="0082254E">
        <w:rPr>
          <w:lang w:val="en-GB"/>
        </w:rPr>
        <w:t>with hyperkalaemia would</w:t>
      </w:r>
      <w:r w:rsidR="00F5539F" w:rsidRPr="0082254E">
        <w:rPr>
          <w:lang w:val="en-GB"/>
        </w:rPr>
        <w:t xml:space="preserve"> </w:t>
      </w:r>
      <w:r w:rsidR="00C4617C" w:rsidRPr="0082254E">
        <w:rPr>
          <w:lang w:val="en-GB"/>
        </w:rPr>
        <w:t xml:space="preserve">value the option of an alternative treatment to lower serum potassium levels that was better tolerated than calcium </w:t>
      </w:r>
      <w:proofErr w:type="spellStart"/>
      <w:r w:rsidR="00C4617C" w:rsidRPr="0082254E">
        <w:rPr>
          <w:lang w:val="en-GB"/>
        </w:rPr>
        <w:t>resonium</w:t>
      </w:r>
      <w:proofErr w:type="spellEnd"/>
      <w:r w:rsidR="00C4617C" w:rsidRPr="0082254E">
        <w:rPr>
          <w:lang w:val="en-GB"/>
        </w:rPr>
        <w:t xml:space="preserve"> (see section</w:t>
      </w:r>
      <w:r w:rsidR="00E46F55">
        <w:rPr>
          <w:lang w:val="en-GB"/>
        </w:rPr>
        <w:t> </w:t>
      </w:r>
      <w:r w:rsidR="00776856">
        <w:rPr>
          <w:lang w:val="en-GB"/>
        </w:rPr>
        <w:fldChar w:fldCharType="begin"/>
      </w:r>
      <w:r w:rsidR="00776856">
        <w:rPr>
          <w:lang w:val="en-GB"/>
        </w:rPr>
        <w:instrText xml:space="preserve"> REF _Ref5618541 \r \h </w:instrText>
      </w:r>
      <w:r w:rsidR="00776856">
        <w:rPr>
          <w:lang w:val="en-GB"/>
        </w:rPr>
      </w:r>
      <w:r w:rsidR="00776856">
        <w:rPr>
          <w:lang w:val="en-GB"/>
        </w:rPr>
        <w:fldChar w:fldCharType="separate"/>
      </w:r>
      <w:r w:rsidR="00DA520D">
        <w:rPr>
          <w:lang w:val="en-GB"/>
        </w:rPr>
        <w:t>3.2</w:t>
      </w:r>
      <w:r w:rsidR="00776856">
        <w:rPr>
          <w:lang w:val="en-GB"/>
        </w:rPr>
        <w:fldChar w:fldCharType="end"/>
      </w:r>
      <w:r w:rsidR="00C4617C" w:rsidRPr="0082254E">
        <w:rPr>
          <w:lang w:val="en-GB"/>
        </w:rPr>
        <w:t xml:space="preserve">). It therefore concluded that it could recommend sodium zirconium cyclosilicate as an option for people </w:t>
      </w:r>
      <w:r w:rsidR="00196728" w:rsidRPr="0082254E">
        <w:rPr>
          <w:lang w:val="en-GB"/>
        </w:rPr>
        <w:t xml:space="preserve">who </w:t>
      </w:r>
      <w:r w:rsidR="007A6459">
        <w:rPr>
          <w:lang w:val="en-GB"/>
        </w:rPr>
        <w:t>need</w:t>
      </w:r>
      <w:r w:rsidR="007A6459" w:rsidRPr="0082254E">
        <w:rPr>
          <w:lang w:val="en-GB"/>
        </w:rPr>
        <w:t xml:space="preserve"> </w:t>
      </w:r>
      <w:r w:rsidR="006965FC" w:rsidRPr="0082254E">
        <w:rPr>
          <w:lang w:val="en-GB"/>
        </w:rPr>
        <w:t>treatment for</w:t>
      </w:r>
      <w:r w:rsidR="00E46F55">
        <w:rPr>
          <w:lang w:val="en-GB"/>
        </w:rPr>
        <w:t xml:space="preserve"> </w:t>
      </w:r>
      <w:r w:rsidR="006965FC" w:rsidRPr="0082254E">
        <w:rPr>
          <w:lang w:val="en-GB"/>
        </w:rPr>
        <w:t xml:space="preserve">hyperkalaemia in </w:t>
      </w:r>
      <w:r w:rsidR="00370175">
        <w:rPr>
          <w:lang w:val="en-GB"/>
        </w:rPr>
        <w:t>an emergency care setting</w:t>
      </w:r>
      <w:r w:rsidR="00196728" w:rsidRPr="0082254E">
        <w:rPr>
          <w:lang w:val="en-GB"/>
        </w:rPr>
        <w:t>.</w:t>
      </w:r>
    </w:p>
    <w:p w14:paraId="5E291144" w14:textId="26600D94" w:rsidR="00752C42" w:rsidRPr="0082254E" w:rsidRDefault="001A4757" w:rsidP="00752C42">
      <w:pPr>
        <w:pStyle w:val="Heading3"/>
      </w:pPr>
      <w:r w:rsidRPr="0082254E">
        <w:t>Sodium zirconium cyclosilicate is not recommended as a treatment option in the outpatient setting</w:t>
      </w:r>
    </w:p>
    <w:p w14:paraId="5104CE55" w14:textId="145B553F" w:rsidR="001E0BF8" w:rsidRPr="0082254E" w:rsidRDefault="00752C42" w:rsidP="00752C42">
      <w:pPr>
        <w:pStyle w:val="Numberedlevel2text"/>
        <w:rPr>
          <w:lang w:val="en-GB"/>
        </w:rPr>
      </w:pPr>
      <w:r w:rsidRPr="0082254E">
        <w:rPr>
          <w:lang w:val="en-GB"/>
        </w:rPr>
        <w:t xml:space="preserve">The committee then considered the cost-effectiveness results in the outpatient setting. In </w:t>
      </w:r>
      <w:r w:rsidR="001A4757" w:rsidRPr="0082254E">
        <w:rPr>
          <w:lang w:val="en-GB"/>
        </w:rPr>
        <w:t>recalled</w:t>
      </w:r>
      <w:r w:rsidRPr="0082254E">
        <w:rPr>
          <w:lang w:val="en-GB"/>
        </w:rPr>
        <w:t xml:space="preserve"> that the ERG’s alternative base case was more closely aligned to its preferred assumptions (see section</w:t>
      </w:r>
      <w:r w:rsidR="00E46F55">
        <w:rPr>
          <w:lang w:val="en-GB"/>
        </w:rPr>
        <w:t> </w:t>
      </w:r>
      <w:r w:rsidR="00776856">
        <w:rPr>
          <w:lang w:val="en-GB"/>
        </w:rPr>
        <w:fldChar w:fldCharType="begin"/>
      </w:r>
      <w:r w:rsidR="00776856">
        <w:rPr>
          <w:lang w:val="en-GB"/>
        </w:rPr>
        <w:instrText xml:space="preserve"> REF _Ref5618582 \r \h </w:instrText>
      </w:r>
      <w:r w:rsidR="00776856">
        <w:rPr>
          <w:lang w:val="en-GB"/>
        </w:rPr>
      </w:r>
      <w:r w:rsidR="00776856">
        <w:rPr>
          <w:lang w:val="en-GB"/>
        </w:rPr>
        <w:fldChar w:fldCharType="separate"/>
      </w:r>
      <w:r w:rsidR="00DA520D">
        <w:rPr>
          <w:lang w:val="en-GB"/>
        </w:rPr>
        <w:t>3.20</w:t>
      </w:r>
      <w:r w:rsidR="00776856">
        <w:rPr>
          <w:lang w:val="en-GB"/>
        </w:rPr>
        <w:fldChar w:fldCharType="end"/>
      </w:r>
      <w:r w:rsidRPr="0082254E">
        <w:rPr>
          <w:lang w:val="en-GB"/>
        </w:rPr>
        <w:t>)</w:t>
      </w:r>
      <w:r w:rsidR="00E46F55">
        <w:rPr>
          <w:lang w:val="en-GB"/>
        </w:rPr>
        <w:t>,</w:t>
      </w:r>
      <w:r w:rsidR="006154FD" w:rsidRPr="0082254E">
        <w:rPr>
          <w:lang w:val="en-GB"/>
        </w:rPr>
        <w:t xml:space="preserve"> but </w:t>
      </w:r>
      <w:r w:rsidR="00E46F55">
        <w:rPr>
          <w:lang w:val="en-GB"/>
        </w:rPr>
        <w:t xml:space="preserve">that </w:t>
      </w:r>
      <w:r w:rsidR="006154FD" w:rsidRPr="0082254E">
        <w:rPr>
          <w:lang w:val="en-GB"/>
        </w:rPr>
        <w:t xml:space="preserve">including </w:t>
      </w:r>
      <w:r w:rsidR="006965FC" w:rsidRPr="0082254E">
        <w:rPr>
          <w:lang w:val="en-GB"/>
        </w:rPr>
        <w:t>life extension</w:t>
      </w:r>
      <w:r w:rsidR="006154FD" w:rsidRPr="0082254E">
        <w:rPr>
          <w:lang w:val="en-GB"/>
        </w:rPr>
        <w:t xml:space="preserve"> based on epidemiological studies was not in line with the committee’s preferences</w:t>
      </w:r>
      <w:r w:rsidRPr="0082254E">
        <w:rPr>
          <w:lang w:val="en-GB"/>
        </w:rPr>
        <w:t>. The committee noted that the ERG’s base case for chronic kidney disease used an odds ratio</w:t>
      </w:r>
      <w:r w:rsidR="001E0BF8" w:rsidRPr="0082254E">
        <w:rPr>
          <w:lang w:val="en-GB"/>
        </w:rPr>
        <w:t xml:space="preserve"> for</w:t>
      </w:r>
      <w:r w:rsidRPr="0082254E">
        <w:rPr>
          <w:lang w:val="en-GB"/>
        </w:rPr>
        <w:t xml:space="preserve"> RAAS</w:t>
      </w:r>
      <w:r w:rsidR="004E0BBE" w:rsidRPr="0082254E">
        <w:rPr>
          <w:lang w:val="en-GB"/>
        </w:rPr>
        <w:t xml:space="preserve"> inhibitor</w:t>
      </w:r>
      <w:r w:rsidRPr="0082254E">
        <w:rPr>
          <w:lang w:val="en-GB"/>
        </w:rPr>
        <w:t xml:space="preserve"> </w:t>
      </w:r>
      <w:r w:rsidR="001E0BF8" w:rsidRPr="0082254E">
        <w:rPr>
          <w:lang w:val="en-GB"/>
        </w:rPr>
        <w:t xml:space="preserve">outcomes </w:t>
      </w:r>
      <w:r w:rsidRPr="0082254E">
        <w:rPr>
          <w:lang w:val="en-GB"/>
        </w:rPr>
        <w:t xml:space="preserve">compared with active </w:t>
      </w:r>
      <w:r w:rsidR="001E0BF8" w:rsidRPr="0082254E">
        <w:rPr>
          <w:lang w:val="en-GB"/>
        </w:rPr>
        <w:t>control</w:t>
      </w:r>
      <w:r w:rsidR="00AC2A42" w:rsidRPr="0082254E">
        <w:rPr>
          <w:lang w:val="en-GB"/>
        </w:rPr>
        <w:t xml:space="preserve"> (see section</w:t>
      </w:r>
      <w:r w:rsidR="00E46F55">
        <w:rPr>
          <w:lang w:val="en-GB"/>
        </w:rPr>
        <w:t> </w:t>
      </w:r>
      <w:r w:rsidR="00776856">
        <w:rPr>
          <w:lang w:val="en-GB"/>
        </w:rPr>
        <w:fldChar w:fldCharType="begin"/>
      </w:r>
      <w:r w:rsidR="00776856">
        <w:rPr>
          <w:lang w:val="en-GB"/>
        </w:rPr>
        <w:instrText xml:space="preserve"> REF _Ref5618582 \r \h </w:instrText>
      </w:r>
      <w:r w:rsidR="00776856">
        <w:rPr>
          <w:lang w:val="en-GB"/>
        </w:rPr>
      </w:r>
      <w:r w:rsidR="00776856">
        <w:rPr>
          <w:lang w:val="en-GB"/>
        </w:rPr>
        <w:fldChar w:fldCharType="separate"/>
      </w:r>
      <w:r w:rsidR="00DA520D">
        <w:rPr>
          <w:lang w:val="en-GB"/>
        </w:rPr>
        <w:t>3.20</w:t>
      </w:r>
      <w:r w:rsidR="00776856">
        <w:rPr>
          <w:lang w:val="en-GB"/>
        </w:rPr>
        <w:fldChar w:fldCharType="end"/>
      </w:r>
      <w:r w:rsidR="00AC2A42" w:rsidRPr="0082254E">
        <w:rPr>
          <w:lang w:val="en-GB"/>
        </w:rPr>
        <w:t>)</w:t>
      </w:r>
      <w:r w:rsidR="00E46F55">
        <w:rPr>
          <w:lang w:val="en-GB"/>
        </w:rPr>
        <w:t>,</w:t>
      </w:r>
      <w:r w:rsidR="001E0BF8" w:rsidRPr="0082254E">
        <w:rPr>
          <w:lang w:val="en-GB"/>
        </w:rPr>
        <w:t xml:space="preserve"> and that removing this assumption in line with committee’s preferences woul</w:t>
      </w:r>
      <w:r w:rsidR="00E4214E" w:rsidRPr="0082254E">
        <w:rPr>
          <w:lang w:val="en-GB"/>
        </w:rPr>
        <w:t>d</w:t>
      </w:r>
      <w:r w:rsidR="001E0BF8" w:rsidRPr="0082254E">
        <w:rPr>
          <w:lang w:val="en-GB"/>
        </w:rPr>
        <w:t xml:space="preserve"> likely reduce the</w:t>
      </w:r>
      <w:r w:rsidR="0082254E">
        <w:rPr>
          <w:lang w:val="en-GB"/>
        </w:rPr>
        <w:t xml:space="preserve"> incremental cost-effectiveness ratio (</w:t>
      </w:r>
      <w:r w:rsidR="001E0BF8" w:rsidRPr="0082254E">
        <w:rPr>
          <w:lang w:val="en-GB"/>
        </w:rPr>
        <w:t>ICER</w:t>
      </w:r>
      <w:r w:rsidR="0082254E">
        <w:rPr>
          <w:lang w:val="en-GB"/>
        </w:rPr>
        <w:t>)</w:t>
      </w:r>
      <w:r w:rsidR="001E0BF8" w:rsidRPr="0082254E">
        <w:rPr>
          <w:lang w:val="en-GB"/>
        </w:rPr>
        <w:t xml:space="preserve"> by around £1,500 per QALY gained. </w:t>
      </w:r>
      <w:r w:rsidR="00AC2A42" w:rsidRPr="0082254E">
        <w:rPr>
          <w:lang w:val="en-GB"/>
        </w:rPr>
        <w:t>It</w:t>
      </w:r>
      <w:r w:rsidR="001E0BF8" w:rsidRPr="0082254E">
        <w:rPr>
          <w:lang w:val="en-GB"/>
        </w:rPr>
        <w:t xml:space="preserve"> noted that the results were highly uncertain because:</w:t>
      </w:r>
    </w:p>
    <w:p w14:paraId="3579D1EA" w14:textId="0F50B9D5" w:rsidR="001E0BF8" w:rsidRPr="0082254E" w:rsidRDefault="00E46F55" w:rsidP="001E0BF8">
      <w:pPr>
        <w:pStyle w:val="Bulletindent1"/>
        <w:rPr>
          <w:lang w:val="en-GB"/>
        </w:rPr>
      </w:pPr>
      <w:r>
        <w:rPr>
          <w:lang w:val="en-GB"/>
        </w:rPr>
        <w:lastRenderedPageBreak/>
        <w:t>T</w:t>
      </w:r>
      <w:r w:rsidR="001E0BF8" w:rsidRPr="0082254E">
        <w:rPr>
          <w:lang w:val="en-GB"/>
        </w:rPr>
        <w:t xml:space="preserve">he association between </w:t>
      </w:r>
      <w:r w:rsidR="00E4214E" w:rsidRPr="0082254E">
        <w:rPr>
          <w:lang w:val="en-GB"/>
        </w:rPr>
        <w:t xml:space="preserve">lowering </w:t>
      </w:r>
      <w:r w:rsidR="001E0BF8" w:rsidRPr="0082254E">
        <w:rPr>
          <w:lang w:val="en-GB"/>
        </w:rPr>
        <w:t xml:space="preserve">serum potassium levels and </w:t>
      </w:r>
      <w:r w:rsidR="00E4214E" w:rsidRPr="0082254E">
        <w:rPr>
          <w:lang w:val="en-GB"/>
        </w:rPr>
        <w:t xml:space="preserve">improved long-term </w:t>
      </w:r>
      <w:r w:rsidR="001E0BF8" w:rsidRPr="0082254E">
        <w:rPr>
          <w:lang w:val="en-GB"/>
        </w:rPr>
        <w:t xml:space="preserve">outcomes </w:t>
      </w:r>
      <w:r>
        <w:rPr>
          <w:lang w:val="en-GB"/>
        </w:rPr>
        <w:t>wa</w:t>
      </w:r>
      <w:r w:rsidR="001E0BF8" w:rsidRPr="0082254E">
        <w:rPr>
          <w:lang w:val="en-GB"/>
        </w:rPr>
        <w:t xml:space="preserve">s based on observational evidence </w:t>
      </w:r>
      <w:r w:rsidR="006154FD" w:rsidRPr="0082254E">
        <w:rPr>
          <w:lang w:val="en-GB"/>
        </w:rPr>
        <w:t>with</w:t>
      </w:r>
      <w:r w:rsidR="00776856">
        <w:rPr>
          <w:lang w:val="en-GB"/>
        </w:rPr>
        <w:t>out</w:t>
      </w:r>
      <w:r w:rsidR="006154FD" w:rsidRPr="0082254E">
        <w:rPr>
          <w:lang w:val="en-GB"/>
        </w:rPr>
        <w:t xml:space="preserve"> </w:t>
      </w:r>
      <w:r w:rsidR="00776856">
        <w:rPr>
          <w:lang w:val="en-GB"/>
        </w:rPr>
        <w:t>sufficient</w:t>
      </w:r>
      <w:r w:rsidR="00776856" w:rsidRPr="0082254E">
        <w:rPr>
          <w:lang w:val="en-GB"/>
        </w:rPr>
        <w:t xml:space="preserve"> </w:t>
      </w:r>
      <w:r w:rsidR="006154FD" w:rsidRPr="0082254E">
        <w:rPr>
          <w:lang w:val="en-GB"/>
        </w:rPr>
        <w:t>consideration for residual confounding</w:t>
      </w:r>
      <w:r w:rsidR="00776856">
        <w:rPr>
          <w:lang w:val="en-GB"/>
        </w:rPr>
        <w:t xml:space="preserve"> (including time-dependent confounding)</w:t>
      </w:r>
      <w:r w:rsidR="006154FD" w:rsidRPr="0082254E">
        <w:rPr>
          <w:lang w:val="en-GB"/>
        </w:rPr>
        <w:t>, and without robust evidence that lowering serum potassium leads to better outcomes</w:t>
      </w:r>
      <w:r w:rsidR="001E0BF8" w:rsidRPr="0082254E">
        <w:rPr>
          <w:lang w:val="en-GB"/>
        </w:rPr>
        <w:t xml:space="preserve"> (see section</w:t>
      </w:r>
      <w:r>
        <w:rPr>
          <w:lang w:val="en-GB"/>
        </w:rPr>
        <w:t> </w:t>
      </w:r>
      <w:r w:rsidR="00365515">
        <w:rPr>
          <w:lang w:val="en-GB"/>
        </w:rPr>
        <w:fldChar w:fldCharType="begin"/>
      </w:r>
      <w:r w:rsidR="00365515">
        <w:rPr>
          <w:lang w:val="en-GB"/>
        </w:rPr>
        <w:instrText xml:space="preserve"> REF _Ref5618035 \r \h </w:instrText>
      </w:r>
      <w:r w:rsidR="00365515">
        <w:rPr>
          <w:lang w:val="en-GB"/>
        </w:rPr>
      </w:r>
      <w:r w:rsidR="00365515">
        <w:rPr>
          <w:lang w:val="en-GB"/>
        </w:rPr>
        <w:fldChar w:fldCharType="separate"/>
      </w:r>
      <w:r w:rsidR="00DA520D">
        <w:rPr>
          <w:lang w:val="en-GB"/>
        </w:rPr>
        <w:t>3.12</w:t>
      </w:r>
      <w:r w:rsidR="00365515">
        <w:rPr>
          <w:lang w:val="en-GB"/>
        </w:rPr>
        <w:fldChar w:fldCharType="end"/>
      </w:r>
      <w:r w:rsidR="001E0BF8" w:rsidRPr="0082254E">
        <w:rPr>
          <w:lang w:val="en-GB"/>
        </w:rPr>
        <w:t xml:space="preserve">). An exploratory analysis conducted by the ERG removing this association resulted in ICERs of £38,287 per QALY gained in chronic kidney disease and £111,035 </w:t>
      </w:r>
      <w:r w:rsidR="00E4214E" w:rsidRPr="0082254E">
        <w:rPr>
          <w:lang w:val="en-GB"/>
        </w:rPr>
        <w:t xml:space="preserve">per QALY gained </w:t>
      </w:r>
      <w:r w:rsidR="001E0BF8" w:rsidRPr="0082254E">
        <w:rPr>
          <w:lang w:val="en-GB"/>
        </w:rPr>
        <w:t>in heart failure.</w:t>
      </w:r>
    </w:p>
    <w:p w14:paraId="2C0C512C" w14:textId="407122DC" w:rsidR="008F7C6D" w:rsidRPr="0082254E" w:rsidRDefault="006154FD" w:rsidP="00B5141E">
      <w:pPr>
        <w:pStyle w:val="Bulletindent1last"/>
      </w:pPr>
      <w:r w:rsidRPr="0082254E">
        <w:t>The company’s estimate of the proportion</w:t>
      </w:r>
      <w:r w:rsidR="006965FC" w:rsidRPr="0082254E">
        <w:t>s</w:t>
      </w:r>
      <w:r w:rsidRPr="0082254E">
        <w:t xml:space="preserve"> of people </w:t>
      </w:r>
      <w:r w:rsidR="00FC2664">
        <w:t xml:space="preserve">that </w:t>
      </w:r>
      <w:r w:rsidR="00ED1C29" w:rsidRPr="0082254E">
        <w:t xml:space="preserve">would </w:t>
      </w:r>
      <w:r w:rsidRPr="0082254E">
        <w:t>reduce the dose</w:t>
      </w:r>
      <w:r w:rsidR="006965FC" w:rsidRPr="0082254E">
        <w:t xml:space="preserve"> of</w:t>
      </w:r>
      <w:r w:rsidRPr="0082254E">
        <w:t xml:space="preserve"> or stop RAAS </w:t>
      </w:r>
      <w:r w:rsidR="00E46F55">
        <w:t>wa</w:t>
      </w:r>
      <w:r w:rsidRPr="0082254E">
        <w:t>s based on</w:t>
      </w:r>
      <w:r w:rsidR="006965FC" w:rsidRPr="0082254E">
        <w:t xml:space="preserve"> advice from</w:t>
      </w:r>
      <w:r w:rsidRPr="0082254E">
        <w:t xml:space="preserve"> paid</w:t>
      </w:r>
      <w:r w:rsidR="006965FC" w:rsidRPr="0082254E">
        <w:t xml:space="preserve"> clinical</w:t>
      </w:r>
      <w:r w:rsidRPr="0082254E">
        <w:t xml:space="preserve"> experts to the company. </w:t>
      </w:r>
      <w:r w:rsidR="00ED1C29" w:rsidRPr="0082254E">
        <w:t xml:space="preserve">The committee </w:t>
      </w:r>
      <w:r w:rsidR="00E46F55">
        <w:t>would have liked</w:t>
      </w:r>
      <w:r w:rsidR="00E46F55" w:rsidRPr="0082254E">
        <w:t xml:space="preserve"> </w:t>
      </w:r>
      <w:r w:rsidR="00ED1C29" w:rsidRPr="0082254E">
        <w:t>to see a more robust source of data used for the</w:t>
      </w:r>
      <w:r w:rsidR="006965FC" w:rsidRPr="0082254E">
        <w:t>se</w:t>
      </w:r>
      <w:r w:rsidR="00ED1C29" w:rsidRPr="0082254E">
        <w:t xml:space="preserve"> estimates</w:t>
      </w:r>
      <w:r w:rsidR="006965FC" w:rsidRPr="0082254E">
        <w:t xml:space="preserve"> (see section</w:t>
      </w:r>
      <w:r w:rsidR="007D71C7">
        <w:t> </w:t>
      </w:r>
      <w:r w:rsidR="00365515">
        <w:fldChar w:fldCharType="begin"/>
      </w:r>
      <w:r w:rsidR="00365515">
        <w:instrText xml:space="preserve"> REF _Ref5618059 \r \h </w:instrText>
      </w:r>
      <w:r w:rsidR="00365515">
        <w:fldChar w:fldCharType="separate"/>
      </w:r>
      <w:r w:rsidR="00DA520D">
        <w:t>3.13</w:t>
      </w:r>
      <w:r w:rsidR="00365515">
        <w:fldChar w:fldCharType="end"/>
      </w:r>
      <w:r w:rsidR="006965FC" w:rsidRPr="0082254E">
        <w:t>)</w:t>
      </w:r>
      <w:r w:rsidR="00ED1C29" w:rsidRPr="0082254E">
        <w:t>.</w:t>
      </w:r>
    </w:p>
    <w:p w14:paraId="40B9FD40" w14:textId="60144ADD" w:rsidR="001A4757" w:rsidRPr="0082254E" w:rsidRDefault="00E97EF4" w:rsidP="00AC2A42">
      <w:pPr>
        <w:pStyle w:val="Bulletindent1last"/>
        <w:numPr>
          <w:ilvl w:val="0"/>
          <w:numId w:val="0"/>
        </w:numPr>
        <w:ind w:left="1418"/>
      </w:pPr>
      <w:r w:rsidRPr="0082254E">
        <w:t xml:space="preserve">The committee recalled its conclusion that a link between </w:t>
      </w:r>
      <w:r w:rsidR="00E4214E" w:rsidRPr="0082254E">
        <w:t xml:space="preserve">lowering </w:t>
      </w:r>
      <w:r w:rsidRPr="0082254E">
        <w:t xml:space="preserve">serum potassium levels and </w:t>
      </w:r>
      <w:r w:rsidR="00E4214E" w:rsidRPr="0082254E">
        <w:t xml:space="preserve">improved long-term </w:t>
      </w:r>
      <w:r w:rsidRPr="0082254E">
        <w:t xml:space="preserve">outcomes </w:t>
      </w:r>
      <w:r w:rsidR="00FA3E8A" w:rsidRPr="0082254E">
        <w:t>was plausible</w:t>
      </w:r>
      <w:r w:rsidR="00ED1C29" w:rsidRPr="0082254E">
        <w:t xml:space="preserve"> for some outcomes, but unproven</w:t>
      </w:r>
      <w:r w:rsidR="00FA3E8A" w:rsidRPr="0082254E">
        <w:t xml:space="preserve"> (see section</w:t>
      </w:r>
      <w:r w:rsidR="00E46F55">
        <w:t> </w:t>
      </w:r>
      <w:r w:rsidR="00365515">
        <w:fldChar w:fldCharType="begin"/>
      </w:r>
      <w:r w:rsidR="00365515">
        <w:instrText xml:space="preserve"> REF _Ref5619024 \r \h </w:instrText>
      </w:r>
      <w:r w:rsidR="00365515">
        <w:fldChar w:fldCharType="separate"/>
      </w:r>
      <w:r w:rsidR="00DA520D">
        <w:t>3.16</w:t>
      </w:r>
      <w:r w:rsidR="00365515">
        <w:fldChar w:fldCharType="end"/>
      </w:r>
      <w:r w:rsidR="00FA3E8A" w:rsidRPr="0082254E">
        <w:t>)</w:t>
      </w:r>
      <w:r w:rsidRPr="0082254E">
        <w:t>. It agreed tha</w:t>
      </w:r>
      <w:r w:rsidR="004931AB" w:rsidRPr="0082254E">
        <w:t xml:space="preserve">t an ICER for decision making would lie </w:t>
      </w:r>
      <w:r w:rsidR="00ED1C29" w:rsidRPr="0082254E">
        <w:t>near the</w:t>
      </w:r>
      <w:r w:rsidR="004931AB" w:rsidRPr="0082254E">
        <w:t xml:space="preserve"> ERG’s </w:t>
      </w:r>
      <w:r w:rsidR="007077D3" w:rsidRPr="0082254E">
        <w:t xml:space="preserve">scenario </w:t>
      </w:r>
      <w:r w:rsidR="004931AB" w:rsidRPr="0082254E">
        <w:t xml:space="preserve">analysis removing the association between serum potassium levels and outcomes. </w:t>
      </w:r>
      <w:r w:rsidR="00165CBE" w:rsidRPr="0082254E">
        <w:t xml:space="preserve">The committee would have preferred to have seen evidence that sodium zirconium cyclosilicate was cost effective when </w:t>
      </w:r>
      <w:r w:rsidR="009615B0">
        <w:t>this</w:t>
      </w:r>
      <w:r w:rsidR="002F3B24">
        <w:t xml:space="preserve"> </w:t>
      </w:r>
      <w:r w:rsidR="00165CBE" w:rsidRPr="0082254E">
        <w:t>assumption was used. T</w:t>
      </w:r>
      <w:r w:rsidR="00FA3E8A" w:rsidRPr="0082254E">
        <w:t xml:space="preserve">he committee could not determine a most plausible ICER </w:t>
      </w:r>
      <w:r w:rsidR="00E46F55">
        <w:t xml:space="preserve">for the outpatient setting </w:t>
      </w:r>
      <w:r w:rsidR="00FA3E8A" w:rsidRPr="0082254E">
        <w:t>because it had not seen scenario analyses</w:t>
      </w:r>
      <w:r w:rsidR="004931AB" w:rsidRPr="0082254E">
        <w:t xml:space="preserve"> </w:t>
      </w:r>
      <w:r w:rsidR="009615B0">
        <w:t>that reflected its preferred assumptions</w:t>
      </w:r>
      <w:r w:rsidR="004931AB" w:rsidRPr="0082254E">
        <w:t>.</w:t>
      </w:r>
      <w:r w:rsidR="00717528">
        <w:t xml:space="preserve"> It would also have liked to have seen cost-effectiveness scatter plots to help determine the </w:t>
      </w:r>
      <w:r w:rsidR="00FC2664">
        <w:t>effect</w:t>
      </w:r>
      <w:r w:rsidR="00717528">
        <w:t xml:space="preserve"> of the uncertainty in the modelled parameters</w:t>
      </w:r>
      <w:r w:rsidR="00FC2664">
        <w:t xml:space="preserve"> on the cost</w:t>
      </w:r>
      <w:r w:rsidR="005426A3">
        <w:t>-</w:t>
      </w:r>
      <w:r w:rsidR="00FC2664">
        <w:t>effectiveness estimates</w:t>
      </w:r>
      <w:r w:rsidR="00717528">
        <w:t>.</w:t>
      </w:r>
      <w:r w:rsidR="004931AB" w:rsidRPr="0082254E">
        <w:t xml:space="preserve"> The committee also recalled its conclusion that treatment with RAAS inhibitors would improve outcomes but noted that uncertainties around</w:t>
      </w:r>
      <w:r w:rsidR="001D1071">
        <w:t xml:space="preserve"> the assumptions of how many patients would down-titrate or restart</w:t>
      </w:r>
      <w:r w:rsidR="004931AB" w:rsidRPr="0082254E">
        <w:t xml:space="preserve"> RAAS inhibitors had</w:t>
      </w:r>
      <w:r w:rsidR="00FA3E8A" w:rsidRPr="0082254E">
        <w:t xml:space="preserve"> </w:t>
      </w:r>
      <w:r w:rsidR="004931AB" w:rsidRPr="0082254E">
        <w:t>not been</w:t>
      </w:r>
      <w:r w:rsidR="001D1071">
        <w:t xml:space="preserve"> fully</w:t>
      </w:r>
      <w:r w:rsidR="004931AB" w:rsidRPr="0082254E">
        <w:t xml:space="preserve"> addressed in</w:t>
      </w:r>
      <w:r w:rsidR="001A4757" w:rsidRPr="0082254E">
        <w:t xml:space="preserve"> </w:t>
      </w:r>
      <w:r w:rsidR="004931AB" w:rsidRPr="0082254E">
        <w:t>the company’s model</w:t>
      </w:r>
      <w:r w:rsidR="00365515">
        <w:t xml:space="preserve"> (see section</w:t>
      </w:r>
      <w:r w:rsidR="005426A3">
        <w:t> </w:t>
      </w:r>
      <w:r w:rsidR="00365515">
        <w:fldChar w:fldCharType="begin"/>
      </w:r>
      <w:r w:rsidR="00365515">
        <w:instrText xml:space="preserve"> REF _Ref5618419 \r \h </w:instrText>
      </w:r>
      <w:r w:rsidR="00365515">
        <w:fldChar w:fldCharType="separate"/>
      </w:r>
      <w:r w:rsidR="00DA520D">
        <w:t>3.17</w:t>
      </w:r>
      <w:r w:rsidR="00365515">
        <w:fldChar w:fldCharType="end"/>
      </w:r>
      <w:r w:rsidR="00365515">
        <w:t>)</w:t>
      </w:r>
      <w:r w:rsidR="004931AB" w:rsidRPr="0082254E">
        <w:t>. The committee concluded that</w:t>
      </w:r>
      <w:r w:rsidR="00E46F55">
        <w:t>,</w:t>
      </w:r>
      <w:r w:rsidR="004931AB" w:rsidRPr="0082254E">
        <w:t xml:space="preserve"> </w:t>
      </w:r>
      <w:r w:rsidR="00ED1C29" w:rsidRPr="0082254E">
        <w:t>because</w:t>
      </w:r>
      <w:r w:rsidR="001B1180" w:rsidRPr="0082254E">
        <w:t xml:space="preserve"> </w:t>
      </w:r>
      <w:r w:rsidR="004931AB" w:rsidRPr="0082254E">
        <w:t xml:space="preserve">the </w:t>
      </w:r>
      <w:r w:rsidR="00ED1C29" w:rsidRPr="0082254E">
        <w:t>modelling assumptions</w:t>
      </w:r>
      <w:r w:rsidR="006965FC" w:rsidRPr="0082254E">
        <w:t xml:space="preserve"> were</w:t>
      </w:r>
      <w:r w:rsidR="00ED1C29" w:rsidRPr="0082254E">
        <w:t xml:space="preserve"> unsupported by </w:t>
      </w:r>
      <w:r w:rsidR="004F082E" w:rsidRPr="0082254E">
        <w:t>robust</w:t>
      </w:r>
      <w:r w:rsidR="00ED1C29" w:rsidRPr="0082254E">
        <w:t xml:space="preserve"> evidence,</w:t>
      </w:r>
      <w:r w:rsidR="001B1180" w:rsidRPr="0082254E">
        <w:t xml:space="preserve"> </w:t>
      </w:r>
      <w:r w:rsidR="004931AB" w:rsidRPr="0082254E">
        <w:t xml:space="preserve">it could not recommend </w:t>
      </w:r>
      <w:r w:rsidR="00E46F55">
        <w:t xml:space="preserve">sodium </w:t>
      </w:r>
      <w:r w:rsidR="00E46F55">
        <w:lastRenderedPageBreak/>
        <w:t>zirconium cyclosilicate</w:t>
      </w:r>
      <w:r w:rsidR="00E46F55" w:rsidRPr="0082254E">
        <w:t xml:space="preserve"> </w:t>
      </w:r>
      <w:r w:rsidR="004931AB" w:rsidRPr="0082254E">
        <w:t>for people with</w:t>
      </w:r>
      <w:r w:rsidR="00370175">
        <w:t xml:space="preserve"> chronic</w:t>
      </w:r>
      <w:r w:rsidR="004931AB" w:rsidRPr="0082254E">
        <w:t xml:space="preserve"> hyperkalaemia in the </w:t>
      </w:r>
      <w:r w:rsidR="00370175">
        <w:t>outpatient</w:t>
      </w:r>
      <w:r w:rsidR="00370175" w:rsidRPr="0082254E">
        <w:t xml:space="preserve"> </w:t>
      </w:r>
      <w:r w:rsidR="004931AB" w:rsidRPr="0082254E">
        <w:t>setting.</w:t>
      </w:r>
    </w:p>
    <w:p w14:paraId="5F64FA06" w14:textId="4195F186" w:rsidR="004D24E5" w:rsidRPr="0082254E" w:rsidRDefault="00951B04" w:rsidP="001A4757">
      <w:pPr>
        <w:pStyle w:val="Heading2"/>
      </w:pPr>
      <w:r w:rsidRPr="0082254E">
        <w:t>Innovation</w:t>
      </w:r>
    </w:p>
    <w:p w14:paraId="3616E637" w14:textId="312AD7E5" w:rsidR="00D93F04" w:rsidRPr="0082254E" w:rsidRDefault="00D93F04" w:rsidP="00D93F04">
      <w:pPr>
        <w:pStyle w:val="Heading3"/>
      </w:pPr>
      <w:r w:rsidRPr="0082254E">
        <w:t>The</w:t>
      </w:r>
      <w:r w:rsidR="007377A9" w:rsidRPr="0082254E">
        <w:t xml:space="preserve"> company has not </w:t>
      </w:r>
      <w:r w:rsidR="00F40472" w:rsidRPr="0082254E">
        <w:t xml:space="preserve">shown </w:t>
      </w:r>
      <w:r w:rsidR="007377A9" w:rsidRPr="0082254E">
        <w:t>that sodium zirconium cyclosilicate is</w:t>
      </w:r>
      <w:r w:rsidRPr="0082254E">
        <w:t xml:space="preserve"> innovative</w:t>
      </w:r>
    </w:p>
    <w:p w14:paraId="6548D554" w14:textId="13EFC59F" w:rsidR="00030B8A" w:rsidRDefault="00D93F04" w:rsidP="00611951">
      <w:pPr>
        <w:pStyle w:val="Numberedlevel2text"/>
        <w:rPr>
          <w:lang w:val="en-GB"/>
        </w:rPr>
      </w:pPr>
      <w:r w:rsidRPr="0082254E">
        <w:rPr>
          <w:lang w:val="en-GB"/>
        </w:rPr>
        <w:t xml:space="preserve">The company </w:t>
      </w:r>
      <w:r w:rsidR="00951B04" w:rsidRPr="0082254E">
        <w:rPr>
          <w:lang w:val="en-GB"/>
        </w:rPr>
        <w:t>proposed several</w:t>
      </w:r>
      <w:r w:rsidRPr="0082254E">
        <w:rPr>
          <w:lang w:val="en-GB"/>
        </w:rPr>
        <w:t xml:space="preserve"> benefits of sodium zirconium cyclosilicate</w:t>
      </w:r>
      <w:r w:rsidR="00951B04" w:rsidRPr="0082254E">
        <w:rPr>
          <w:lang w:val="en-GB"/>
        </w:rPr>
        <w:t>,</w:t>
      </w:r>
      <w:r w:rsidRPr="0082254E">
        <w:rPr>
          <w:lang w:val="en-GB"/>
        </w:rPr>
        <w:t xml:space="preserve"> including preventing the need to modify RAAS</w:t>
      </w:r>
      <w:r w:rsidR="00CD21F9" w:rsidRPr="0082254E">
        <w:rPr>
          <w:lang w:val="en-GB"/>
        </w:rPr>
        <w:t xml:space="preserve"> inhibitor </w:t>
      </w:r>
      <w:r w:rsidRPr="0082254E">
        <w:rPr>
          <w:lang w:val="en-GB"/>
        </w:rPr>
        <w:t xml:space="preserve">treatment and </w:t>
      </w:r>
      <w:r w:rsidR="00CB1D37" w:rsidRPr="0082254E">
        <w:rPr>
          <w:lang w:val="en-GB"/>
        </w:rPr>
        <w:t xml:space="preserve">avoiding </w:t>
      </w:r>
      <w:r w:rsidRPr="0082254E">
        <w:rPr>
          <w:lang w:val="en-GB"/>
        </w:rPr>
        <w:t>a restrictive low-potassium diet.</w:t>
      </w:r>
      <w:r w:rsidR="001B1180" w:rsidRPr="0082254E">
        <w:rPr>
          <w:lang w:val="en-GB"/>
        </w:rPr>
        <w:t xml:space="preserve"> </w:t>
      </w:r>
      <w:r w:rsidR="00873E03" w:rsidRPr="0082254E">
        <w:rPr>
          <w:lang w:val="en-GB"/>
        </w:rPr>
        <w:t xml:space="preserve">The committee recalled that </w:t>
      </w:r>
      <w:r w:rsidR="000D4286">
        <w:rPr>
          <w:lang w:val="en-GB"/>
        </w:rPr>
        <w:t>people</w:t>
      </w:r>
      <w:r w:rsidR="00873E03" w:rsidRPr="0082254E">
        <w:rPr>
          <w:lang w:val="en-GB"/>
        </w:rPr>
        <w:t xml:space="preserve"> would still need to avoid dietary potassium.</w:t>
      </w:r>
      <w:r w:rsidR="001B1180" w:rsidRPr="0082254E">
        <w:rPr>
          <w:lang w:val="en-GB"/>
        </w:rPr>
        <w:t xml:space="preserve"> </w:t>
      </w:r>
      <w:r w:rsidR="00512D4F" w:rsidRPr="0082254E">
        <w:rPr>
          <w:lang w:val="en-GB"/>
        </w:rPr>
        <w:t>The p</w:t>
      </w:r>
      <w:r w:rsidRPr="0082254E">
        <w:rPr>
          <w:lang w:val="en-GB"/>
        </w:rPr>
        <w:t>atient experts stated that</w:t>
      </w:r>
      <w:r w:rsidR="008770D7">
        <w:rPr>
          <w:lang w:val="en-GB"/>
        </w:rPr>
        <w:t>,</w:t>
      </w:r>
      <w:r w:rsidRPr="0082254E">
        <w:rPr>
          <w:lang w:val="en-GB"/>
        </w:rPr>
        <w:t xml:space="preserve"> </w:t>
      </w:r>
      <w:r w:rsidR="00951B04" w:rsidRPr="0082254E">
        <w:rPr>
          <w:lang w:val="en-GB"/>
        </w:rPr>
        <w:t xml:space="preserve">if </w:t>
      </w:r>
      <w:r w:rsidR="00094E1E" w:rsidRPr="0082254E">
        <w:rPr>
          <w:lang w:val="en-GB"/>
        </w:rPr>
        <w:t xml:space="preserve">the company </w:t>
      </w:r>
      <w:r w:rsidR="00951B04" w:rsidRPr="0082254E">
        <w:rPr>
          <w:lang w:val="en-GB"/>
        </w:rPr>
        <w:t xml:space="preserve">had shown evidence for </w:t>
      </w:r>
      <w:r w:rsidR="00094E1E" w:rsidRPr="0082254E">
        <w:rPr>
          <w:lang w:val="en-GB"/>
        </w:rPr>
        <w:t>these benefits</w:t>
      </w:r>
      <w:r w:rsidR="00951B04" w:rsidRPr="0082254E">
        <w:rPr>
          <w:lang w:val="en-GB"/>
        </w:rPr>
        <w:t>, then</w:t>
      </w:r>
      <w:r w:rsidR="00094E1E" w:rsidRPr="0082254E">
        <w:rPr>
          <w:lang w:val="en-GB"/>
        </w:rPr>
        <w:t xml:space="preserve"> </w:t>
      </w:r>
      <w:r w:rsidRPr="0082254E">
        <w:rPr>
          <w:lang w:val="en-GB"/>
        </w:rPr>
        <w:t xml:space="preserve">sodium zirconium cyclosilicate would be innovative. </w:t>
      </w:r>
      <w:r w:rsidR="00873E03" w:rsidRPr="0082254E">
        <w:rPr>
          <w:lang w:val="en-GB"/>
        </w:rPr>
        <w:t xml:space="preserve">The committee was aware that other gastrointestinal potassium binders exist and, although </w:t>
      </w:r>
      <w:r w:rsidR="008770D7">
        <w:rPr>
          <w:lang w:val="en-GB"/>
        </w:rPr>
        <w:t xml:space="preserve">these are </w:t>
      </w:r>
      <w:r w:rsidR="00873E03" w:rsidRPr="0082254E">
        <w:rPr>
          <w:lang w:val="en-GB"/>
        </w:rPr>
        <w:t>not well</w:t>
      </w:r>
      <w:r w:rsidR="008770D7">
        <w:rPr>
          <w:lang w:val="en-GB"/>
        </w:rPr>
        <w:t xml:space="preserve"> </w:t>
      </w:r>
      <w:r w:rsidR="00873E03" w:rsidRPr="0082254E">
        <w:rPr>
          <w:lang w:val="en-GB"/>
        </w:rPr>
        <w:t>tolerated,</w:t>
      </w:r>
      <w:r w:rsidR="001B1180" w:rsidRPr="0082254E">
        <w:rPr>
          <w:lang w:val="en-GB"/>
        </w:rPr>
        <w:t xml:space="preserve"> </w:t>
      </w:r>
      <w:r w:rsidR="00873E03" w:rsidRPr="0082254E">
        <w:rPr>
          <w:lang w:val="en-GB"/>
        </w:rPr>
        <w:t>sodium zirconium cyclosilicate does not represent a step-change in treatment.</w:t>
      </w:r>
      <w:r w:rsidR="001B1180" w:rsidRPr="0082254E">
        <w:rPr>
          <w:lang w:val="en-GB"/>
        </w:rPr>
        <w:t xml:space="preserve"> </w:t>
      </w:r>
      <w:r w:rsidRPr="0082254E">
        <w:rPr>
          <w:lang w:val="en-GB"/>
        </w:rPr>
        <w:t>The committee concluded</w:t>
      </w:r>
      <w:r w:rsidR="00951B04" w:rsidRPr="0082254E">
        <w:rPr>
          <w:lang w:val="en-GB"/>
        </w:rPr>
        <w:t xml:space="preserve">, </w:t>
      </w:r>
      <w:r w:rsidR="002B20B5" w:rsidRPr="0082254E">
        <w:rPr>
          <w:lang w:val="en-GB"/>
        </w:rPr>
        <w:t>sodium zirconium cyclosilicate could not be considered innovative.</w:t>
      </w:r>
    </w:p>
    <w:p w14:paraId="4CBBDFF4" w14:textId="4712C06A" w:rsidR="00DC7F4B" w:rsidRDefault="00142160" w:rsidP="00DC7F4B">
      <w:pPr>
        <w:pStyle w:val="Numberedheading1"/>
      </w:pPr>
      <w:r>
        <w:t>Implementation</w:t>
      </w:r>
    </w:p>
    <w:p w14:paraId="2F239D24" w14:textId="21BDA58C" w:rsidR="007A6459" w:rsidRPr="00142160" w:rsidRDefault="007A6459" w:rsidP="007A6459">
      <w:pPr>
        <w:pStyle w:val="Numberedlevel2text"/>
        <w:rPr>
          <w:lang w:eastAsia="en-GB"/>
        </w:rPr>
      </w:pPr>
      <w:r w:rsidRPr="00142160">
        <w:t>Section 7(6) of the </w:t>
      </w:r>
      <w:hyperlink r:id="rId14" w:tgtFrame="_top" w:history="1">
        <w:r w:rsidRPr="00142160">
          <w:rPr>
            <w:rStyle w:val="Hyperlink"/>
            <w:bCs w:val="0"/>
            <w:iCs w:val="0"/>
            <w:color w:val="0E0E0E"/>
            <w:u w:val="none"/>
          </w:rPr>
          <w:t>National Institute for Health and Care Excellence (Constitution and Functions) and the Health and Social Care Information Centre (Functions) Regulations 2013</w:t>
        </w:r>
      </w:hyperlink>
      <w:r w:rsidRPr="00142160">
        <w:t> requires clinical commissioning groups, NHS England and, with respect to their public health functions, local authorities to comply with the recommendations in this appraisal within 3 months of its date of publication.</w:t>
      </w:r>
    </w:p>
    <w:p w14:paraId="04503DE1" w14:textId="77777777" w:rsidR="007A6459" w:rsidRPr="00142160" w:rsidRDefault="007A6459" w:rsidP="007A6459">
      <w:pPr>
        <w:pStyle w:val="Numberedlevel2text"/>
      </w:pPr>
      <w:r w:rsidRPr="00142160">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356C833E" w14:textId="7730390E" w:rsidR="007A6459" w:rsidRPr="005579A8" w:rsidRDefault="007A6459" w:rsidP="006C0146">
      <w:pPr>
        <w:pStyle w:val="Numberedlevel2text"/>
      </w:pPr>
      <w:r w:rsidRPr="007A6459">
        <w:lastRenderedPageBreak/>
        <w:t xml:space="preserve">When NICE recommends a treatment 'as an option', the NHS must make sure it is available within the period set out in the paragraphs above. This means that, if a patient has </w:t>
      </w:r>
      <w:r w:rsidRPr="006C0146">
        <w:rPr>
          <w:lang w:val="en-US"/>
        </w:rPr>
        <w:t>hyperkalaemia</w:t>
      </w:r>
      <w:r w:rsidRPr="007A6459">
        <w:t xml:space="preserve"> and the doctor responsible for their care thinks that </w:t>
      </w:r>
      <w:r w:rsidRPr="006C0146">
        <w:rPr>
          <w:lang w:val="en-US"/>
        </w:rPr>
        <w:t>sodium zirconium cyclosilicate</w:t>
      </w:r>
      <w:r w:rsidRPr="007A6459">
        <w:t xml:space="preserve"> is the right treatment, it should be available for use, in line with NICE's recommendations.</w:t>
      </w:r>
    </w:p>
    <w:p w14:paraId="559D474B" w14:textId="77777777" w:rsidR="007D7F83" w:rsidRPr="0082254E" w:rsidRDefault="007D7F83" w:rsidP="001A656A">
      <w:pPr>
        <w:pStyle w:val="Numberedheading1"/>
        <w:rPr>
          <w:lang w:val="en-GB"/>
        </w:rPr>
      </w:pPr>
      <w:r w:rsidRPr="0082254E">
        <w:rPr>
          <w:lang w:val="en-GB"/>
        </w:rPr>
        <w:t>Proposed date for review of guidance</w:t>
      </w:r>
    </w:p>
    <w:p w14:paraId="05500BDA" w14:textId="41B08309" w:rsidR="006F3CE4" w:rsidRPr="0082254E" w:rsidRDefault="002D3488" w:rsidP="00F331D4">
      <w:pPr>
        <w:pStyle w:val="Numberedlevel2text"/>
        <w:rPr>
          <w:lang w:val="en-GB"/>
        </w:rPr>
      </w:pPr>
      <w:r w:rsidRPr="0082254E">
        <w:rPr>
          <w:lang w:val="en-GB"/>
        </w:rPr>
        <w:t>NICE proposes that the guidance on this technology is considered for review</w:t>
      </w:r>
      <w:r w:rsidR="000345D3" w:rsidRPr="0082254E">
        <w:rPr>
          <w:lang w:val="en-GB"/>
        </w:rPr>
        <w:t xml:space="preserve"> by the </w:t>
      </w:r>
      <w:r w:rsidR="006E210A" w:rsidRPr="0082254E">
        <w:rPr>
          <w:lang w:val="en-GB"/>
        </w:rPr>
        <w:t>g</w:t>
      </w:r>
      <w:r w:rsidR="000345D3" w:rsidRPr="0082254E">
        <w:rPr>
          <w:lang w:val="en-GB"/>
        </w:rPr>
        <w:t xml:space="preserve">uidance </w:t>
      </w:r>
      <w:r w:rsidR="006E210A" w:rsidRPr="0082254E">
        <w:rPr>
          <w:lang w:val="en-GB"/>
        </w:rPr>
        <w:t>e</w:t>
      </w:r>
      <w:r w:rsidR="000345D3" w:rsidRPr="0082254E">
        <w:rPr>
          <w:lang w:val="en-GB"/>
        </w:rPr>
        <w:t>xecutive</w:t>
      </w:r>
      <w:r w:rsidR="0009093E" w:rsidRPr="0082254E">
        <w:rPr>
          <w:lang w:val="en-GB"/>
        </w:rPr>
        <w:t xml:space="preserve"> 3</w:t>
      </w:r>
      <w:r w:rsidR="00106F4F" w:rsidRPr="0082254E">
        <w:rPr>
          <w:lang w:val="en-GB"/>
        </w:rPr>
        <w:t> </w:t>
      </w:r>
      <w:r w:rsidR="0009093E" w:rsidRPr="0082254E">
        <w:rPr>
          <w:lang w:val="en-GB"/>
        </w:rPr>
        <w:t>years after publication of the guidance</w:t>
      </w:r>
      <w:r w:rsidRPr="0082254E">
        <w:rPr>
          <w:lang w:val="en-GB"/>
        </w:rPr>
        <w:t xml:space="preserve">. NICE welcomes comment on this proposed date. </w:t>
      </w:r>
      <w:r w:rsidR="000345D3" w:rsidRPr="0082254E">
        <w:rPr>
          <w:lang w:val="en-GB"/>
        </w:rPr>
        <w:t>T</w:t>
      </w:r>
      <w:r w:rsidRPr="0082254E">
        <w:rPr>
          <w:lang w:val="en-GB"/>
        </w:rPr>
        <w:t xml:space="preserve">he </w:t>
      </w:r>
      <w:r w:rsidR="006E210A" w:rsidRPr="0082254E">
        <w:rPr>
          <w:lang w:val="en-GB"/>
        </w:rPr>
        <w:t>g</w:t>
      </w:r>
      <w:r w:rsidRPr="0082254E">
        <w:rPr>
          <w:lang w:val="en-GB"/>
        </w:rPr>
        <w:t xml:space="preserve">uidance </w:t>
      </w:r>
      <w:r w:rsidR="006E210A" w:rsidRPr="0082254E">
        <w:rPr>
          <w:lang w:val="en-GB"/>
        </w:rPr>
        <w:t>e</w:t>
      </w:r>
      <w:r w:rsidRPr="0082254E">
        <w:rPr>
          <w:lang w:val="en-GB"/>
        </w:rPr>
        <w:t xml:space="preserve">xecutive will </w:t>
      </w:r>
      <w:r w:rsidR="000345D3" w:rsidRPr="0082254E">
        <w:rPr>
          <w:lang w:val="en-GB"/>
        </w:rPr>
        <w:t xml:space="preserve">decide </w:t>
      </w:r>
      <w:r w:rsidRPr="0082254E">
        <w:rPr>
          <w:lang w:val="en-GB"/>
        </w:rPr>
        <w:t>whether the technology should be reviewed</w:t>
      </w:r>
      <w:r w:rsidR="000345D3" w:rsidRPr="0082254E">
        <w:rPr>
          <w:lang w:val="en-GB"/>
        </w:rPr>
        <w:t xml:space="preserve"> based on </w:t>
      </w:r>
      <w:r w:rsidRPr="0082254E">
        <w:rPr>
          <w:lang w:val="en-GB"/>
        </w:rPr>
        <w:t>information gathered by NICE, and in consultation with consultees and commentators.</w:t>
      </w:r>
    </w:p>
    <w:p w14:paraId="30DF7462" w14:textId="5467CB6F" w:rsidR="00685B52" w:rsidRPr="0082254E" w:rsidRDefault="00FF5CD0" w:rsidP="00685B52">
      <w:pPr>
        <w:pStyle w:val="NICEnormal"/>
      </w:pPr>
      <w:r w:rsidRPr="0082254E">
        <w:t>Amanda Adler</w:t>
      </w:r>
      <w:r w:rsidR="00685B52" w:rsidRPr="0082254E">
        <w:br/>
        <w:t xml:space="preserve">Chair, </w:t>
      </w:r>
      <w:r w:rsidR="00AF6138" w:rsidRPr="0082254E">
        <w:t>A</w:t>
      </w:r>
      <w:r w:rsidR="00685B52" w:rsidRPr="0082254E">
        <w:t xml:space="preserve">ppraisal </w:t>
      </w:r>
      <w:r w:rsidR="00AF6138" w:rsidRPr="0082254E">
        <w:t>C</w:t>
      </w:r>
      <w:r w:rsidR="00685B52" w:rsidRPr="0082254E">
        <w:t>ommittee</w:t>
      </w:r>
      <w:r w:rsidR="00685B52" w:rsidRPr="0082254E">
        <w:br/>
      </w:r>
      <w:r w:rsidR="00892F74" w:rsidRPr="0082254E">
        <w:t xml:space="preserve">April </w:t>
      </w:r>
      <w:r w:rsidRPr="0082254E">
        <w:t>201</w:t>
      </w:r>
      <w:r w:rsidR="00892F74" w:rsidRPr="0082254E">
        <w:t>9</w:t>
      </w:r>
    </w:p>
    <w:p w14:paraId="0780ABDF" w14:textId="77777777" w:rsidR="006E210A" w:rsidRPr="0082254E" w:rsidRDefault="006E210A" w:rsidP="001A656A">
      <w:pPr>
        <w:pStyle w:val="Numberedheading1"/>
        <w:rPr>
          <w:lang w:val="en-GB"/>
        </w:rPr>
      </w:pPr>
      <w:r w:rsidRPr="0082254E">
        <w:rPr>
          <w:lang w:val="en-GB"/>
        </w:rPr>
        <w:t>Appraisal committee members and NICE project team</w:t>
      </w:r>
    </w:p>
    <w:p w14:paraId="6E4E3C70" w14:textId="77777777" w:rsidR="006E210A" w:rsidRPr="0082254E" w:rsidRDefault="006E210A" w:rsidP="006E210A">
      <w:pPr>
        <w:pStyle w:val="Heading2"/>
      </w:pPr>
      <w:r w:rsidRPr="0082254E">
        <w:t>Appraisal committee members</w:t>
      </w:r>
    </w:p>
    <w:p w14:paraId="4A7177E4" w14:textId="0384C33B" w:rsidR="007366FA" w:rsidRPr="0082254E" w:rsidRDefault="004C1E23" w:rsidP="004C1E23">
      <w:pPr>
        <w:pStyle w:val="NICEnormal"/>
      </w:pPr>
      <w:r w:rsidRPr="0082254E">
        <w:t>The 4</w:t>
      </w:r>
      <w:r w:rsidR="00951B04" w:rsidRPr="0082254E">
        <w:t> </w:t>
      </w:r>
      <w:r w:rsidRPr="0082254E">
        <w:t xml:space="preserve">technology appraisal committees are standing advisory committees of NICE. This topic was considered by </w:t>
      </w:r>
      <w:hyperlink r:id="rId15" w:history="1">
        <w:r w:rsidRPr="0082254E">
          <w:rPr>
            <w:rStyle w:val="Hyperlink"/>
            <w:rFonts w:eastAsia="Calibri"/>
          </w:rPr>
          <w:t xml:space="preserve">committee </w:t>
        </w:r>
        <w:r w:rsidR="00951B04" w:rsidRPr="0082254E">
          <w:rPr>
            <w:rStyle w:val="Hyperlink"/>
            <w:rFonts w:eastAsia="Calibri"/>
          </w:rPr>
          <w:t>B</w:t>
        </w:r>
      </w:hyperlink>
      <w:r w:rsidRPr="0082254E">
        <w:t>.</w:t>
      </w:r>
    </w:p>
    <w:p w14:paraId="7E11528C" w14:textId="77777777" w:rsidR="004C1E23" w:rsidRPr="0082254E" w:rsidRDefault="004C1E23" w:rsidP="004C1E23">
      <w:pPr>
        <w:pStyle w:val="NICEnormal"/>
      </w:pPr>
      <w:r w:rsidRPr="0082254E">
        <w:t xml:space="preserve">Committee members are asked to declare any interests in the technology to be appraised. If it is considered there is a conflict of interest, the member is excluded from participating further in that appraisal. </w:t>
      </w:r>
    </w:p>
    <w:p w14:paraId="7998B433" w14:textId="174259F8" w:rsidR="004C1E23" w:rsidRPr="0082254E" w:rsidRDefault="004C1E23" w:rsidP="004C1E23">
      <w:pPr>
        <w:pStyle w:val="NICEnormal"/>
      </w:pPr>
      <w:r w:rsidRPr="0082254E">
        <w:t xml:space="preserve">The </w:t>
      </w:r>
      <w:hyperlink r:id="rId16" w:history="1">
        <w:r w:rsidRPr="0082254E">
          <w:rPr>
            <w:rStyle w:val="Hyperlink"/>
            <w:rFonts w:eastAsia="Calibri"/>
          </w:rPr>
          <w:t>minutes</w:t>
        </w:r>
      </w:hyperlink>
      <w:r w:rsidRPr="0082254E">
        <w:t xml:space="preserve"> of each appraisal committee meeting, which include the names of the members who attended and their declarations of interests, are posted on the NICE website.</w:t>
      </w:r>
    </w:p>
    <w:p w14:paraId="28DB40E8" w14:textId="77777777" w:rsidR="006E210A" w:rsidRPr="0082254E" w:rsidRDefault="006E210A" w:rsidP="006E210A">
      <w:pPr>
        <w:pStyle w:val="Heading2"/>
      </w:pPr>
      <w:r w:rsidRPr="0082254E">
        <w:lastRenderedPageBreak/>
        <w:t>NICE project team</w:t>
      </w:r>
    </w:p>
    <w:p w14:paraId="7E55BFB2" w14:textId="7540B035" w:rsidR="006E210A" w:rsidRPr="0082254E" w:rsidRDefault="006E210A" w:rsidP="006E210A">
      <w:pPr>
        <w:pStyle w:val="NICEnormal"/>
      </w:pPr>
      <w:r w:rsidRPr="0082254E">
        <w:t>Each technology appraisal is assigned to a team consisting of 1</w:t>
      </w:r>
      <w:r w:rsidR="00951B04" w:rsidRPr="0082254E">
        <w:t> </w:t>
      </w:r>
      <w:r w:rsidRPr="0082254E">
        <w:t>or more health technology analysts (who act as technical leads for the appraisal), a technical adviser and a project manager.</w:t>
      </w:r>
    </w:p>
    <w:p w14:paraId="3AA81171" w14:textId="70D2A3B9" w:rsidR="006E210A" w:rsidRPr="0082254E" w:rsidRDefault="00BF3BDA" w:rsidP="006E210A">
      <w:pPr>
        <w:pStyle w:val="NICEnormal"/>
      </w:pPr>
      <w:bookmarkStart w:id="15" w:name="Text45"/>
      <w:r w:rsidRPr="0082254E">
        <w:rPr>
          <w:b/>
        </w:rPr>
        <w:t>Mary Hughes</w:t>
      </w:r>
      <w:r w:rsidR="00892F74" w:rsidRPr="0082254E">
        <w:rPr>
          <w:b/>
        </w:rPr>
        <w:t>, Alan Lamb</w:t>
      </w:r>
      <w:r w:rsidR="006E210A" w:rsidRPr="0082254E">
        <w:br/>
      </w:r>
      <w:r w:rsidRPr="0082254E">
        <w:t>Technical Lead</w:t>
      </w:r>
      <w:r w:rsidR="00892F74" w:rsidRPr="0082254E">
        <w:t>s</w:t>
      </w:r>
    </w:p>
    <w:p w14:paraId="5CB1E69A" w14:textId="023902F7" w:rsidR="006E210A" w:rsidRPr="0082254E" w:rsidRDefault="00BF3BDA" w:rsidP="006E210A">
      <w:pPr>
        <w:pStyle w:val="NICEnormal"/>
      </w:pPr>
      <w:r w:rsidRPr="0082254E">
        <w:rPr>
          <w:b/>
        </w:rPr>
        <w:t>Ross Dent</w:t>
      </w:r>
      <w:r w:rsidR="006E210A" w:rsidRPr="0082254E">
        <w:br/>
        <w:t>Technical Adviser</w:t>
      </w:r>
    </w:p>
    <w:p w14:paraId="2FE897E2" w14:textId="30FDCAC2" w:rsidR="006E210A" w:rsidRPr="0082254E" w:rsidRDefault="00BF3BDA" w:rsidP="006E210A">
      <w:pPr>
        <w:pStyle w:val="NICEnormal"/>
      </w:pPr>
      <w:r w:rsidRPr="0082254E">
        <w:rPr>
          <w:b/>
        </w:rPr>
        <w:t>Jeremy Powell</w:t>
      </w:r>
      <w:r w:rsidR="006E210A" w:rsidRPr="0082254E">
        <w:br/>
        <w:t>Project Manager</w:t>
      </w:r>
    </w:p>
    <w:bookmarkEnd w:id="15"/>
    <w:p w14:paraId="09178F33" w14:textId="77777777" w:rsidR="001C0F06" w:rsidRPr="0082254E" w:rsidRDefault="006E210A" w:rsidP="006E210A">
      <w:pPr>
        <w:pStyle w:val="NICEnormal"/>
      </w:pPr>
      <w:r w:rsidRPr="0082254E">
        <w:t xml:space="preserve">ISBN: </w:t>
      </w:r>
      <w:r w:rsidRPr="0082254E">
        <w:rPr>
          <w:highlight w:val="green"/>
        </w:rPr>
        <w:t>[to be added at publication]</w:t>
      </w:r>
    </w:p>
    <w:sectPr w:rsidR="001C0F06" w:rsidRPr="0082254E" w:rsidSect="00C877B8">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79BE1" w14:textId="77777777" w:rsidR="00A50B06" w:rsidRDefault="00A50B06">
      <w:r>
        <w:separator/>
      </w:r>
    </w:p>
  </w:endnote>
  <w:endnote w:type="continuationSeparator" w:id="0">
    <w:p w14:paraId="584C2248" w14:textId="77777777" w:rsidR="00A50B06" w:rsidRDefault="00A5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E5D8" w14:textId="231ECC58" w:rsidR="00A50B06" w:rsidRPr="003D33FB" w:rsidRDefault="00A50B06" w:rsidP="000A18C7">
    <w:pPr>
      <w:pStyle w:val="NICEnormalsinglespacing"/>
      <w:spacing w:after="120"/>
      <w:rPr>
        <w:sz w:val="18"/>
        <w:szCs w:val="18"/>
      </w:rPr>
    </w:pPr>
    <w:r>
      <w:rPr>
        <w:sz w:val="18"/>
        <w:szCs w:val="18"/>
      </w:rPr>
      <w:t xml:space="preserve">Appraisal consultation document – sodium zirconium cyclosilicate for treating hyperkalaemia                      </w:t>
    </w:r>
    <w:r>
      <w:rPr>
        <w:sz w:val="18"/>
        <w:szCs w:val="18"/>
      </w:rPr>
      <w:tab/>
    </w:r>
    <w:r>
      <w:rPr>
        <w:sz w:val="18"/>
        <w:szCs w:val="18"/>
      </w:rPr>
      <w:tab/>
    </w:r>
    <w:r>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00BF7CCB" w14:textId="3451979C" w:rsidR="00A50B06" w:rsidRDefault="00A50B06" w:rsidP="000A18C7">
    <w:pPr>
      <w:pStyle w:val="NICEnormalsinglespacing"/>
      <w:spacing w:after="120"/>
      <w:rPr>
        <w:sz w:val="18"/>
        <w:szCs w:val="18"/>
      </w:rPr>
    </w:pPr>
    <w:r>
      <w:rPr>
        <w:sz w:val="18"/>
        <w:szCs w:val="18"/>
      </w:rPr>
      <w:t>Issue date: April 2019</w:t>
    </w:r>
  </w:p>
  <w:p w14:paraId="4D232BD2" w14:textId="6F25EA5F" w:rsidR="00A50B06" w:rsidRDefault="00A50B06" w:rsidP="000A18C7">
    <w:pPr>
      <w:pStyle w:val="NICEnormalsinglespacing"/>
      <w:spacing w:after="120"/>
    </w:pPr>
    <w:r>
      <w:rPr>
        <w:sz w:val="18"/>
        <w:szCs w:val="18"/>
      </w:rPr>
      <w:t xml:space="preserve">© NICE 2018.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220C" w14:textId="77777777" w:rsidR="00A50B06" w:rsidRDefault="00A50B06">
      <w:r>
        <w:separator/>
      </w:r>
    </w:p>
  </w:footnote>
  <w:footnote w:type="continuationSeparator" w:id="0">
    <w:p w14:paraId="004BDBC4" w14:textId="77777777" w:rsidR="00A50B06" w:rsidRDefault="00A5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908F" w14:textId="77777777" w:rsidR="00A50B06" w:rsidRPr="006446B7" w:rsidRDefault="00A50B06" w:rsidP="006446B7">
    <w:pPr>
      <w:pStyle w:val="Header"/>
      <w:jc w:val="right"/>
      <w:rPr>
        <w:b/>
      </w:rPr>
    </w:pPr>
    <w:r w:rsidRPr="006446B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2784518"/>
    <w:multiLevelType w:val="hybridMultilevel"/>
    <w:tmpl w:val="DA488B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5574E0"/>
    <w:multiLevelType w:val="hybridMultilevel"/>
    <w:tmpl w:val="5EA458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909E3"/>
    <w:multiLevelType w:val="hybridMultilevel"/>
    <w:tmpl w:val="49B29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22EAC1B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72031D"/>
    <w:multiLevelType w:val="hybridMultilevel"/>
    <w:tmpl w:val="3C8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504698"/>
    <w:multiLevelType w:val="hybridMultilevel"/>
    <w:tmpl w:val="6DF0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
  </w:num>
  <w:num w:numId="3">
    <w:abstractNumId w:val="20"/>
  </w:num>
  <w:num w:numId="4">
    <w:abstractNumId w:val="3"/>
  </w:num>
  <w:num w:numId="5">
    <w:abstractNumId w:val="14"/>
  </w:num>
  <w:num w:numId="6">
    <w:abstractNumId w:val="15"/>
  </w:num>
  <w:num w:numId="7">
    <w:abstractNumId w:val="0"/>
  </w:num>
  <w:num w:numId="8">
    <w:abstractNumId w:val="3"/>
  </w:num>
  <w:num w:numId="9">
    <w:abstractNumId w:val="5"/>
  </w:num>
  <w:num w:numId="10">
    <w:abstractNumId w:val="7"/>
  </w:num>
  <w:num w:numId="11">
    <w:abstractNumId w:val="8"/>
  </w:num>
  <w:num w:numId="12">
    <w:abstractNumId w:val="16"/>
  </w:num>
  <w:num w:numId="13">
    <w:abstractNumId w:val="18"/>
  </w:num>
  <w:num w:numId="14">
    <w:abstractNumId w:val="21"/>
  </w:num>
  <w:num w:numId="15">
    <w:abstractNumId w:val="9"/>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7"/>
  </w:num>
  <w:num w:numId="22">
    <w:abstractNumId w:val="10"/>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6"/>
  </w:num>
  <w:num w:numId="29">
    <w:abstractNumId w:val="12"/>
  </w:num>
  <w:num w:numId="30">
    <w:abstractNumId w:val="4"/>
  </w:num>
  <w:num w:numId="3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BD"/>
    <w:rsid w:val="00000574"/>
    <w:rsid w:val="00001518"/>
    <w:rsid w:val="0000400B"/>
    <w:rsid w:val="000043A7"/>
    <w:rsid w:val="0000588E"/>
    <w:rsid w:val="000061DF"/>
    <w:rsid w:val="00007E4A"/>
    <w:rsid w:val="00007E4E"/>
    <w:rsid w:val="000112D2"/>
    <w:rsid w:val="000119FB"/>
    <w:rsid w:val="00011F62"/>
    <w:rsid w:val="00012E76"/>
    <w:rsid w:val="00014F51"/>
    <w:rsid w:val="00017DBB"/>
    <w:rsid w:val="000204E3"/>
    <w:rsid w:val="000210CB"/>
    <w:rsid w:val="00021857"/>
    <w:rsid w:val="00021B49"/>
    <w:rsid w:val="000254A0"/>
    <w:rsid w:val="00026A14"/>
    <w:rsid w:val="00027944"/>
    <w:rsid w:val="00030269"/>
    <w:rsid w:val="00030B8A"/>
    <w:rsid w:val="00030B8E"/>
    <w:rsid w:val="00033B19"/>
    <w:rsid w:val="00033FB3"/>
    <w:rsid w:val="000345D3"/>
    <w:rsid w:val="0003510C"/>
    <w:rsid w:val="000354C0"/>
    <w:rsid w:val="00035771"/>
    <w:rsid w:val="00035CF8"/>
    <w:rsid w:val="000402BE"/>
    <w:rsid w:val="00041096"/>
    <w:rsid w:val="00044A36"/>
    <w:rsid w:val="00044CC7"/>
    <w:rsid w:val="000459F7"/>
    <w:rsid w:val="000460DB"/>
    <w:rsid w:val="00047853"/>
    <w:rsid w:val="000478E9"/>
    <w:rsid w:val="0005053E"/>
    <w:rsid w:val="00052826"/>
    <w:rsid w:val="00053E00"/>
    <w:rsid w:val="0005430B"/>
    <w:rsid w:val="000544AD"/>
    <w:rsid w:val="000553F3"/>
    <w:rsid w:val="00057C0E"/>
    <w:rsid w:val="00060BE4"/>
    <w:rsid w:val="00063057"/>
    <w:rsid w:val="00064814"/>
    <w:rsid w:val="00064F5D"/>
    <w:rsid w:val="00064FAB"/>
    <w:rsid w:val="00065C37"/>
    <w:rsid w:val="00066A7B"/>
    <w:rsid w:val="00066AF9"/>
    <w:rsid w:val="000703B3"/>
    <w:rsid w:val="000705E6"/>
    <w:rsid w:val="00071B4D"/>
    <w:rsid w:val="00074152"/>
    <w:rsid w:val="00074721"/>
    <w:rsid w:val="00075975"/>
    <w:rsid w:val="00077453"/>
    <w:rsid w:val="00077500"/>
    <w:rsid w:val="0007773F"/>
    <w:rsid w:val="0008010D"/>
    <w:rsid w:val="0008263E"/>
    <w:rsid w:val="00082E97"/>
    <w:rsid w:val="000832EE"/>
    <w:rsid w:val="00084020"/>
    <w:rsid w:val="0008436A"/>
    <w:rsid w:val="00085968"/>
    <w:rsid w:val="00086814"/>
    <w:rsid w:val="000869B8"/>
    <w:rsid w:val="0009093E"/>
    <w:rsid w:val="000917C7"/>
    <w:rsid w:val="0009232D"/>
    <w:rsid w:val="00092394"/>
    <w:rsid w:val="00092433"/>
    <w:rsid w:val="00092F31"/>
    <w:rsid w:val="0009342C"/>
    <w:rsid w:val="00093B2D"/>
    <w:rsid w:val="00094659"/>
    <w:rsid w:val="00094E1E"/>
    <w:rsid w:val="00095D31"/>
    <w:rsid w:val="00096DA6"/>
    <w:rsid w:val="00096E57"/>
    <w:rsid w:val="0009726A"/>
    <w:rsid w:val="000978BE"/>
    <w:rsid w:val="000979B3"/>
    <w:rsid w:val="000A1888"/>
    <w:rsid w:val="000A18C7"/>
    <w:rsid w:val="000A2F24"/>
    <w:rsid w:val="000A331F"/>
    <w:rsid w:val="000A4E9F"/>
    <w:rsid w:val="000A56BD"/>
    <w:rsid w:val="000A5FF9"/>
    <w:rsid w:val="000A73FE"/>
    <w:rsid w:val="000B0961"/>
    <w:rsid w:val="000B224A"/>
    <w:rsid w:val="000B338F"/>
    <w:rsid w:val="000B37BA"/>
    <w:rsid w:val="000B4350"/>
    <w:rsid w:val="000B7D60"/>
    <w:rsid w:val="000C0161"/>
    <w:rsid w:val="000C039E"/>
    <w:rsid w:val="000C046C"/>
    <w:rsid w:val="000C0C46"/>
    <w:rsid w:val="000C184F"/>
    <w:rsid w:val="000C39FD"/>
    <w:rsid w:val="000C3B9E"/>
    <w:rsid w:val="000C3D9D"/>
    <w:rsid w:val="000C4132"/>
    <w:rsid w:val="000C48D6"/>
    <w:rsid w:val="000C4FF2"/>
    <w:rsid w:val="000C60A9"/>
    <w:rsid w:val="000C6B04"/>
    <w:rsid w:val="000D1B59"/>
    <w:rsid w:val="000D292F"/>
    <w:rsid w:val="000D4286"/>
    <w:rsid w:val="000D468A"/>
    <w:rsid w:val="000D4AF5"/>
    <w:rsid w:val="000D5BB4"/>
    <w:rsid w:val="000D7566"/>
    <w:rsid w:val="000E297B"/>
    <w:rsid w:val="000E3ACE"/>
    <w:rsid w:val="000E3DF5"/>
    <w:rsid w:val="000E467A"/>
    <w:rsid w:val="000E67A8"/>
    <w:rsid w:val="000E7FBF"/>
    <w:rsid w:val="000F2082"/>
    <w:rsid w:val="000F2229"/>
    <w:rsid w:val="000F4668"/>
    <w:rsid w:val="000F6DBF"/>
    <w:rsid w:val="0010029B"/>
    <w:rsid w:val="00101F34"/>
    <w:rsid w:val="00103574"/>
    <w:rsid w:val="00103B0A"/>
    <w:rsid w:val="001050A3"/>
    <w:rsid w:val="001062D1"/>
    <w:rsid w:val="00106F4F"/>
    <w:rsid w:val="00107D3F"/>
    <w:rsid w:val="001108FF"/>
    <w:rsid w:val="00110981"/>
    <w:rsid w:val="0011132F"/>
    <w:rsid w:val="00112956"/>
    <w:rsid w:val="00113B59"/>
    <w:rsid w:val="001141E5"/>
    <w:rsid w:val="00114549"/>
    <w:rsid w:val="001201F7"/>
    <w:rsid w:val="00120589"/>
    <w:rsid w:val="00121637"/>
    <w:rsid w:val="001218EB"/>
    <w:rsid w:val="0012274B"/>
    <w:rsid w:val="00122F70"/>
    <w:rsid w:val="00123550"/>
    <w:rsid w:val="001238CD"/>
    <w:rsid w:val="00126588"/>
    <w:rsid w:val="0012772F"/>
    <w:rsid w:val="00130EDD"/>
    <w:rsid w:val="00131A2C"/>
    <w:rsid w:val="00131F1D"/>
    <w:rsid w:val="0013420A"/>
    <w:rsid w:val="00134EA2"/>
    <w:rsid w:val="0013548E"/>
    <w:rsid w:val="00136EEB"/>
    <w:rsid w:val="00137D76"/>
    <w:rsid w:val="00141205"/>
    <w:rsid w:val="00142160"/>
    <w:rsid w:val="00143970"/>
    <w:rsid w:val="00146510"/>
    <w:rsid w:val="00151761"/>
    <w:rsid w:val="00153242"/>
    <w:rsid w:val="00153D5B"/>
    <w:rsid w:val="0015509D"/>
    <w:rsid w:val="00155F91"/>
    <w:rsid w:val="001602D3"/>
    <w:rsid w:val="001607DA"/>
    <w:rsid w:val="001619DC"/>
    <w:rsid w:val="00161AA0"/>
    <w:rsid w:val="00162F8C"/>
    <w:rsid w:val="0016506D"/>
    <w:rsid w:val="00165CBE"/>
    <w:rsid w:val="001674AF"/>
    <w:rsid w:val="00172A6E"/>
    <w:rsid w:val="00172B0F"/>
    <w:rsid w:val="00173717"/>
    <w:rsid w:val="00176691"/>
    <w:rsid w:val="001776DA"/>
    <w:rsid w:val="0018055C"/>
    <w:rsid w:val="00180614"/>
    <w:rsid w:val="00181D3D"/>
    <w:rsid w:val="00182ACF"/>
    <w:rsid w:val="0018301B"/>
    <w:rsid w:val="00183664"/>
    <w:rsid w:val="001841EA"/>
    <w:rsid w:val="001853DA"/>
    <w:rsid w:val="001853FD"/>
    <w:rsid w:val="001863BC"/>
    <w:rsid w:val="00186AB8"/>
    <w:rsid w:val="00186BA9"/>
    <w:rsid w:val="00191407"/>
    <w:rsid w:val="00192336"/>
    <w:rsid w:val="001926D1"/>
    <w:rsid w:val="00192811"/>
    <w:rsid w:val="001943C8"/>
    <w:rsid w:val="001956FC"/>
    <w:rsid w:val="00196728"/>
    <w:rsid w:val="00197C94"/>
    <w:rsid w:val="001A02C2"/>
    <w:rsid w:val="001A4757"/>
    <w:rsid w:val="001A605C"/>
    <w:rsid w:val="001A656A"/>
    <w:rsid w:val="001A676D"/>
    <w:rsid w:val="001A70BC"/>
    <w:rsid w:val="001B1180"/>
    <w:rsid w:val="001B1DB9"/>
    <w:rsid w:val="001B2136"/>
    <w:rsid w:val="001B2EF1"/>
    <w:rsid w:val="001B48B5"/>
    <w:rsid w:val="001B48E7"/>
    <w:rsid w:val="001B4A01"/>
    <w:rsid w:val="001B5B7A"/>
    <w:rsid w:val="001B61C6"/>
    <w:rsid w:val="001B7AB8"/>
    <w:rsid w:val="001C0F06"/>
    <w:rsid w:val="001C37B9"/>
    <w:rsid w:val="001C3AD1"/>
    <w:rsid w:val="001C4FB7"/>
    <w:rsid w:val="001C5403"/>
    <w:rsid w:val="001C70D2"/>
    <w:rsid w:val="001D0BE2"/>
    <w:rsid w:val="001D0C94"/>
    <w:rsid w:val="001D0E67"/>
    <w:rsid w:val="001D1071"/>
    <w:rsid w:val="001D18A1"/>
    <w:rsid w:val="001D3C2B"/>
    <w:rsid w:val="001E01CD"/>
    <w:rsid w:val="001E01E3"/>
    <w:rsid w:val="001E0AA1"/>
    <w:rsid w:val="001E0BF8"/>
    <w:rsid w:val="001E1C4D"/>
    <w:rsid w:val="001E21CD"/>
    <w:rsid w:val="001E5797"/>
    <w:rsid w:val="001E6AFB"/>
    <w:rsid w:val="001E6CCC"/>
    <w:rsid w:val="001E724F"/>
    <w:rsid w:val="001E7937"/>
    <w:rsid w:val="001F16B4"/>
    <w:rsid w:val="001F19DD"/>
    <w:rsid w:val="001F1EF1"/>
    <w:rsid w:val="001F2454"/>
    <w:rsid w:val="001F2E02"/>
    <w:rsid w:val="001F37B3"/>
    <w:rsid w:val="001F4609"/>
    <w:rsid w:val="001F4FF1"/>
    <w:rsid w:val="001F54E4"/>
    <w:rsid w:val="001F7AA8"/>
    <w:rsid w:val="002007A2"/>
    <w:rsid w:val="00200A46"/>
    <w:rsid w:val="002040A5"/>
    <w:rsid w:val="00204567"/>
    <w:rsid w:val="002051FB"/>
    <w:rsid w:val="002066D4"/>
    <w:rsid w:val="002139E7"/>
    <w:rsid w:val="002154E3"/>
    <w:rsid w:val="002155D4"/>
    <w:rsid w:val="002157C2"/>
    <w:rsid w:val="002202FC"/>
    <w:rsid w:val="002225EF"/>
    <w:rsid w:val="00223740"/>
    <w:rsid w:val="0022485A"/>
    <w:rsid w:val="00224B65"/>
    <w:rsid w:val="002263BA"/>
    <w:rsid w:val="00226AA3"/>
    <w:rsid w:val="0023014E"/>
    <w:rsid w:val="0023030F"/>
    <w:rsid w:val="00231F14"/>
    <w:rsid w:val="00235A18"/>
    <w:rsid w:val="00235B1E"/>
    <w:rsid w:val="00235CAB"/>
    <w:rsid w:val="00236A4D"/>
    <w:rsid w:val="00237F73"/>
    <w:rsid w:val="002418F3"/>
    <w:rsid w:val="00241CB5"/>
    <w:rsid w:val="00243612"/>
    <w:rsid w:val="00243AA7"/>
    <w:rsid w:val="00244B47"/>
    <w:rsid w:val="00251390"/>
    <w:rsid w:val="0025233F"/>
    <w:rsid w:val="0025302F"/>
    <w:rsid w:val="0025453B"/>
    <w:rsid w:val="002548D9"/>
    <w:rsid w:val="00263573"/>
    <w:rsid w:val="00263A60"/>
    <w:rsid w:val="0026491A"/>
    <w:rsid w:val="00267122"/>
    <w:rsid w:val="002679D2"/>
    <w:rsid w:val="00272CBA"/>
    <w:rsid w:val="00274FE5"/>
    <w:rsid w:val="002764E0"/>
    <w:rsid w:val="002770B7"/>
    <w:rsid w:val="00280091"/>
    <w:rsid w:val="00282D7E"/>
    <w:rsid w:val="002835BF"/>
    <w:rsid w:val="00283EB5"/>
    <w:rsid w:val="00284AE6"/>
    <w:rsid w:val="002856B4"/>
    <w:rsid w:val="002869BC"/>
    <w:rsid w:val="00287C4A"/>
    <w:rsid w:val="00290415"/>
    <w:rsid w:val="002924F6"/>
    <w:rsid w:val="00293302"/>
    <w:rsid w:val="00293BF9"/>
    <w:rsid w:val="00293C05"/>
    <w:rsid w:val="002940D0"/>
    <w:rsid w:val="00295FFE"/>
    <w:rsid w:val="00296BB6"/>
    <w:rsid w:val="00296C04"/>
    <w:rsid w:val="0029714D"/>
    <w:rsid w:val="002A0520"/>
    <w:rsid w:val="002A1664"/>
    <w:rsid w:val="002A2F01"/>
    <w:rsid w:val="002A5C68"/>
    <w:rsid w:val="002A7825"/>
    <w:rsid w:val="002B089A"/>
    <w:rsid w:val="002B13C6"/>
    <w:rsid w:val="002B1663"/>
    <w:rsid w:val="002B20B5"/>
    <w:rsid w:val="002B23F5"/>
    <w:rsid w:val="002B2DD6"/>
    <w:rsid w:val="002B3EEA"/>
    <w:rsid w:val="002B4645"/>
    <w:rsid w:val="002B69AC"/>
    <w:rsid w:val="002B7262"/>
    <w:rsid w:val="002B74CC"/>
    <w:rsid w:val="002B7EF1"/>
    <w:rsid w:val="002C0183"/>
    <w:rsid w:val="002C4B97"/>
    <w:rsid w:val="002C6759"/>
    <w:rsid w:val="002C6D6B"/>
    <w:rsid w:val="002C7CFD"/>
    <w:rsid w:val="002D005C"/>
    <w:rsid w:val="002D07FA"/>
    <w:rsid w:val="002D18ED"/>
    <w:rsid w:val="002D1DEA"/>
    <w:rsid w:val="002D288F"/>
    <w:rsid w:val="002D2FCD"/>
    <w:rsid w:val="002D3488"/>
    <w:rsid w:val="002D6D99"/>
    <w:rsid w:val="002D7015"/>
    <w:rsid w:val="002D777C"/>
    <w:rsid w:val="002D77C4"/>
    <w:rsid w:val="002E0276"/>
    <w:rsid w:val="002E0ED9"/>
    <w:rsid w:val="002E42F9"/>
    <w:rsid w:val="002E46BE"/>
    <w:rsid w:val="002E7CA6"/>
    <w:rsid w:val="002F1D4E"/>
    <w:rsid w:val="002F3B24"/>
    <w:rsid w:val="002F5DC9"/>
    <w:rsid w:val="002F63A7"/>
    <w:rsid w:val="002F683B"/>
    <w:rsid w:val="002F762C"/>
    <w:rsid w:val="002F7D8C"/>
    <w:rsid w:val="00301008"/>
    <w:rsid w:val="0030183C"/>
    <w:rsid w:val="003037F4"/>
    <w:rsid w:val="00303A0E"/>
    <w:rsid w:val="00304243"/>
    <w:rsid w:val="003045A2"/>
    <w:rsid w:val="003046C1"/>
    <w:rsid w:val="003062F8"/>
    <w:rsid w:val="00306F7F"/>
    <w:rsid w:val="003078BB"/>
    <w:rsid w:val="003078C2"/>
    <w:rsid w:val="003104C9"/>
    <w:rsid w:val="00313045"/>
    <w:rsid w:val="00313370"/>
    <w:rsid w:val="00314CEB"/>
    <w:rsid w:val="003151D9"/>
    <w:rsid w:val="0031664C"/>
    <w:rsid w:val="00322358"/>
    <w:rsid w:val="00323DE8"/>
    <w:rsid w:val="00326068"/>
    <w:rsid w:val="00326B38"/>
    <w:rsid w:val="0032786F"/>
    <w:rsid w:val="003328F8"/>
    <w:rsid w:val="003330E6"/>
    <w:rsid w:val="00334520"/>
    <w:rsid w:val="00334E1E"/>
    <w:rsid w:val="0033701A"/>
    <w:rsid w:val="003376AE"/>
    <w:rsid w:val="00340B44"/>
    <w:rsid w:val="00341C21"/>
    <w:rsid w:val="00342156"/>
    <w:rsid w:val="003429D8"/>
    <w:rsid w:val="0034337B"/>
    <w:rsid w:val="00343AEE"/>
    <w:rsid w:val="00343B2C"/>
    <w:rsid w:val="0034523C"/>
    <w:rsid w:val="003460FF"/>
    <w:rsid w:val="00346AFA"/>
    <w:rsid w:val="00346BAA"/>
    <w:rsid w:val="00347819"/>
    <w:rsid w:val="00347E6B"/>
    <w:rsid w:val="00352403"/>
    <w:rsid w:val="00352A2A"/>
    <w:rsid w:val="003530E1"/>
    <w:rsid w:val="00356C47"/>
    <w:rsid w:val="0035754D"/>
    <w:rsid w:val="0036294D"/>
    <w:rsid w:val="003629B8"/>
    <w:rsid w:val="003640F7"/>
    <w:rsid w:val="00364314"/>
    <w:rsid w:val="0036435C"/>
    <w:rsid w:val="00364591"/>
    <w:rsid w:val="003648E8"/>
    <w:rsid w:val="00365515"/>
    <w:rsid w:val="00366751"/>
    <w:rsid w:val="00370175"/>
    <w:rsid w:val="003747B4"/>
    <w:rsid w:val="00375DF7"/>
    <w:rsid w:val="00377705"/>
    <w:rsid w:val="00381149"/>
    <w:rsid w:val="00381B70"/>
    <w:rsid w:val="00382529"/>
    <w:rsid w:val="0038498B"/>
    <w:rsid w:val="00387D59"/>
    <w:rsid w:val="00390681"/>
    <w:rsid w:val="00393125"/>
    <w:rsid w:val="003943A3"/>
    <w:rsid w:val="003A070C"/>
    <w:rsid w:val="003A2C7A"/>
    <w:rsid w:val="003A3974"/>
    <w:rsid w:val="003A463E"/>
    <w:rsid w:val="003A6744"/>
    <w:rsid w:val="003A7418"/>
    <w:rsid w:val="003A7E69"/>
    <w:rsid w:val="003B0DAE"/>
    <w:rsid w:val="003B1A8E"/>
    <w:rsid w:val="003B286E"/>
    <w:rsid w:val="003B356A"/>
    <w:rsid w:val="003B3FF0"/>
    <w:rsid w:val="003B4E5F"/>
    <w:rsid w:val="003B4EF6"/>
    <w:rsid w:val="003B514B"/>
    <w:rsid w:val="003B5498"/>
    <w:rsid w:val="003B5AFE"/>
    <w:rsid w:val="003B5DD6"/>
    <w:rsid w:val="003B7867"/>
    <w:rsid w:val="003B7DC8"/>
    <w:rsid w:val="003B7FEA"/>
    <w:rsid w:val="003C107F"/>
    <w:rsid w:val="003C213A"/>
    <w:rsid w:val="003C2B7D"/>
    <w:rsid w:val="003C36AC"/>
    <w:rsid w:val="003C4619"/>
    <w:rsid w:val="003C5027"/>
    <w:rsid w:val="003C53B9"/>
    <w:rsid w:val="003D0B58"/>
    <w:rsid w:val="003D33EC"/>
    <w:rsid w:val="003D394B"/>
    <w:rsid w:val="003D51E7"/>
    <w:rsid w:val="003D6747"/>
    <w:rsid w:val="003E2528"/>
    <w:rsid w:val="003E2F90"/>
    <w:rsid w:val="003E4203"/>
    <w:rsid w:val="003F0BC5"/>
    <w:rsid w:val="003F1B58"/>
    <w:rsid w:val="003F3372"/>
    <w:rsid w:val="003F34BC"/>
    <w:rsid w:val="003F358E"/>
    <w:rsid w:val="003F6579"/>
    <w:rsid w:val="003F74BA"/>
    <w:rsid w:val="00400078"/>
    <w:rsid w:val="00400AB4"/>
    <w:rsid w:val="00400BD8"/>
    <w:rsid w:val="00401FC1"/>
    <w:rsid w:val="00402B5D"/>
    <w:rsid w:val="00403016"/>
    <w:rsid w:val="004047C9"/>
    <w:rsid w:val="00405225"/>
    <w:rsid w:val="00405B22"/>
    <w:rsid w:val="004060CE"/>
    <w:rsid w:val="00411445"/>
    <w:rsid w:val="0041230C"/>
    <w:rsid w:val="00412AE8"/>
    <w:rsid w:val="00412C50"/>
    <w:rsid w:val="00412D7F"/>
    <w:rsid w:val="00412F41"/>
    <w:rsid w:val="004130C4"/>
    <w:rsid w:val="0041469D"/>
    <w:rsid w:val="00416335"/>
    <w:rsid w:val="00416C99"/>
    <w:rsid w:val="00416CEF"/>
    <w:rsid w:val="00417337"/>
    <w:rsid w:val="00421D45"/>
    <w:rsid w:val="004230D1"/>
    <w:rsid w:val="00423787"/>
    <w:rsid w:val="00425C47"/>
    <w:rsid w:val="00426079"/>
    <w:rsid w:val="00426086"/>
    <w:rsid w:val="00427E16"/>
    <w:rsid w:val="00430E59"/>
    <w:rsid w:val="00434976"/>
    <w:rsid w:val="004355F9"/>
    <w:rsid w:val="004371BD"/>
    <w:rsid w:val="0043759D"/>
    <w:rsid w:val="0044129E"/>
    <w:rsid w:val="00442999"/>
    <w:rsid w:val="004433A1"/>
    <w:rsid w:val="00443628"/>
    <w:rsid w:val="004454E0"/>
    <w:rsid w:val="0044624B"/>
    <w:rsid w:val="0044673C"/>
    <w:rsid w:val="00447185"/>
    <w:rsid w:val="00450074"/>
    <w:rsid w:val="004506C9"/>
    <w:rsid w:val="00450C8F"/>
    <w:rsid w:val="00451F8C"/>
    <w:rsid w:val="00452CB4"/>
    <w:rsid w:val="0045326F"/>
    <w:rsid w:val="004556BD"/>
    <w:rsid w:val="00455EBB"/>
    <w:rsid w:val="00461111"/>
    <w:rsid w:val="00461121"/>
    <w:rsid w:val="004625B9"/>
    <w:rsid w:val="00464BCE"/>
    <w:rsid w:val="00465EB2"/>
    <w:rsid w:val="0046631F"/>
    <w:rsid w:val="0046696F"/>
    <w:rsid w:val="00466E79"/>
    <w:rsid w:val="00470122"/>
    <w:rsid w:val="0047037E"/>
    <w:rsid w:val="00471EDA"/>
    <w:rsid w:val="004730E5"/>
    <w:rsid w:val="0047580D"/>
    <w:rsid w:val="00476A61"/>
    <w:rsid w:val="00480245"/>
    <w:rsid w:val="004808F9"/>
    <w:rsid w:val="004820E9"/>
    <w:rsid w:val="0048361F"/>
    <w:rsid w:val="00484612"/>
    <w:rsid w:val="0048678C"/>
    <w:rsid w:val="00487E19"/>
    <w:rsid w:val="00490046"/>
    <w:rsid w:val="004917F2"/>
    <w:rsid w:val="004928DC"/>
    <w:rsid w:val="004931AB"/>
    <w:rsid w:val="00495C6A"/>
    <w:rsid w:val="00496644"/>
    <w:rsid w:val="004968BB"/>
    <w:rsid w:val="004968FB"/>
    <w:rsid w:val="00497753"/>
    <w:rsid w:val="00497C0F"/>
    <w:rsid w:val="004A1187"/>
    <w:rsid w:val="004A2314"/>
    <w:rsid w:val="004A31FA"/>
    <w:rsid w:val="004A55A5"/>
    <w:rsid w:val="004A64E8"/>
    <w:rsid w:val="004B041B"/>
    <w:rsid w:val="004B09B5"/>
    <w:rsid w:val="004B3056"/>
    <w:rsid w:val="004B420B"/>
    <w:rsid w:val="004B4A7E"/>
    <w:rsid w:val="004B4BC0"/>
    <w:rsid w:val="004B514C"/>
    <w:rsid w:val="004B51DA"/>
    <w:rsid w:val="004B7690"/>
    <w:rsid w:val="004C10EF"/>
    <w:rsid w:val="004C1E23"/>
    <w:rsid w:val="004C37EC"/>
    <w:rsid w:val="004C4D6A"/>
    <w:rsid w:val="004C56F7"/>
    <w:rsid w:val="004D1714"/>
    <w:rsid w:val="004D24E5"/>
    <w:rsid w:val="004D3F32"/>
    <w:rsid w:val="004D3F50"/>
    <w:rsid w:val="004D547A"/>
    <w:rsid w:val="004D6EC4"/>
    <w:rsid w:val="004E0BBE"/>
    <w:rsid w:val="004E0E24"/>
    <w:rsid w:val="004E2089"/>
    <w:rsid w:val="004E22E7"/>
    <w:rsid w:val="004E240F"/>
    <w:rsid w:val="004E363E"/>
    <w:rsid w:val="004E7078"/>
    <w:rsid w:val="004E7AE0"/>
    <w:rsid w:val="004F082E"/>
    <w:rsid w:val="004F08E9"/>
    <w:rsid w:val="004F0C1A"/>
    <w:rsid w:val="004F1B76"/>
    <w:rsid w:val="004F1E7A"/>
    <w:rsid w:val="004F3ED0"/>
    <w:rsid w:val="004F64BD"/>
    <w:rsid w:val="004F6816"/>
    <w:rsid w:val="004F6F99"/>
    <w:rsid w:val="004F724D"/>
    <w:rsid w:val="004F7615"/>
    <w:rsid w:val="005006BE"/>
    <w:rsid w:val="00501292"/>
    <w:rsid w:val="0050357A"/>
    <w:rsid w:val="0050471D"/>
    <w:rsid w:val="00504AB4"/>
    <w:rsid w:val="005053E9"/>
    <w:rsid w:val="005077F0"/>
    <w:rsid w:val="00507849"/>
    <w:rsid w:val="00507991"/>
    <w:rsid w:val="00511213"/>
    <w:rsid w:val="00512D4F"/>
    <w:rsid w:val="00512EF2"/>
    <w:rsid w:val="00515DF1"/>
    <w:rsid w:val="00524EBD"/>
    <w:rsid w:val="00526C07"/>
    <w:rsid w:val="00530528"/>
    <w:rsid w:val="0053387C"/>
    <w:rsid w:val="00533DF1"/>
    <w:rsid w:val="00533F9A"/>
    <w:rsid w:val="0053471B"/>
    <w:rsid w:val="00534B0B"/>
    <w:rsid w:val="00535612"/>
    <w:rsid w:val="00535DFC"/>
    <w:rsid w:val="00536428"/>
    <w:rsid w:val="00540AF7"/>
    <w:rsid w:val="005420FD"/>
    <w:rsid w:val="00542214"/>
    <w:rsid w:val="00542383"/>
    <w:rsid w:val="005426A3"/>
    <w:rsid w:val="005428BC"/>
    <w:rsid w:val="00543B86"/>
    <w:rsid w:val="00544C77"/>
    <w:rsid w:val="00550992"/>
    <w:rsid w:val="00551AF7"/>
    <w:rsid w:val="00553891"/>
    <w:rsid w:val="00554EC2"/>
    <w:rsid w:val="005579A8"/>
    <w:rsid w:val="00560861"/>
    <w:rsid w:val="005615F0"/>
    <w:rsid w:val="00564899"/>
    <w:rsid w:val="005648C7"/>
    <w:rsid w:val="00567ED4"/>
    <w:rsid w:val="00570D68"/>
    <w:rsid w:val="00571E19"/>
    <w:rsid w:val="0057228C"/>
    <w:rsid w:val="00574022"/>
    <w:rsid w:val="00576101"/>
    <w:rsid w:val="005825EA"/>
    <w:rsid w:val="0058309B"/>
    <w:rsid w:val="00583784"/>
    <w:rsid w:val="0058438D"/>
    <w:rsid w:val="00584CF0"/>
    <w:rsid w:val="0058599B"/>
    <w:rsid w:val="0058616F"/>
    <w:rsid w:val="005861A9"/>
    <w:rsid w:val="005879DB"/>
    <w:rsid w:val="00591FAC"/>
    <w:rsid w:val="00594F9B"/>
    <w:rsid w:val="00596181"/>
    <w:rsid w:val="005A2201"/>
    <w:rsid w:val="005A286D"/>
    <w:rsid w:val="005A2B25"/>
    <w:rsid w:val="005A3BB9"/>
    <w:rsid w:val="005A4134"/>
    <w:rsid w:val="005A4AAA"/>
    <w:rsid w:val="005A538B"/>
    <w:rsid w:val="005A6547"/>
    <w:rsid w:val="005A7045"/>
    <w:rsid w:val="005A7EC2"/>
    <w:rsid w:val="005B1376"/>
    <w:rsid w:val="005B3B5C"/>
    <w:rsid w:val="005B40AE"/>
    <w:rsid w:val="005B5432"/>
    <w:rsid w:val="005B58A0"/>
    <w:rsid w:val="005B762D"/>
    <w:rsid w:val="005B7A4F"/>
    <w:rsid w:val="005C051F"/>
    <w:rsid w:val="005C2F28"/>
    <w:rsid w:val="005C4570"/>
    <w:rsid w:val="005C4BAE"/>
    <w:rsid w:val="005C4DD9"/>
    <w:rsid w:val="005C50E7"/>
    <w:rsid w:val="005C665D"/>
    <w:rsid w:val="005C762E"/>
    <w:rsid w:val="005C7C44"/>
    <w:rsid w:val="005D098C"/>
    <w:rsid w:val="005D0B13"/>
    <w:rsid w:val="005D1238"/>
    <w:rsid w:val="005D29E4"/>
    <w:rsid w:val="005D387B"/>
    <w:rsid w:val="005D426A"/>
    <w:rsid w:val="005D5EF4"/>
    <w:rsid w:val="005D61B8"/>
    <w:rsid w:val="005D6E37"/>
    <w:rsid w:val="005D70C6"/>
    <w:rsid w:val="005D712B"/>
    <w:rsid w:val="005E095B"/>
    <w:rsid w:val="005E1135"/>
    <w:rsid w:val="005E3223"/>
    <w:rsid w:val="005E5BB6"/>
    <w:rsid w:val="005E6573"/>
    <w:rsid w:val="005F0905"/>
    <w:rsid w:val="005F1B26"/>
    <w:rsid w:val="005F2D23"/>
    <w:rsid w:val="005F47E8"/>
    <w:rsid w:val="005F4D76"/>
    <w:rsid w:val="005F5B7B"/>
    <w:rsid w:val="005F6DC4"/>
    <w:rsid w:val="006008E3"/>
    <w:rsid w:val="00600D04"/>
    <w:rsid w:val="00600E13"/>
    <w:rsid w:val="006032BF"/>
    <w:rsid w:val="00603C94"/>
    <w:rsid w:val="00603FE6"/>
    <w:rsid w:val="0060453A"/>
    <w:rsid w:val="00605143"/>
    <w:rsid w:val="00606436"/>
    <w:rsid w:val="0060662A"/>
    <w:rsid w:val="00606A92"/>
    <w:rsid w:val="00607AD9"/>
    <w:rsid w:val="006100C7"/>
    <w:rsid w:val="00610F9E"/>
    <w:rsid w:val="00611951"/>
    <w:rsid w:val="00611D94"/>
    <w:rsid w:val="00612789"/>
    <w:rsid w:val="00613E3C"/>
    <w:rsid w:val="00613F2F"/>
    <w:rsid w:val="00614114"/>
    <w:rsid w:val="00614361"/>
    <w:rsid w:val="00614BDA"/>
    <w:rsid w:val="006154FD"/>
    <w:rsid w:val="0062015E"/>
    <w:rsid w:val="006202B0"/>
    <w:rsid w:val="00620A10"/>
    <w:rsid w:val="00621303"/>
    <w:rsid w:val="00622C68"/>
    <w:rsid w:val="00624763"/>
    <w:rsid w:val="006250BD"/>
    <w:rsid w:val="00625FBD"/>
    <w:rsid w:val="006277B5"/>
    <w:rsid w:val="00627D58"/>
    <w:rsid w:val="00627EA9"/>
    <w:rsid w:val="006331B4"/>
    <w:rsid w:val="00634006"/>
    <w:rsid w:val="006343F3"/>
    <w:rsid w:val="006357FE"/>
    <w:rsid w:val="00635CFA"/>
    <w:rsid w:val="00637FEE"/>
    <w:rsid w:val="0064086D"/>
    <w:rsid w:val="00640C20"/>
    <w:rsid w:val="006426AF"/>
    <w:rsid w:val="00642883"/>
    <w:rsid w:val="00642906"/>
    <w:rsid w:val="00642E8B"/>
    <w:rsid w:val="006446B7"/>
    <w:rsid w:val="00645329"/>
    <w:rsid w:val="006457EF"/>
    <w:rsid w:val="00645842"/>
    <w:rsid w:val="00646558"/>
    <w:rsid w:val="00650167"/>
    <w:rsid w:val="0065123D"/>
    <w:rsid w:val="00652848"/>
    <w:rsid w:val="00652B41"/>
    <w:rsid w:val="00654F74"/>
    <w:rsid w:val="006574B4"/>
    <w:rsid w:val="00657577"/>
    <w:rsid w:val="00660319"/>
    <w:rsid w:val="006605A7"/>
    <w:rsid w:val="00660EA2"/>
    <w:rsid w:val="006611FD"/>
    <w:rsid w:val="00662D2E"/>
    <w:rsid w:val="00662FE2"/>
    <w:rsid w:val="00667EAD"/>
    <w:rsid w:val="006714D2"/>
    <w:rsid w:val="00672193"/>
    <w:rsid w:val="00672721"/>
    <w:rsid w:val="00672EFB"/>
    <w:rsid w:val="00673412"/>
    <w:rsid w:val="00676B51"/>
    <w:rsid w:val="006818B5"/>
    <w:rsid w:val="00684C90"/>
    <w:rsid w:val="0068538D"/>
    <w:rsid w:val="006853BB"/>
    <w:rsid w:val="006856F9"/>
    <w:rsid w:val="00685B52"/>
    <w:rsid w:val="00687911"/>
    <w:rsid w:val="006929A1"/>
    <w:rsid w:val="00693BB4"/>
    <w:rsid w:val="00695A9E"/>
    <w:rsid w:val="00695B9D"/>
    <w:rsid w:val="006965FC"/>
    <w:rsid w:val="006973DD"/>
    <w:rsid w:val="006A42F7"/>
    <w:rsid w:val="006A4D3C"/>
    <w:rsid w:val="006A6E43"/>
    <w:rsid w:val="006A721F"/>
    <w:rsid w:val="006B0CD0"/>
    <w:rsid w:val="006B0E10"/>
    <w:rsid w:val="006B0FE5"/>
    <w:rsid w:val="006B19A8"/>
    <w:rsid w:val="006B2049"/>
    <w:rsid w:val="006B4C62"/>
    <w:rsid w:val="006B5151"/>
    <w:rsid w:val="006B660A"/>
    <w:rsid w:val="006B6A06"/>
    <w:rsid w:val="006B6BEF"/>
    <w:rsid w:val="006B719B"/>
    <w:rsid w:val="006B79E9"/>
    <w:rsid w:val="006C0146"/>
    <w:rsid w:val="006C0C3C"/>
    <w:rsid w:val="006C13C6"/>
    <w:rsid w:val="006C14C0"/>
    <w:rsid w:val="006C1D69"/>
    <w:rsid w:val="006C2EBF"/>
    <w:rsid w:val="006C4070"/>
    <w:rsid w:val="006C5C83"/>
    <w:rsid w:val="006C7AA3"/>
    <w:rsid w:val="006C7C58"/>
    <w:rsid w:val="006D17FC"/>
    <w:rsid w:val="006D216D"/>
    <w:rsid w:val="006D42B4"/>
    <w:rsid w:val="006D5929"/>
    <w:rsid w:val="006D73F1"/>
    <w:rsid w:val="006E210A"/>
    <w:rsid w:val="006E2975"/>
    <w:rsid w:val="006E318E"/>
    <w:rsid w:val="006E75A1"/>
    <w:rsid w:val="006F076E"/>
    <w:rsid w:val="006F0FB1"/>
    <w:rsid w:val="006F1D98"/>
    <w:rsid w:val="006F25B1"/>
    <w:rsid w:val="006F3391"/>
    <w:rsid w:val="006F3CE4"/>
    <w:rsid w:val="006F490B"/>
    <w:rsid w:val="006F5551"/>
    <w:rsid w:val="0070286B"/>
    <w:rsid w:val="0070491C"/>
    <w:rsid w:val="00704E78"/>
    <w:rsid w:val="00705763"/>
    <w:rsid w:val="007077D3"/>
    <w:rsid w:val="00707BDD"/>
    <w:rsid w:val="0071156E"/>
    <w:rsid w:val="00711DB2"/>
    <w:rsid w:val="00713617"/>
    <w:rsid w:val="00713A66"/>
    <w:rsid w:val="00713FCB"/>
    <w:rsid w:val="007145FF"/>
    <w:rsid w:val="00717528"/>
    <w:rsid w:val="007175F8"/>
    <w:rsid w:val="007212F2"/>
    <w:rsid w:val="00721E1C"/>
    <w:rsid w:val="00721E8E"/>
    <w:rsid w:val="0072310E"/>
    <w:rsid w:val="007235B6"/>
    <w:rsid w:val="007238CC"/>
    <w:rsid w:val="00723D9F"/>
    <w:rsid w:val="007254AE"/>
    <w:rsid w:val="0073027A"/>
    <w:rsid w:val="007307F9"/>
    <w:rsid w:val="00730B6E"/>
    <w:rsid w:val="00732519"/>
    <w:rsid w:val="00735682"/>
    <w:rsid w:val="007366FA"/>
    <w:rsid w:val="0073775D"/>
    <w:rsid w:val="007377A9"/>
    <w:rsid w:val="00737BB9"/>
    <w:rsid w:val="0074075E"/>
    <w:rsid w:val="00742467"/>
    <w:rsid w:val="007424D9"/>
    <w:rsid w:val="00745C24"/>
    <w:rsid w:val="0074630B"/>
    <w:rsid w:val="00747844"/>
    <w:rsid w:val="00747945"/>
    <w:rsid w:val="007506E3"/>
    <w:rsid w:val="00751AE8"/>
    <w:rsid w:val="007526C8"/>
    <w:rsid w:val="00752775"/>
    <w:rsid w:val="00752C42"/>
    <w:rsid w:val="007536D1"/>
    <w:rsid w:val="0075662F"/>
    <w:rsid w:val="00760190"/>
    <w:rsid w:val="007608AA"/>
    <w:rsid w:val="00760AC4"/>
    <w:rsid w:val="00761C51"/>
    <w:rsid w:val="00762170"/>
    <w:rsid w:val="0076231C"/>
    <w:rsid w:val="007629BA"/>
    <w:rsid w:val="00762EFD"/>
    <w:rsid w:val="007638A8"/>
    <w:rsid w:val="0076465C"/>
    <w:rsid w:val="007652A2"/>
    <w:rsid w:val="007662E8"/>
    <w:rsid w:val="00766438"/>
    <w:rsid w:val="007677E4"/>
    <w:rsid w:val="0077022F"/>
    <w:rsid w:val="0077235A"/>
    <w:rsid w:val="007743F2"/>
    <w:rsid w:val="007750B8"/>
    <w:rsid w:val="007759DC"/>
    <w:rsid w:val="00775CF8"/>
    <w:rsid w:val="0077670C"/>
    <w:rsid w:val="00776856"/>
    <w:rsid w:val="00776BF6"/>
    <w:rsid w:val="00777B4E"/>
    <w:rsid w:val="00780154"/>
    <w:rsid w:val="00780EEE"/>
    <w:rsid w:val="0078182D"/>
    <w:rsid w:val="007828DD"/>
    <w:rsid w:val="0078387C"/>
    <w:rsid w:val="0078567E"/>
    <w:rsid w:val="0078573E"/>
    <w:rsid w:val="00787F13"/>
    <w:rsid w:val="00787FF1"/>
    <w:rsid w:val="00792725"/>
    <w:rsid w:val="00793B3F"/>
    <w:rsid w:val="00794BCA"/>
    <w:rsid w:val="00795098"/>
    <w:rsid w:val="0079572B"/>
    <w:rsid w:val="0079680F"/>
    <w:rsid w:val="00797053"/>
    <w:rsid w:val="0079762C"/>
    <w:rsid w:val="0079769C"/>
    <w:rsid w:val="007A05BE"/>
    <w:rsid w:val="007A076E"/>
    <w:rsid w:val="007A17DC"/>
    <w:rsid w:val="007A3ACE"/>
    <w:rsid w:val="007A4EEE"/>
    <w:rsid w:val="007A6061"/>
    <w:rsid w:val="007A6459"/>
    <w:rsid w:val="007A69F7"/>
    <w:rsid w:val="007A6AEA"/>
    <w:rsid w:val="007A7063"/>
    <w:rsid w:val="007A76D2"/>
    <w:rsid w:val="007A7EA0"/>
    <w:rsid w:val="007B1503"/>
    <w:rsid w:val="007B4AB4"/>
    <w:rsid w:val="007B6FD7"/>
    <w:rsid w:val="007B7E94"/>
    <w:rsid w:val="007C13A8"/>
    <w:rsid w:val="007C23B5"/>
    <w:rsid w:val="007C29DB"/>
    <w:rsid w:val="007C4E71"/>
    <w:rsid w:val="007C5EC4"/>
    <w:rsid w:val="007C668E"/>
    <w:rsid w:val="007C7F61"/>
    <w:rsid w:val="007D0440"/>
    <w:rsid w:val="007D1EEC"/>
    <w:rsid w:val="007D2358"/>
    <w:rsid w:val="007D2851"/>
    <w:rsid w:val="007D31CE"/>
    <w:rsid w:val="007D4347"/>
    <w:rsid w:val="007D4925"/>
    <w:rsid w:val="007D6298"/>
    <w:rsid w:val="007D71C7"/>
    <w:rsid w:val="007D7806"/>
    <w:rsid w:val="007D7F83"/>
    <w:rsid w:val="007E008F"/>
    <w:rsid w:val="007E0C49"/>
    <w:rsid w:val="007E0D48"/>
    <w:rsid w:val="007E0F9F"/>
    <w:rsid w:val="007E158C"/>
    <w:rsid w:val="007E2168"/>
    <w:rsid w:val="007E4841"/>
    <w:rsid w:val="007E6125"/>
    <w:rsid w:val="007E6CB8"/>
    <w:rsid w:val="007F1DA0"/>
    <w:rsid w:val="007F3161"/>
    <w:rsid w:val="007F7044"/>
    <w:rsid w:val="007F7202"/>
    <w:rsid w:val="00800EA7"/>
    <w:rsid w:val="00800EA9"/>
    <w:rsid w:val="00802C56"/>
    <w:rsid w:val="0080482E"/>
    <w:rsid w:val="0080686D"/>
    <w:rsid w:val="008075B7"/>
    <w:rsid w:val="00807F8C"/>
    <w:rsid w:val="008131FC"/>
    <w:rsid w:val="00813AB8"/>
    <w:rsid w:val="00813BE0"/>
    <w:rsid w:val="00814210"/>
    <w:rsid w:val="00814DEF"/>
    <w:rsid w:val="00815282"/>
    <w:rsid w:val="008209BC"/>
    <w:rsid w:val="00820F88"/>
    <w:rsid w:val="00821106"/>
    <w:rsid w:val="0082254E"/>
    <w:rsid w:val="00823C0D"/>
    <w:rsid w:val="008244E3"/>
    <w:rsid w:val="00826A81"/>
    <w:rsid w:val="008271D5"/>
    <w:rsid w:val="00827BE3"/>
    <w:rsid w:val="008309CA"/>
    <w:rsid w:val="00831192"/>
    <w:rsid w:val="00832BFA"/>
    <w:rsid w:val="00835BFE"/>
    <w:rsid w:val="008362A4"/>
    <w:rsid w:val="00836546"/>
    <w:rsid w:val="00840443"/>
    <w:rsid w:val="00840F40"/>
    <w:rsid w:val="00841922"/>
    <w:rsid w:val="008428DB"/>
    <w:rsid w:val="008446F1"/>
    <w:rsid w:val="0084487F"/>
    <w:rsid w:val="00844E88"/>
    <w:rsid w:val="00844E8D"/>
    <w:rsid w:val="00845D2C"/>
    <w:rsid w:val="008478A0"/>
    <w:rsid w:val="00847DFF"/>
    <w:rsid w:val="008505C3"/>
    <w:rsid w:val="00850716"/>
    <w:rsid w:val="008507B0"/>
    <w:rsid w:val="0085083D"/>
    <w:rsid w:val="008517CF"/>
    <w:rsid w:val="00852B2D"/>
    <w:rsid w:val="0085543C"/>
    <w:rsid w:val="0085580A"/>
    <w:rsid w:val="00856DA1"/>
    <w:rsid w:val="00857C16"/>
    <w:rsid w:val="00861F22"/>
    <w:rsid w:val="00862B84"/>
    <w:rsid w:val="0086373F"/>
    <w:rsid w:val="0086472B"/>
    <w:rsid w:val="00865EB8"/>
    <w:rsid w:val="00867187"/>
    <w:rsid w:val="00870CFA"/>
    <w:rsid w:val="008727CF"/>
    <w:rsid w:val="00872FFC"/>
    <w:rsid w:val="008731A9"/>
    <w:rsid w:val="00873E03"/>
    <w:rsid w:val="00874B88"/>
    <w:rsid w:val="00874BA9"/>
    <w:rsid w:val="0087607E"/>
    <w:rsid w:val="008770D7"/>
    <w:rsid w:val="00877C01"/>
    <w:rsid w:val="008851D3"/>
    <w:rsid w:val="008869E4"/>
    <w:rsid w:val="00886BA3"/>
    <w:rsid w:val="008875B2"/>
    <w:rsid w:val="00887B9B"/>
    <w:rsid w:val="00891CBF"/>
    <w:rsid w:val="00892E91"/>
    <w:rsid w:val="00892F74"/>
    <w:rsid w:val="0089349F"/>
    <w:rsid w:val="00893CD5"/>
    <w:rsid w:val="008949BB"/>
    <w:rsid w:val="00895BB6"/>
    <w:rsid w:val="008970A0"/>
    <w:rsid w:val="00897595"/>
    <w:rsid w:val="008A33AA"/>
    <w:rsid w:val="008A6344"/>
    <w:rsid w:val="008A663D"/>
    <w:rsid w:val="008A6FC6"/>
    <w:rsid w:val="008A743F"/>
    <w:rsid w:val="008A7E16"/>
    <w:rsid w:val="008B1FC2"/>
    <w:rsid w:val="008B2715"/>
    <w:rsid w:val="008B3193"/>
    <w:rsid w:val="008B4688"/>
    <w:rsid w:val="008B52A6"/>
    <w:rsid w:val="008C0C69"/>
    <w:rsid w:val="008C0F67"/>
    <w:rsid w:val="008C1260"/>
    <w:rsid w:val="008C2405"/>
    <w:rsid w:val="008C2FEE"/>
    <w:rsid w:val="008C4212"/>
    <w:rsid w:val="008C5133"/>
    <w:rsid w:val="008C613D"/>
    <w:rsid w:val="008D230D"/>
    <w:rsid w:val="008D367A"/>
    <w:rsid w:val="008D40FF"/>
    <w:rsid w:val="008D5165"/>
    <w:rsid w:val="008D5601"/>
    <w:rsid w:val="008D67AB"/>
    <w:rsid w:val="008D73CC"/>
    <w:rsid w:val="008E122D"/>
    <w:rsid w:val="008E13D2"/>
    <w:rsid w:val="008E179C"/>
    <w:rsid w:val="008E268D"/>
    <w:rsid w:val="008E3C92"/>
    <w:rsid w:val="008E4671"/>
    <w:rsid w:val="008E4CC0"/>
    <w:rsid w:val="008E721D"/>
    <w:rsid w:val="008E7585"/>
    <w:rsid w:val="008F1585"/>
    <w:rsid w:val="008F28E6"/>
    <w:rsid w:val="008F40AD"/>
    <w:rsid w:val="008F55CE"/>
    <w:rsid w:val="008F71DA"/>
    <w:rsid w:val="008F78DE"/>
    <w:rsid w:val="008F7C6D"/>
    <w:rsid w:val="008F7D42"/>
    <w:rsid w:val="009007F2"/>
    <w:rsid w:val="00901AA8"/>
    <w:rsid w:val="00901B5F"/>
    <w:rsid w:val="00902B9F"/>
    <w:rsid w:val="009046BE"/>
    <w:rsid w:val="0090560A"/>
    <w:rsid w:val="00905AAC"/>
    <w:rsid w:val="00906019"/>
    <w:rsid w:val="0090690E"/>
    <w:rsid w:val="009072B4"/>
    <w:rsid w:val="009101ED"/>
    <w:rsid w:val="00910893"/>
    <w:rsid w:val="00911A44"/>
    <w:rsid w:val="0091640C"/>
    <w:rsid w:val="009167B3"/>
    <w:rsid w:val="00917626"/>
    <w:rsid w:val="00917FFE"/>
    <w:rsid w:val="009208F0"/>
    <w:rsid w:val="00921F45"/>
    <w:rsid w:val="009238A9"/>
    <w:rsid w:val="0092657D"/>
    <w:rsid w:val="00927199"/>
    <w:rsid w:val="009278DD"/>
    <w:rsid w:val="009309ED"/>
    <w:rsid w:val="00930E69"/>
    <w:rsid w:val="00932A58"/>
    <w:rsid w:val="00932A74"/>
    <w:rsid w:val="00941AF4"/>
    <w:rsid w:val="009420A3"/>
    <w:rsid w:val="00942435"/>
    <w:rsid w:val="0094366C"/>
    <w:rsid w:val="00945462"/>
    <w:rsid w:val="00945DBE"/>
    <w:rsid w:val="00946ABA"/>
    <w:rsid w:val="00946E0E"/>
    <w:rsid w:val="00947494"/>
    <w:rsid w:val="00947521"/>
    <w:rsid w:val="0094755F"/>
    <w:rsid w:val="00950090"/>
    <w:rsid w:val="009500C1"/>
    <w:rsid w:val="00950DFA"/>
    <w:rsid w:val="00950FA0"/>
    <w:rsid w:val="00951B04"/>
    <w:rsid w:val="00952B89"/>
    <w:rsid w:val="00953ADF"/>
    <w:rsid w:val="00957586"/>
    <w:rsid w:val="00960259"/>
    <w:rsid w:val="00960C80"/>
    <w:rsid w:val="00960F29"/>
    <w:rsid w:val="009615B0"/>
    <w:rsid w:val="009618EE"/>
    <w:rsid w:val="00961F99"/>
    <w:rsid w:val="00962CAF"/>
    <w:rsid w:val="00964616"/>
    <w:rsid w:val="00964CB2"/>
    <w:rsid w:val="009666F6"/>
    <w:rsid w:val="00966B0B"/>
    <w:rsid w:val="00967AC2"/>
    <w:rsid w:val="0097015F"/>
    <w:rsid w:val="0097118F"/>
    <w:rsid w:val="0097136F"/>
    <w:rsid w:val="00971D3F"/>
    <w:rsid w:val="00971F52"/>
    <w:rsid w:val="00971F96"/>
    <w:rsid w:val="00973533"/>
    <w:rsid w:val="0097684A"/>
    <w:rsid w:val="0097702A"/>
    <w:rsid w:val="009770BF"/>
    <w:rsid w:val="00977766"/>
    <w:rsid w:val="00977B73"/>
    <w:rsid w:val="0098027E"/>
    <w:rsid w:val="0098028A"/>
    <w:rsid w:val="00980A55"/>
    <w:rsid w:val="00981494"/>
    <w:rsid w:val="00981B9F"/>
    <w:rsid w:val="00985B9B"/>
    <w:rsid w:val="00985ECD"/>
    <w:rsid w:val="00987BB0"/>
    <w:rsid w:val="009905C6"/>
    <w:rsid w:val="00991632"/>
    <w:rsid w:val="00992934"/>
    <w:rsid w:val="00993DB6"/>
    <w:rsid w:val="00995160"/>
    <w:rsid w:val="00995CFD"/>
    <w:rsid w:val="009A020A"/>
    <w:rsid w:val="009A0271"/>
    <w:rsid w:val="009A22DE"/>
    <w:rsid w:val="009A3234"/>
    <w:rsid w:val="009A52F3"/>
    <w:rsid w:val="009A5325"/>
    <w:rsid w:val="009A5958"/>
    <w:rsid w:val="009A78EA"/>
    <w:rsid w:val="009B154A"/>
    <w:rsid w:val="009B2321"/>
    <w:rsid w:val="009B304A"/>
    <w:rsid w:val="009B3E97"/>
    <w:rsid w:val="009B4C6A"/>
    <w:rsid w:val="009B56C8"/>
    <w:rsid w:val="009B621A"/>
    <w:rsid w:val="009B6C8B"/>
    <w:rsid w:val="009C0C40"/>
    <w:rsid w:val="009C1CA2"/>
    <w:rsid w:val="009C1E4F"/>
    <w:rsid w:val="009C2AAA"/>
    <w:rsid w:val="009C33C2"/>
    <w:rsid w:val="009C3E56"/>
    <w:rsid w:val="009C45D9"/>
    <w:rsid w:val="009C50E2"/>
    <w:rsid w:val="009C6F32"/>
    <w:rsid w:val="009C73C2"/>
    <w:rsid w:val="009D1AB0"/>
    <w:rsid w:val="009D2813"/>
    <w:rsid w:val="009D33A2"/>
    <w:rsid w:val="009D3DF5"/>
    <w:rsid w:val="009D547B"/>
    <w:rsid w:val="009D6D9C"/>
    <w:rsid w:val="009E0FA1"/>
    <w:rsid w:val="009E153D"/>
    <w:rsid w:val="009E2A9D"/>
    <w:rsid w:val="009E671B"/>
    <w:rsid w:val="009F04B1"/>
    <w:rsid w:val="009F0E2A"/>
    <w:rsid w:val="009F166F"/>
    <w:rsid w:val="009F307F"/>
    <w:rsid w:val="009F4D10"/>
    <w:rsid w:val="009F4FCD"/>
    <w:rsid w:val="009F6D5C"/>
    <w:rsid w:val="009F739C"/>
    <w:rsid w:val="00A00767"/>
    <w:rsid w:val="00A026F1"/>
    <w:rsid w:val="00A02DFF"/>
    <w:rsid w:val="00A043CD"/>
    <w:rsid w:val="00A04BCF"/>
    <w:rsid w:val="00A056B2"/>
    <w:rsid w:val="00A06657"/>
    <w:rsid w:val="00A06D01"/>
    <w:rsid w:val="00A06E1A"/>
    <w:rsid w:val="00A07045"/>
    <w:rsid w:val="00A07702"/>
    <w:rsid w:val="00A10543"/>
    <w:rsid w:val="00A11129"/>
    <w:rsid w:val="00A11772"/>
    <w:rsid w:val="00A13AD8"/>
    <w:rsid w:val="00A14253"/>
    <w:rsid w:val="00A14313"/>
    <w:rsid w:val="00A151F6"/>
    <w:rsid w:val="00A15E10"/>
    <w:rsid w:val="00A1624E"/>
    <w:rsid w:val="00A16B33"/>
    <w:rsid w:val="00A177E1"/>
    <w:rsid w:val="00A203D3"/>
    <w:rsid w:val="00A2042E"/>
    <w:rsid w:val="00A20EAD"/>
    <w:rsid w:val="00A21C03"/>
    <w:rsid w:val="00A21E00"/>
    <w:rsid w:val="00A223A4"/>
    <w:rsid w:val="00A227B6"/>
    <w:rsid w:val="00A23607"/>
    <w:rsid w:val="00A252A1"/>
    <w:rsid w:val="00A252FB"/>
    <w:rsid w:val="00A25A11"/>
    <w:rsid w:val="00A300F4"/>
    <w:rsid w:val="00A30741"/>
    <w:rsid w:val="00A30F10"/>
    <w:rsid w:val="00A31105"/>
    <w:rsid w:val="00A31812"/>
    <w:rsid w:val="00A32C8D"/>
    <w:rsid w:val="00A330B9"/>
    <w:rsid w:val="00A333FF"/>
    <w:rsid w:val="00A336AA"/>
    <w:rsid w:val="00A33806"/>
    <w:rsid w:val="00A33FAA"/>
    <w:rsid w:val="00A34644"/>
    <w:rsid w:val="00A3466D"/>
    <w:rsid w:val="00A34DCF"/>
    <w:rsid w:val="00A37C2D"/>
    <w:rsid w:val="00A416B2"/>
    <w:rsid w:val="00A42B31"/>
    <w:rsid w:val="00A45F7B"/>
    <w:rsid w:val="00A47537"/>
    <w:rsid w:val="00A4796C"/>
    <w:rsid w:val="00A50B06"/>
    <w:rsid w:val="00A52684"/>
    <w:rsid w:val="00A531AD"/>
    <w:rsid w:val="00A5494C"/>
    <w:rsid w:val="00A61336"/>
    <w:rsid w:val="00A625C7"/>
    <w:rsid w:val="00A64736"/>
    <w:rsid w:val="00A6573D"/>
    <w:rsid w:val="00A66904"/>
    <w:rsid w:val="00A71498"/>
    <w:rsid w:val="00A71D67"/>
    <w:rsid w:val="00A740F9"/>
    <w:rsid w:val="00A7506F"/>
    <w:rsid w:val="00A76B09"/>
    <w:rsid w:val="00A8052F"/>
    <w:rsid w:val="00A825AF"/>
    <w:rsid w:val="00A82A49"/>
    <w:rsid w:val="00A839AB"/>
    <w:rsid w:val="00A854A8"/>
    <w:rsid w:val="00A85A3C"/>
    <w:rsid w:val="00A86D3D"/>
    <w:rsid w:val="00A86E42"/>
    <w:rsid w:val="00A901BF"/>
    <w:rsid w:val="00A907DA"/>
    <w:rsid w:val="00A92112"/>
    <w:rsid w:val="00A978A9"/>
    <w:rsid w:val="00AA0128"/>
    <w:rsid w:val="00AA157E"/>
    <w:rsid w:val="00AA48D6"/>
    <w:rsid w:val="00AA7A10"/>
    <w:rsid w:val="00AB019A"/>
    <w:rsid w:val="00AB0BE0"/>
    <w:rsid w:val="00AB15C4"/>
    <w:rsid w:val="00AB2948"/>
    <w:rsid w:val="00AB2B9D"/>
    <w:rsid w:val="00AB3411"/>
    <w:rsid w:val="00AB39FA"/>
    <w:rsid w:val="00AB4BAF"/>
    <w:rsid w:val="00AB4FEC"/>
    <w:rsid w:val="00AB61E2"/>
    <w:rsid w:val="00AB6310"/>
    <w:rsid w:val="00AC1E0F"/>
    <w:rsid w:val="00AC2920"/>
    <w:rsid w:val="00AC2A42"/>
    <w:rsid w:val="00AC308D"/>
    <w:rsid w:val="00AC48C6"/>
    <w:rsid w:val="00AC4938"/>
    <w:rsid w:val="00AC514F"/>
    <w:rsid w:val="00AC5634"/>
    <w:rsid w:val="00AC7A3B"/>
    <w:rsid w:val="00AC7D8D"/>
    <w:rsid w:val="00AD09FC"/>
    <w:rsid w:val="00AD1053"/>
    <w:rsid w:val="00AD3A06"/>
    <w:rsid w:val="00AD4361"/>
    <w:rsid w:val="00AD4AAB"/>
    <w:rsid w:val="00AD4F1D"/>
    <w:rsid w:val="00AD564E"/>
    <w:rsid w:val="00AD5B3A"/>
    <w:rsid w:val="00AD6933"/>
    <w:rsid w:val="00AD6B7B"/>
    <w:rsid w:val="00AD6F56"/>
    <w:rsid w:val="00AD7E8F"/>
    <w:rsid w:val="00AE02D9"/>
    <w:rsid w:val="00AE12B2"/>
    <w:rsid w:val="00AE1B68"/>
    <w:rsid w:val="00AE3728"/>
    <w:rsid w:val="00AE3CB3"/>
    <w:rsid w:val="00AE5645"/>
    <w:rsid w:val="00AE571D"/>
    <w:rsid w:val="00AE625D"/>
    <w:rsid w:val="00AE7E8B"/>
    <w:rsid w:val="00AF00AB"/>
    <w:rsid w:val="00AF0FF8"/>
    <w:rsid w:val="00AF1001"/>
    <w:rsid w:val="00AF2C71"/>
    <w:rsid w:val="00AF359D"/>
    <w:rsid w:val="00AF47F8"/>
    <w:rsid w:val="00AF4E3E"/>
    <w:rsid w:val="00AF6138"/>
    <w:rsid w:val="00B010F2"/>
    <w:rsid w:val="00B017B5"/>
    <w:rsid w:val="00B02B45"/>
    <w:rsid w:val="00B031CF"/>
    <w:rsid w:val="00B03BD3"/>
    <w:rsid w:val="00B04FFD"/>
    <w:rsid w:val="00B057B0"/>
    <w:rsid w:val="00B05E55"/>
    <w:rsid w:val="00B0704C"/>
    <w:rsid w:val="00B10447"/>
    <w:rsid w:val="00B119AA"/>
    <w:rsid w:val="00B12F36"/>
    <w:rsid w:val="00B1488A"/>
    <w:rsid w:val="00B169ED"/>
    <w:rsid w:val="00B20479"/>
    <w:rsid w:val="00B2217A"/>
    <w:rsid w:val="00B22B4B"/>
    <w:rsid w:val="00B23A8C"/>
    <w:rsid w:val="00B24506"/>
    <w:rsid w:val="00B2601C"/>
    <w:rsid w:val="00B26580"/>
    <w:rsid w:val="00B26E0F"/>
    <w:rsid w:val="00B3082A"/>
    <w:rsid w:val="00B3175E"/>
    <w:rsid w:val="00B33249"/>
    <w:rsid w:val="00B33D4B"/>
    <w:rsid w:val="00B35861"/>
    <w:rsid w:val="00B36E9A"/>
    <w:rsid w:val="00B36F86"/>
    <w:rsid w:val="00B3729A"/>
    <w:rsid w:val="00B37FEF"/>
    <w:rsid w:val="00B430BC"/>
    <w:rsid w:val="00B4396B"/>
    <w:rsid w:val="00B4464A"/>
    <w:rsid w:val="00B47DEC"/>
    <w:rsid w:val="00B502C2"/>
    <w:rsid w:val="00B5110D"/>
    <w:rsid w:val="00B511C1"/>
    <w:rsid w:val="00B5141E"/>
    <w:rsid w:val="00B51F04"/>
    <w:rsid w:val="00B526FE"/>
    <w:rsid w:val="00B5294B"/>
    <w:rsid w:val="00B52C23"/>
    <w:rsid w:val="00B5331E"/>
    <w:rsid w:val="00B53D83"/>
    <w:rsid w:val="00B54069"/>
    <w:rsid w:val="00B54641"/>
    <w:rsid w:val="00B55B23"/>
    <w:rsid w:val="00B57D62"/>
    <w:rsid w:val="00B60332"/>
    <w:rsid w:val="00B60D8B"/>
    <w:rsid w:val="00B61619"/>
    <w:rsid w:val="00B616B8"/>
    <w:rsid w:val="00B6375B"/>
    <w:rsid w:val="00B64119"/>
    <w:rsid w:val="00B64580"/>
    <w:rsid w:val="00B66C21"/>
    <w:rsid w:val="00B71FD0"/>
    <w:rsid w:val="00B725B5"/>
    <w:rsid w:val="00B731D8"/>
    <w:rsid w:val="00B752D8"/>
    <w:rsid w:val="00B75309"/>
    <w:rsid w:val="00B754C8"/>
    <w:rsid w:val="00B7587B"/>
    <w:rsid w:val="00B75FA4"/>
    <w:rsid w:val="00B76249"/>
    <w:rsid w:val="00B7629B"/>
    <w:rsid w:val="00B765F0"/>
    <w:rsid w:val="00B77DCA"/>
    <w:rsid w:val="00B8476B"/>
    <w:rsid w:val="00B8666C"/>
    <w:rsid w:val="00B87CD9"/>
    <w:rsid w:val="00B905B9"/>
    <w:rsid w:val="00B935F9"/>
    <w:rsid w:val="00B96594"/>
    <w:rsid w:val="00B9672C"/>
    <w:rsid w:val="00B968D6"/>
    <w:rsid w:val="00BA1872"/>
    <w:rsid w:val="00BA1FD3"/>
    <w:rsid w:val="00BA401C"/>
    <w:rsid w:val="00BA5C93"/>
    <w:rsid w:val="00BA5F3D"/>
    <w:rsid w:val="00BA6715"/>
    <w:rsid w:val="00BA6985"/>
    <w:rsid w:val="00BA6C7D"/>
    <w:rsid w:val="00BA7BB4"/>
    <w:rsid w:val="00BB047B"/>
    <w:rsid w:val="00BB0FB8"/>
    <w:rsid w:val="00BB1B14"/>
    <w:rsid w:val="00BB2070"/>
    <w:rsid w:val="00BB2195"/>
    <w:rsid w:val="00BB2907"/>
    <w:rsid w:val="00BB3A76"/>
    <w:rsid w:val="00BB5931"/>
    <w:rsid w:val="00BB5D10"/>
    <w:rsid w:val="00BB6398"/>
    <w:rsid w:val="00BB7835"/>
    <w:rsid w:val="00BB7AF8"/>
    <w:rsid w:val="00BC053C"/>
    <w:rsid w:val="00BC06DC"/>
    <w:rsid w:val="00BC1B65"/>
    <w:rsid w:val="00BC24A9"/>
    <w:rsid w:val="00BC2D21"/>
    <w:rsid w:val="00BC2F32"/>
    <w:rsid w:val="00BC2FEA"/>
    <w:rsid w:val="00BC3917"/>
    <w:rsid w:val="00BC6981"/>
    <w:rsid w:val="00BC6B04"/>
    <w:rsid w:val="00BD02A4"/>
    <w:rsid w:val="00BD0372"/>
    <w:rsid w:val="00BD0682"/>
    <w:rsid w:val="00BD1431"/>
    <w:rsid w:val="00BD1E9E"/>
    <w:rsid w:val="00BD1F6C"/>
    <w:rsid w:val="00BD4649"/>
    <w:rsid w:val="00BD5790"/>
    <w:rsid w:val="00BD5C26"/>
    <w:rsid w:val="00BD65DB"/>
    <w:rsid w:val="00BE041D"/>
    <w:rsid w:val="00BE04C3"/>
    <w:rsid w:val="00BE59B4"/>
    <w:rsid w:val="00BE6D1A"/>
    <w:rsid w:val="00BE72B6"/>
    <w:rsid w:val="00BF165D"/>
    <w:rsid w:val="00BF2C66"/>
    <w:rsid w:val="00BF3BDA"/>
    <w:rsid w:val="00BF5136"/>
    <w:rsid w:val="00BF5523"/>
    <w:rsid w:val="00BF5DC3"/>
    <w:rsid w:val="00BF70C2"/>
    <w:rsid w:val="00C029D3"/>
    <w:rsid w:val="00C039E7"/>
    <w:rsid w:val="00C03E8B"/>
    <w:rsid w:val="00C04B98"/>
    <w:rsid w:val="00C04C67"/>
    <w:rsid w:val="00C05A1A"/>
    <w:rsid w:val="00C05BA6"/>
    <w:rsid w:val="00C05F44"/>
    <w:rsid w:val="00C074D3"/>
    <w:rsid w:val="00C10D91"/>
    <w:rsid w:val="00C11E61"/>
    <w:rsid w:val="00C139CA"/>
    <w:rsid w:val="00C15290"/>
    <w:rsid w:val="00C1637E"/>
    <w:rsid w:val="00C16879"/>
    <w:rsid w:val="00C20275"/>
    <w:rsid w:val="00C226C8"/>
    <w:rsid w:val="00C231E6"/>
    <w:rsid w:val="00C23CB5"/>
    <w:rsid w:val="00C242EC"/>
    <w:rsid w:val="00C30AEA"/>
    <w:rsid w:val="00C34DBE"/>
    <w:rsid w:val="00C34E2E"/>
    <w:rsid w:val="00C35CFF"/>
    <w:rsid w:val="00C36B7D"/>
    <w:rsid w:val="00C3773F"/>
    <w:rsid w:val="00C37E0C"/>
    <w:rsid w:val="00C40C92"/>
    <w:rsid w:val="00C4396D"/>
    <w:rsid w:val="00C43D09"/>
    <w:rsid w:val="00C45995"/>
    <w:rsid w:val="00C4617C"/>
    <w:rsid w:val="00C477DF"/>
    <w:rsid w:val="00C47AA5"/>
    <w:rsid w:val="00C504F2"/>
    <w:rsid w:val="00C51429"/>
    <w:rsid w:val="00C53928"/>
    <w:rsid w:val="00C53D5D"/>
    <w:rsid w:val="00C57EE2"/>
    <w:rsid w:val="00C626C7"/>
    <w:rsid w:val="00C641B8"/>
    <w:rsid w:val="00C6450D"/>
    <w:rsid w:val="00C655C7"/>
    <w:rsid w:val="00C664EF"/>
    <w:rsid w:val="00C670EF"/>
    <w:rsid w:val="00C67CB0"/>
    <w:rsid w:val="00C67E0A"/>
    <w:rsid w:val="00C7064C"/>
    <w:rsid w:val="00C7079D"/>
    <w:rsid w:val="00C72F28"/>
    <w:rsid w:val="00C75B23"/>
    <w:rsid w:val="00C766CB"/>
    <w:rsid w:val="00C800CC"/>
    <w:rsid w:val="00C803B5"/>
    <w:rsid w:val="00C822DE"/>
    <w:rsid w:val="00C877B8"/>
    <w:rsid w:val="00C87C0E"/>
    <w:rsid w:val="00C90208"/>
    <w:rsid w:val="00C9047C"/>
    <w:rsid w:val="00C91CEB"/>
    <w:rsid w:val="00C94861"/>
    <w:rsid w:val="00C94E3A"/>
    <w:rsid w:val="00C96637"/>
    <w:rsid w:val="00C97D53"/>
    <w:rsid w:val="00C97D9A"/>
    <w:rsid w:val="00CA070D"/>
    <w:rsid w:val="00CA0973"/>
    <w:rsid w:val="00CA11EA"/>
    <w:rsid w:val="00CA3D5F"/>
    <w:rsid w:val="00CA4A97"/>
    <w:rsid w:val="00CA4DD3"/>
    <w:rsid w:val="00CA6B65"/>
    <w:rsid w:val="00CB173F"/>
    <w:rsid w:val="00CB1D37"/>
    <w:rsid w:val="00CB314F"/>
    <w:rsid w:val="00CB53F7"/>
    <w:rsid w:val="00CB6E85"/>
    <w:rsid w:val="00CC056D"/>
    <w:rsid w:val="00CC1817"/>
    <w:rsid w:val="00CC1DB7"/>
    <w:rsid w:val="00CC2458"/>
    <w:rsid w:val="00CC28BC"/>
    <w:rsid w:val="00CC3353"/>
    <w:rsid w:val="00CC5359"/>
    <w:rsid w:val="00CC5804"/>
    <w:rsid w:val="00CC7162"/>
    <w:rsid w:val="00CC7452"/>
    <w:rsid w:val="00CD0447"/>
    <w:rsid w:val="00CD0932"/>
    <w:rsid w:val="00CD0AF2"/>
    <w:rsid w:val="00CD11BE"/>
    <w:rsid w:val="00CD1CFA"/>
    <w:rsid w:val="00CD1E56"/>
    <w:rsid w:val="00CD21F9"/>
    <w:rsid w:val="00CD2419"/>
    <w:rsid w:val="00CD3174"/>
    <w:rsid w:val="00CD47BB"/>
    <w:rsid w:val="00CD4862"/>
    <w:rsid w:val="00CD688B"/>
    <w:rsid w:val="00CD6ED0"/>
    <w:rsid w:val="00CE7551"/>
    <w:rsid w:val="00CF12BD"/>
    <w:rsid w:val="00CF7529"/>
    <w:rsid w:val="00D018F3"/>
    <w:rsid w:val="00D04860"/>
    <w:rsid w:val="00D05704"/>
    <w:rsid w:val="00D063FC"/>
    <w:rsid w:val="00D075EF"/>
    <w:rsid w:val="00D078DF"/>
    <w:rsid w:val="00D10142"/>
    <w:rsid w:val="00D10AAB"/>
    <w:rsid w:val="00D114A8"/>
    <w:rsid w:val="00D11538"/>
    <w:rsid w:val="00D1176B"/>
    <w:rsid w:val="00D1209C"/>
    <w:rsid w:val="00D13370"/>
    <w:rsid w:val="00D14C3B"/>
    <w:rsid w:val="00D15F11"/>
    <w:rsid w:val="00D16CBC"/>
    <w:rsid w:val="00D20885"/>
    <w:rsid w:val="00D20B5F"/>
    <w:rsid w:val="00D21851"/>
    <w:rsid w:val="00D21E63"/>
    <w:rsid w:val="00D267DA"/>
    <w:rsid w:val="00D30C4A"/>
    <w:rsid w:val="00D31D2A"/>
    <w:rsid w:val="00D34CC3"/>
    <w:rsid w:val="00D35CC4"/>
    <w:rsid w:val="00D3612A"/>
    <w:rsid w:val="00D36ECF"/>
    <w:rsid w:val="00D37703"/>
    <w:rsid w:val="00D37DC2"/>
    <w:rsid w:val="00D37F25"/>
    <w:rsid w:val="00D40C63"/>
    <w:rsid w:val="00D42446"/>
    <w:rsid w:val="00D42D2B"/>
    <w:rsid w:val="00D43649"/>
    <w:rsid w:val="00D44AB9"/>
    <w:rsid w:val="00D4520B"/>
    <w:rsid w:val="00D45259"/>
    <w:rsid w:val="00D4628C"/>
    <w:rsid w:val="00D4661E"/>
    <w:rsid w:val="00D47D92"/>
    <w:rsid w:val="00D50ACA"/>
    <w:rsid w:val="00D51BE8"/>
    <w:rsid w:val="00D57DFE"/>
    <w:rsid w:val="00D60537"/>
    <w:rsid w:val="00D63C09"/>
    <w:rsid w:val="00D63F3D"/>
    <w:rsid w:val="00D6446E"/>
    <w:rsid w:val="00D644BF"/>
    <w:rsid w:val="00D65497"/>
    <w:rsid w:val="00D65586"/>
    <w:rsid w:val="00D66583"/>
    <w:rsid w:val="00D66890"/>
    <w:rsid w:val="00D673EB"/>
    <w:rsid w:val="00D710C0"/>
    <w:rsid w:val="00D7115C"/>
    <w:rsid w:val="00D74501"/>
    <w:rsid w:val="00D74EEF"/>
    <w:rsid w:val="00D7592E"/>
    <w:rsid w:val="00D75B25"/>
    <w:rsid w:val="00D763D0"/>
    <w:rsid w:val="00D76C1C"/>
    <w:rsid w:val="00D82DD9"/>
    <w:rsid w:val="00D85133"/>
    <w:rsid w:val="00D855F1"/>
    <w:rsid w:val="00D85BD8"/>
    <w:rsid w:val="00D8606D"/>
    <w:rsid w:val="00D900B2"/>
    <w:rsid w:val="00D91946"/>
    <w:rsid w:val="00D93F04"/>
    <w:rsid w:val="00D93FF1"/>
    <w:rsid w:val="00D9571F"/>
    <w:rsid w:val="00D95EF6"/>
    <w:rsid w:val="00D974AF"/>
    <w:rsid w:val="00D97800"/>
    <w:rsid w:val="00DA0670"/>
    <w:rsid w:val="00DA08A2"/>
    <w:rsid w:val="00DA1397"/>
    <w:rsid w:val="00DA23ED"/>
    <w:rsid w:val="00DA4815"/>
    <w:rsid w:val="00DA520D"/>
    <w:rsid w:val="00DA67C6"/>
    <w:rsid w:val="00DA68C2"/>
    <w:rsid w:val="00DA6CC1"/>
    <w:rsid w:val="00DA7CAD"/>
    <w:rsid w:val="00DA7DE3"/>
    <w:rsid w:val="00DB09CD"/>
    <w:rsid w:val="00DB0E56"/>
    <w:rsid w:val="00DB48C6"/>
    <w:rsid w:val="00DB4B3A"/>
    <w:rsid w:val="00DB58B9"/>
    <w:rsid w:val="00DC262A"/>
    <w:rsid w:val="00DC2910"/>
    <w:rsid w:val="00DC45EA"/>
    <w:rsid w:val="00DC5B80"/>
    <w:rsid w:val="00DC607C"/>
    <w:rsid w:val="00DC7F4B"/>
    <w:rsid w:val="00DD02C7"/>
    <w:rsid w:val="00DD0DB8"/>
    <w:rsid w:val="00DD1F90"/>
    <w:rsid w:val="00DD2124"/>
    <w:rsid w:val="00DD494D"/>
    <w:rsid w:val="00DD4C79"/>
    <w:rsid w:val="00DD4D40"/>
    <w:rsid w:val="00DD67FC"/>
    <w:rsid w:val="00DE3956"/>
    <w:rsid w:val="00DE434B"/>
    <w:rsid w:val="00DE47A2"/>
    <w:rsid w:val="00DE4EF4"/>
    <w:rsid w:val="00DE519C"/>
    <w:rsid w:val="00DE643F"/>
    <w:rsid w:val="00DE718D"/>
    <w:rsid w:val="00DF0C5C"/>
    <w:rsid w:val="00DF1386"/>
    <w:rsid w:val="00DF1957"/>
    <w:rsid w:val="00DF26BF"/>
    <w:rsid w:val="00DF2F13"/>
    <w:rsid w:val="00E011B2"/>
    <w:rsid w:val="00E01514"/>
    <w:rsid w:val="00E016DD"/>
    <w:rsid w:val="00E016FD"/>
    <w:rsid w:val="00E0748A"/>
    <w:rsid w:val="00E07AA1"/>
    <w:rsid w:val="00E10B96"/>
    <w:rsid w:val="00E1195B"/>
    <w:rsid w:val="00E12CED"/>
    <w:rsid w:val="00E143E6"/>
    <w:rsid w:val="00E145F0"/>
    <w:rsid w:val="00E1469F"/>
    <w:rsid w:val="00E15F27"/>
    <w:rsid w:val="00E1783C"/>
    <w:rsid w:val="00E2255A"/>
    <w:rsid w:val="00E22570"/>
    <w:rsid w:val="00E243F3"/>
    <w:rsid w:val="00E24852"/>
    <w:rsid w:val="00E24CD5"/>
    <w:rsid w:val="00E25C34"/>
    <w:rsid w:val="00E31275"/>
    <w:rsid w:val="00E3161F"/>
    <w:rsid w:val="00E3229A"/>
    <w:rsid w:val="00E35C6C"/>
    <w:rsid w:val="00E363F5"/>
    <w:rsid w:val="00E40999"/>
    <w:rsid w:val="00E4118A"/>
    <w:rsid w:val="00E4214E"/>
    <w:rsid w:val="00E4253B"/>
    <w:rsid w:val="00E425BC"/>
    <w:rsid w:val="00E42BFA"/>
    <w:rsid w:val="00E431CB"/>
    <w:rsid w:val="00E450A7"/>
    <w:rsid w:val="00E45F43"/>
    <w:rsid w:val="00E4622C"/>
    <w:rsid w:val="00E46B64"/>
    <w:rsid w:val="00E46F55"/>
    <w:rsid w:val="00E475BD"/>
    <w:rsid w:val="00E47A48"/>
    <w:rsid w:val="00E51FFB"/>
    <w:rsid w:val="00E54488"/>
    <w:rsid w:val="00E544CA"/>
    <w:rsid w:val="00E567B7"/>
    <w:rsid w:val="00E60895"/>
    <w:rsid w:val="00E616FB"/>
    <w:rsid w:val="00E625FD"/>
    <w:rsid w:val="00E62E05"/>
    <w:rsid w:val="00E62F05"/>
    <w:rsid w:val="00E635B9"/>
    <w:rsid w:val="00E63D1C"/>
    <w:rsid w:val="00E649E6"/>
    <w:rsid w:val="00E64AB8"/>
    <w:rsid w:val="00E65F11"/>
    <w:rsid w:val="00E667F1"/>
    <w:rsid w:val="00E673D2"/>
    <w:rsid w:val="00E67414"/>
    <w:rsid w:val="00E729D1"/>
    <w:rsid w:val="00E72D31"/>
    <w:rsid w:val="00E735D3"/>
    <w:rsid w:val="00E750C5"/>
    <w:rsid w:val="00E7528E"/>
    <w:rsid w:val="00E804BD"/>
    <w:rsid w:val="00E805C4"/>
    <w:rsid w:val="00E81AE6"/>
    <w:rsid w:val="00E827D8"/>
    <w:rsid w:val="00E83219"/>
    <w:rsid w:val="00E8321F"/>
    <w:rsid w:val="00E840C6"/>
    <w:rsid w:val="00E850E8"/>
    <w:rsid w:val="00E859D7"/>
    <w:rsid w:val="00E90782"/>
    <w:rsid w:val="00E919EE"/>
    <w:rsid w:val="00E9247D"/>
    <w:rsid w:val="00E92BDC"/>
    <w:rsid w:val="00E936FD"/>
    <w:rsid w:val="00E945A9"/>
    <w:rsid w:val="00E946C7"/>
    <w:rsid w:val="00E95185"/>
    <w:rsid w:val="00E96C76"/>
    <w:rsid w:val="00E97440"/>
    <w:rsid w:val="00E975D0"/>
    <w:rsid w:val="00E97EF4"/>
    <w:rsid w:val="00EA0F3C"/>
    <w:rsid w:val="00EA1131"/>
    <w:rsid w:val="00EA3F48"/>
    <w:rsid w:val="00EA4677"/>
    <w:rsid w:val="00EA4D35"/>
    <w:rsid w:val="00EA5FE4"/>
    <w:rsid w:val="00EA662C"/>
    <w:rsid w:val="00EA678E"/>
    <w:rsid w:val="00EA685A"/>
    <w:rsid w:val="00EB1DDC"/>
    <w:rsid w:val="00EB1E69"/>
    <w:rsid w:val="00EB27FE"/>
    <w:rsid w:val="00EB51FC"/>
    <w:rsid w:val="00EC0AC1"/>
    <w:rsid w:val="00EC2158"/>
    <w:rsid w:val="00EC4D7E"/>
    <w:rsid w:val="00EC57EF"/>
    <w:rsid w:val="00EC700E"/>
    <w:rsid w:val="00ED0178"/>
    <w:rsid w:val="00ED1C29"/>
    <w:rsid w:val="00ED1F33"/>
    <w:rsid w:val="00ED32B1"/>
    <w:rsid w:val="00ED3738"/>
    <w:rsid w:val="00ED6951"/>
    <w:rsid w:val="00ED6F26"/>
    <w:rsid w:val="00EE0563"/>
    <w:rsid w:val="00EE3784"/>
    <w:rsid w:val="00EE44EF"/>
    <w:rsid w:val="00EE560D"/>
    <w:rsid w:val="00EF4549"/>
    <w:rsid w:val="00EF4DBC"/>
    <w:rsid w:val="00EF7869"/>
    <w:rsid w:val="00EF7E00"/>
    <w:rsid w:val="00F00C06"/>
    <w:rsid w:val="00F029C0"/>
    <w:rsid w:val="00F02C1D"/>
    <w:rsid w:val="00F02DEC"/>
    <w:rsid w:val="00F02E58"/>
    <w:rsid w:val="00F0358E"/>
    <w:rsid w:val="00F03E5C"/>
    <w:rsid w:val="00F04677"/>
    <w:rsid w:val="00F062CF"/>
    <w:rsid w:val="00F06E67"/>
    <w:rsid w:val="00F077DE"/>
    <w:rsid w:val="00F1091D"/>
    <w:rsid w:val="00F111E1"/>
    <w:rsid w:val="00F11D4E"/>
    <w:rsid w:val="00F13036"/>
    <w:rsid w:val="00F1494D"/>
    <w:rsid w:val="00F15D16"/>
    <w:rsid w:val="00F175F0"/>
    <w:rsid w:val="00F2029D"/>
    <w:rsid w:val="00F2260C"/>
    <w:rsid w:val="00F23B08"/>
    <w:rsid w:val="00F2503E"/>
    <w:rsid w:val="00F257F4"/>
    <w:rsid w:val="00F25F26"/>
    <w:rsid w:val="00F26A9F"/>
    <w:rsid w:val="00F27D88"/>
    <w:rsid w:val="00F30237"/>
    <w:rsid w:val="00F30CE1"/>
    <w:rsid w:val="00F31988"/>
    <w:rsid w:val="00F31A53"/>
    <w:rsid w:val="00F31A64"/>
    <w:rsid w:val="00F32F28"/>
    <w:rsid w:val="00F331D4"/>
    <w:rsid w:val="00F33CC7"/>
    <w:rsid w:val="00F34A94"/>
    <w:rsid w:val="00F34B30"/>
    <w:rsid w:val="00F3642C"/>
    <w:rsid w:val="00F366E7"/>
    <w:rsid w:val="00F36CC8"/>
    <w:rsid w:val="00F37B41"/>
    <w:rsid w:val="00F40472"/>
    <w:rsid w:val="00F42900"/>
    <w:rsid w:val="00F436AB"/>
    <w:rsid w:val="00F43CF6"/>
    <w:rsid w:val="00F45A20"/>
    <w:rsid w:val="00F46693"/>
    <w:rsid w:val="00F46CE9"/>
    <w:rsid w:val="00F47E31"/>
    <w:rsid w:val="00F53A92"/>
    <w:rsid w:val="00F5461D"/>
    <w:rsid w:val="00F5539F"/>
    <w:rsid w:val="00F57A9F"/>
    <w:rsid w:val="00F600BD"/>
    <w:rsid w:val="00F6030B"/>
    <w:rsid w:val="00F60B1C"/>
    <w:rsid w:val="00F63A41"/>
    <w:rsid w:val="00F66499"/>
    <w:rsid w:val="00F66FCC"/>
    <w:rsid w:val="00F725CE"/>
    <w:rsid w:val="00F72858"/>
    <w:rsid w:val="00F72B01"/>
    <w:rsid w:val="00F80DC2"/>
    <w:rsid w:val="00F820D7"/>
    <w:rsid w:val="00F822A6"/>
    <w:rsid w:val="00F8230D"/>
    <w:rsid w:val="00F82719"/>
    <w:rsid w:val="00F82A7F"/>
    <w:rsid w:val="00F82EEC"/>
    <w:rsid w:val="00F844B5"/>
    <w:rsid w:val="00F84556"/>
    <w:rsid w:val="00F85B13"/>
    <w:rsid w:val="00F87523"/>
    <w:rsid w:val="00F87E97"/>
    <w:rsid w:val="00F91FA2"/>
    <w:rsid w:val="00F9297C"/>
    <w:rsid w:val="00F934F6"/>
    <w:rsid w:val="00F97FA2"/>
    <w:rsid w:val="00FA06B3"/>
    <w:rsid w:val="00FA0FCE"/>
    <w:rsid w:val="00FA1443"/>
    <w:rsid w:val="00FA175B"/>
    <w:rsid w:val="00FA26A5"/>
    <w:rsid w:val="00FA29A6"/>
    <w:rsid w:val="00FA2CE7"/>
    <w:rsid w:val="00FA33C1"/>
    <w:rsid w:val="00FA3BEF"/>
    <w:rsid w:val="00FA3E0D"/>
    <w:rsid w:val="00FA3E8A"/>
    <w:rsid w:val="00FA45B8"/>
    <w:rsid w:val="00FA6516"/>
    <w:rsid w:val="00FA6DAC"/>
    <w:rsid w:val="00FA74BB"/>
    <w:rsid w:val="00FB1EC9"/>
    <w:rsid w:val="00FB27BD"/>
    <w:rsid w:val="00FB3158"/>
    <w:rsid w:val="00FB317E"/>
    <w:rsid w:val="00FB4E17"/>
    <w:rsid w:val="00FB518D"/>
    <w:rsid w:val="00FB529B"/>
    <w:rsid w:val="00FB6CBF"/>
    <w:rsid w:val="00FB6F8E"/>
    <w:rsid w:val="00FC085C"/>
    <w:rsid w:val="00FC10C4"/>
    <w:rsid w:val="00FC2664"/>
    <w:rsid w:val="00FC2893"/>
    <w:rsid w:val="00FC2AF1"/>
    <w:rsid w:val="00FC4A46"/>
    <w:rsid w:val="00FC50AA"/>
    <w:rsid w:val="00FC693B"/>
    <w:rsid w:val="00FC6D60"/>
    <w:rsid w:val="00FD0200"/>
    <w:rsid w:val="00FD17B1"/>
    <w:rsid w:val="00FD31C0"/>
    <w:rsid w:val="00FD54CD"/>
    <w:rsid w:val="00FD6124"/>
    <w:rsid w:val="00FD61DC"/>
    <w:rsid w:val="00FD7C32"/>
    <w:rsid w:val="00FD7E02"/>
    <w:rsid w:val="00FE060E"/>
    <w:rsid w:val="00FE2C71"/>
    <w:rsid w:val="00FE4A20"/>
    <w:rsid w:val="00FE509F"/>
    <w:rsid w:val="00FE66DB"/>
    <w:rsid w:val="00FF0659"/>
    <w:rsid w:val="00FF168F"/>
    <w:rsid w:val="00FF248F"/>
    <w:rsid w:val="00FF504D"/>
    <w:rsid w:val="00FF5CD0"/>
    <w:rsid w:val="00FF6508"/>
    <w:rsid w:val="00FF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A8B75"/>
  <w15:chartTrackingRefBased/>
  <w15:docId w15:val="{9DF34187-2757-432F-A5AB-DAF4A705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autoRedefine/>
    <w:qFormat/>
    <w:rsid w:val="001A656A"/>
    <w:pPr>
      <w:numPr>
        <w:numId w:val="15"/>
      </w:numPr>
    </w:pPr>
    <w:rPr>
      <w:szCs w:val="24"/>
    </w:rPr>
  </w:style>
  <w:style w:type="character" w:customStyle="1" w:styleId="Numberedheading1CharChar">
    <w:name w:val="Numbered heading 1 Char Char"/>
    <w:link w:val="Numberedheading1"/>
    <w:rsid w:val="001A656A"/>
    <w:rPr>
      <w:rFonts w:ascii="Arial" w:hAnsi="Arial" w:cs="Arial"/>
      <w:b/>
      <w:bCs/>
      <w:kern w:val="32"/>
      <w:sz w:val="32"/>
      <w:szCs w:val="24"/>
      <w:lang w:val="en-US" w:eastAsia="en-US"/>
    </w:rPr>
  </w:style>
  <w:style w:type="paragraph" w:customStyle="1" w:styleId="Bulletindent2">
    <w:name w:val="Bullet indent 2"/>
    <w:basedOn w:val="NICEnormal"/>
    <w:rsid w:val="00D3612A"/>
    <w:pPr>
      <w:numPr>
        <w:ilvl w:val="1"/>
        <w:numId w:val="5"/>
      </w:numPr>
      <w:spacing w:after="0"/>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qFormat/>
    <w:rsid w:val="00981B9F"/>
    <w:pPr>
      <w:numPr>
        <w:ilvl w:val="1"/>
        <w:numId w:val="15"/>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611951"/>
    <w:rPr>
      <w:rFonts w:ascii="Arial" w:hAnsi="Arial" w:cs="Arial"/>
      <w:bCs/>
      <w:iCs/>
      <w:sz w:val="24"/>
      <w:szCs w:val="28"/>
      <w:lang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character" w:customStyle="1" w:styleId="CommentTextChar">
    <w:name w:val="Comment Text Char"/>
    <w:link w:val="CommentText"/>
    <w:rsid w:val="000A1888"/>
    <w:rPr>
      <w:lang w:eastAsia="en-US"/>
    </w:rPr>
  </w:style>
  <w:style w:type="paragraph" w:customStyle="1" w:styleId="Tabletext">
    <w:name w:val="Table text"/>
    <w:basedOn w:val="NICEnormalsinglespacing"/>
    <w:rsid w:val="00BD0372"/>
    <w:pPr>
      <w:keepNext/>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rsid w:val="00CD3174"/>
    <w:rPr>
      <w:sz w:val="16"/>
      <w:szCs w:val="16"/>
    </w:rPr>
  </w:style>
  <w:style w:type="paragraph" w:styleId="CommentText">
    <w:name w:val="annotation text"/>
    <w:basedOn w:val="Normal"/>
    <w:link w:val="CommentTextChar"/>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ListParagraph">
    <w:name w:val="List Paragraph"/>
    <w:basedOn w:val="Normal"/>
    <w:uiPriority w:val="34"/>
    <w:qFormat/>
    <w:rsid w:val="00F844B5"/>
    <w:pPr>
      <w:ind w:left="720"/>
      <w:contextualSpacing/>
    </w:pPr>
    <w:rPr>
      <w:lang w:eastAsia="en-GB"/>
    </w:rPr>
  </w:style>
  <w:style w:type="paragraph" w:styleId="FootnoteText">
    <w:name w:val="footnote text"/>
    <w:basedOn w:val="Normal"/>
    <w:link w:val="FootnoteTextChar"/>
    <w:rsid w:val="00FA45B8"/>
    <w:rPr>
      <w:sz w:val="20"/>
      <w:szCs w:val="20"/>
    </w:rPr>
  </w:style>
  <w:style w:type="character" w:customStyle="1" w:styleId="FootnoteTextChar">
    <w:name w:val="Footnote Text Char"/>
    <w:link w:val="FootnoteText"/>
    <w:rsid w:val="00FA45B8"/>
    <w:rPr>
      <w:lang w:eastAsia="en-US"/>
    </w:rPr>
  </w:style>
  <w:style w:type="character" w:styleId="FootnoteReference">
    <w:name w:val="footnote reference"/>
    <w:rsid w:val="00FA45B8"/>
    <w:rPr>
      <w:vertAlign w:val="superscript"/>
    </w:rPr>
  </w:style>
  <w:style w:type="paragraph" w:styleId="Revision">
    <w:name w:val="Revision"/>
    <w:hidden/>
    <w:uiPriority w:val="99"/>
    <w:semiHidden/>
    <w:rsid w:val="00B51F04"/>
    <w:rPr>
      <w:sz w:val="24"/>
      <w:szCs w:val="24"/>
      <w:lang w:eastAsia="en-US"/>
    </w:rPr>
  </w:style>
  <w:style w:type="character" w:styleId="UnresolvedMention">
    <w:name w:val="Unresolved Mention"/>
    <w:basedOn w:val="DefaultParagraphFont"/>
    <w:uiPriority w:val="99"/>
    <w:semiHidden/>
    <w:unhideWhenUsed/>
    <w:rsid w:val="00A14313"/>
    <w:rPr>
      <w:color w:val="605E5C"/>
      <w:shd w:val="clear" w:color="auto" w:fill="E1DFDD"/>
    </w:rPr>
  </w:style>
  <w:style w:type="character" w:styleId="Strong">
    <w:name w:val="Strong"/>
    <w:basedOn w:val="DefaultParagraphFont"/>
    <w:uiPriority w:val="22"/>
    <w:qFormat/>
    <w:rsid w:val="00E4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812">
      <w:bodyDiv w:val="1"/>
      <w:marLeft w:val="0"/>
      <w:marRight w:val="0"/>
      <w:marTop w:val="0"/>
      <w:marBottom w:val="0"/>
      <w:divBdr>
        <w:top w:val="none" w:sz="0" w:space="0" w:color="auto"/>
        <w:left w:val="none" w:sz="0" w:space="0" w:color="auto"/>
        <w:bottom w:val="none" w:sz="0" w:space="0" w:color="auto"/>
        <w:right w:val="none" w:sz="0" w:space="0" w:color="auto"/>
      </w:divBdr>
    </w:div>
    <w:div w:id="7544096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455829697">
      <w:bodyDiv w:val="1"/>
      <w:marLeft w:val="0"/>
      <w:marRight w:val="0"/>
      <w:marTop w:val="0"/>
      <w:marBottom w:val="0"/>
      <w:divBdr>
        <w:top w:val="none" w:sz="0" w:space="0" w:color="auto"/>
        <w:left w:val="none" w:sz="0" w:space="0" w:color="auto"/>
        <w:bottom w:val="none" w:sz="0" w:space="0" w:color="auto"/>
        <w:right w:val="none" w:sz="0" w:space="0" w:color="auto"/>
      </w:divBdr>
    </w:div>
    <w:div w:id="532113992">
      <w:bodyDiv w:val="1"/>
      <w:marLeft w:val="0"/>
      <w:marRight w:val="0"/>
      <w:marTop w:val="0"/>
      <w:marBottom w:val="0"/>
      <w:divBdr>
        <w:top w:val="none" w:sz="0" w:space="0" w:color="auto"/>
        <w:left w:val="none" w:sz="0" w:space="0" w:color="auto"/>
        <w:bottom w:val="none" w:sz="0" w:space="0" w:color="auto"/>
        <w:right w:val="none" w:sz="0" w:space="0" w:color="auto"/>
      </w:divBdr>
    </w:div>
    <w:div w:id="733314828">
      <w:bodyDiv w:val="1"/>
      <w:marLeft w:val="0"/>
      <w:marRight w:val="0"/>
      <w:marTop w:val="0"/>
      <w:marBottom w:val="0"/>
      <w:divBdr>
        <w:top w:val="none" w:sz="0" w:space="0" w:color="auto"/>
        <w:left w:val="none" w:sz="0" w:space="0" w:color="auto"/>
        <w:bottom w:val="none" w:sz="0" w:space="0" w:color="auto"/>
        <w:right w:val="none" w:sz="0" w:space="0" w:color="auto"/>
      </w:divBdr>
    </w:div>
    <w:div w:id="807094652">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943028211">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indevelopment/gid-ta10307/documents" TargetMode="External"/><Relationship Id="rId13" Type="http://schemas.openxmlformats.org/officeDocument/2006/relationships/hyperlink" Target="https://www.nice.org.uk/guidance/ng10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org.uk/Guidance/cg18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uidance/gid-ta10307/Documents"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B-Members" TargetMode="External"/><Relationship Id="rId10" Type="http://schemas.openxmlformats.org/officeDocument/2006/relationships/hyperlink" Target="https://dhexchange.kahootz.com/connect.ti/PPRS/view?objectId=475707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www.legislation.gov.uk/uksi/2013/259/contents/ma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ACD%20template%20from%20April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C131-786D-4531-BA96-09C3D760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ACD template from April17</Template>
  <TotalTime>1</TotalTime>
  <Pages>28</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51250</CharactersWithSpaces>
  <SharedDoc>false</SharedDoc>
  <HLinks>
    <vt:vector size="102" baseType="variant">
      <vt:variant>
        <vt:i4>3211303</vt:i4>
      </vt:variant>
      <vt:variant>
        <vt:i4>393</vt:i4>
      </vt:variant>
      <vt:variant>
        <vt:i4>0</vt:i4>
      </vt:variant>
      <vt:variant>
        <vt:i4>5</vt:i4>
      </vt:variant>
      <vt:variant>
        <vt:lpwstr>https://www.nice.org.uk/get-involved/meetings-in-public/technology-appraisal-committee</vt:lpwstr>
      </vt:variant>
      <vt:variant>
        <vt:lpwstr/>
      </vt:variant>
      <vt:variant>
        <vt:i4>3211303</vt:i4>
      </vt:variant>
      <vt:variant>
        <vt:i4>390</vt:i4>
      </vt:variant>
      <vt:variant>
        <vt:i4>0</vt:i4>
      </vt:variant>
      <vt:variant>
        <vt:i4>5</vt:i4>
      </vt:variant>
      <vt:variant>
        <vt:lpwstr>https://www.nice.org.uk/get-involved/meetings-in-public/technology-appraisal-committee</vt:lpwstr>
      </vt:variant>
      <vt:variant>
        <vt:lpwstr/>
      </vt:variant>
      <vt:variant>
        <vt:i4>2687086</vt:i4>
      </vt:variant>
      <vt:variant>
        <vt:i4>387</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378</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351</vt:i4>
      </vt:variant>
      <vt:variant>
        <vt:i4>0</vt:i4>
      </vt:variant>
      <vt:variant>
        <vt:i4>5</vt:i4>
      </vt:variant>
      <vt:variant>
        <vt:lpwstr>https://www.england.nhs.uk/cancer/cdf/</vt:lpwstr>
      </vt:variant>
      <vt:variant>
        <vt:lpwstr/>
      </vt:variant>
      <vt:variant>
        <vt:i4>4522076</vt:i4>
      </vt:variant>
      <vt:variant>
        <vt:i4>330</vt:i4>
      </vt:variant>
      <vt:variant>
        <vt:i4>0</vt:i4>
      </vt:variant>
      <vt:variant>
        <vt:i4>5</vt:i4>
      </vt:variant>
      <vt:variant>
        <vt:lpwstr>http://www.legislation.gov.uk/uksi/2013/259/contents/made</vt:lpwstr>
      </vt:variant>
      <vt:variant>
        <vt:lpwstr/>
      </vt:variant>
      <vt:variant>
        <vt:i4>852042</vt:i4>
      </vt:variant>
      <vt:variant>
        <vt:i4>327</vt:i4>
      </vt:variant>
      <vt:variant>
        <vt:i4>0</vt:i4>
      </vt:variant>
      <vt:variant>
        <vt:i4>5</vt:i4>
      </vt:variant>
      <vt:variant>
        <vt:lpwstr>https://www.gov.uk/government/publications/early-access-to-medicines-scheme-eams-how-the-scheme-works</vt:lpwstr>
      </vt:variant>
      <vt:variant>
        <vt:lpwstr/>
      </vt:variant>
      <vt:variant>
        <vt:i4>1572937</vt:i4>
      </vt:variant>
      <vt:variant>
        <vt:i4>321</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315</vt:i4>
      </vt:variant>
      <vt:variant>
        <vt:i4>0</vt:i4>
      </vt:variant>
      <vt:variant>
        <vt:i4>5</vt:i4>
      </vt:variant>
      <vt:variant>
        <vt:lpwstr>http://www.legislation.gov.uk/uksi/2013/259/contents/made</vt:lpwstr>
      </vt:variant>
      <vt:variant>
        <vt:lpwstr/>
      </vt:variant>
      <vt:variant>
        <vt:i4>7274531</vt:i4>
      </vt:variant>
      <vt:variant>
        <vt:i4>273</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270</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255</vt:i4>
      </vt:variant>
      <vt:variant>
        <vt:i4>0</vt:i4>
      </vt:variant>
      <vt:variant>
        <vt:i4>5</vt:i4>
      </vt:variant>
      <vt:variant>
        <vt:lpwstr>https://www.nice.org.uk/process/pmg9/chapter/the-appraisal-of-the-evidence-and-structured-decision-making</vt:lpwstr>
      </vt:variant>
      <vt:variant>
        <vt:lpwstr/>
      </vt:variant>
      <vt:variant>
        <vt:i4>5701707</vt:i4>
      </vt:variant>
      <vt:variant>
        <vt:i4>159</vt:i4>
      </vt:variant>
      <vt:variant>
        <vt:i4>0</vt:i4>
      </vt:variant>
      <vt:variant>
        <vt:i4>5</vt:i4>
      </vt:variant>
      <vt:variant>
        <vt:lpwstr>http://www.nice.org.uk/Guidance/GID-xxxxxx/Documents</vt:lpwstr>
      </vt:variant>
      <vt:variant>
        <vt:lpwstr/>
      </vt:variant>
      <vt:variant>
        <vt:i4>2162708</vt:i4>
      </vt:variant>
      <vt:variant>
        <vt:i4>102</vt:i4>
      </vt:variant>
      <vt:variant>
        <vt:i4>0</vt:i4>
      </vt:variant>
      <vt:variant>
        <vt:i4>5</vt:i4>
      </vt:variant>
      <vt:variant>
        <vt:lpwstr>\\nice.nhs.uk\Data\Global\NICE\NICE Templates\Tech App</vt:lpwstr>
      </vt:variant>
      <vt:variant>
        <vt:lpwstr/>
      </vt:variant>
      <vt:variant>
        <vt:i4>1507346</vt:i4>
      </vt:variant>
      <vt:variant>
        <vt:i4>15</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Mary Hughes</dc:creator>
  <cp:keywords/>
  <cp:lastModifiedBy>Alan Lamb</cp:lastModifiedBy>
  <cp:revision>4</cp:revision>
  <cp:lastPrinted>2019-04-11T13:24:00Z</cp:lastPrinted>
  <dcterms:created xsi:type="dcterms:W3CDTF">2019-04-15T10:05:00Z</dcterms:created>
  <dcterms:modified xsi:type="dcterms:W3CDTF">2019-04-17T10:14:00Z</dcterms:modified>
</cp:coreProperties>
</file>