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1B5FB" w14:textId="77777777" w:rsidR="000F48EC" w:rsidRPr="00C72770" w:rsidRDefault="000F48EC" w:rsidP="0093671F">
      <w:pPr>
        <w:pStyle w:val="Title2"/>
      </w:pPr>
      <w:bookmarkStart w:id="0" w:name="_GoBack"/>
      <w:bookmarkEnd w:id="0"/>
      <w:r w:rsidRPr="00C72770">
        <w:t>NATIONAL INSTITUTE FOR HEALTH AND C</w:t>
      </w:r>
      <w:r w:rsidR="00CC63EB" w:rsidRPr="00C72770">
        <w:t>ARE</w:t>
      </w:r>
      <w:r w:rsidRPr="00C72770">
        <w:t xml:space="preserve"> EXCELLENCE</w:t>
      </w:r>
    </w:p>
    <w:p w14:paraId="39CF3C38" w14:textId="6CAEDAF3" w:rsidR="000F48EC" w:rsidRPr="00C72770" w:rsidRDefault="007A2801" w:rsidP="000069F9">
      <w:pPr>
        <w:pStyle w:val="Title2"/>
      </w:pPr>
      <w:r w:rsidRPr="00C72770">
        <w:t>Appraisal consultation document</w:t>
      </w:r>
    </w:p>
    <w:p w14:paraId="5E46089C" w14:textId="77777777" w:rsidR="00192A07" w:rsidRPr="00C72770" w:rsidRDefault="00192A07" w:rsidP="00192A07">
      <w:pPr>
        <w:pStyle w:val="Title1"/>
      </w:pPr>
      <w:r w:rsidRPr="00C72770">
        <w:t xml:space="preserve">Lorlatinib for previously treated </w:t>
      </w:r>
      <w:bookmarkStart w:id="1" w:name="_Hlk29298781"/>
      <w:r w:rsidRPr="00C72770">
        <w:t>ALK-positive advanced non-small-cell lung cancer</w:t>
      </w:r>
      <w:bookmarkEnd w:id="1"/>
    </w:p>
    <w:p w14:paraId="3FC52176" w14:textId="77777777" w:rsidR="007A2801" w:rsidRPr="00C72770" w:rsidRDefault="007A2801" w:rsidP="00034110">
      <w:pPr>
        <w:pStyle w:val="Titl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C72770" w14:paraId="5730099B" w14:textId="77777777" w:rsidTr="00734F5A">
        <w:tc>
          <w:tcPr>
            <w:tcW w:w="8529" w:type="dxa"/>
            <w:shd w:val="clear" w:color="auto" w:fill="auto"/>
          </w:tcPr>
          <w:p w14:paraId="08A18F13" w14:textId="7DE5710D" w:rsidR="007A2801" w:rsidRPr="00C72770" w:rsidRDefault="007A2801" w:rsidP="00734F5A">
            <w:pPr>
              <w:pStyle w:val="NICEnormalsinglespacing"/>
            </w:pPr>
            <w:r w:rsidRPr="00C72770">
              <w:t xml:space="preserve">The Department of Health and Social Care has asked the National Institute for Health and Care Excellence (NICE) to produce guidance on using </w:t>
            </w:r>
            <w:r w:rsidR="00192A07" w:rsidRPr="00C72770">
              <w:t>lorlatinib</w:t>
            </w:r>
            <w:r w:rsidRPr="00C72770">
              <w:t xml:space="preserve"> in the NHS in England. The appraisal committee has considered the evidence submitted by the company and the views of non-company consultees and commentators, clinical experts and patient experts.</w:t>
            </w:r>
          </w:p>
          <w:p w14:paraId="38FA9243" w14:textId="0279D533" w:rsidR="007A2801" w:rsidRPr="00C72770" w:rsidRDefault="007A2801" w:rsidP="00734F5A">
            <w:pPr>
              <w:pStyle w:val="NICEnormalsinglespacing"/>
            </w:pPr>
            <w:r w:rsidRPr="00C72770">
              <w:rPr>
                <w:b/>
              </w:rPr>
              <w:t>This document has been prepared for consultation with the consultees.</w:t>
            </w:r>
            <w:r w:rsidRPr="00C72770">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C72770">
                <w:rPr>
                  <w:rStyle w:val="Hyperlink"/>
                </w:rPr>
                <w:t>committee papers</w:t>
              </w:r>
            </w:hyperlink>
            <w:r w:rsidRPr="00C72770">
              <w:t>).</w:t>
            </w:r>
          </w:p>
          <w:p w14:paraId="7FC9DD51" w14:textId="77777777" w:rsidR="007A2801" w:rsidRPr="00C72770" w:rsidRDefault="007A2801" w:rsidP="00734F5A">
            <w:pPr>
              <w:pStyle w:val="NICEnormalsinglespacing"/>
            </w:pPr>
            <w:r w:rsidRPr="00C72770">
              <w:t>The appraisal committee is interested in receiving comments on the following:</w:t>
            </w:r>
          </w:p>
          <w:p w14:paraId="7E3C697A" w14:textId="77777777" w:rsidR="007A2801" w:rsidRPr="00C72770" w:rsidRDefault="007A2801" w:rsidP="00734F5A">
            <w:pPr>
              <w:pStyle w:val="Bulletleft1"/>
              <w:spacing w:line="240" w:lineRule="auto"/>
            </w:pPr>
            <w:r w:rsidRPr="00C72770">
              <w:t>Has all of the relevant evidence been taken into account?</w:t>
            </w:r>
          </w:p>
          <w:p w14:paraId="6EA773AA" w14:textId="77777777" w:rsidR="007A2801" w:rsidRPr="00C72770" w:rsidRDefault="007A2801" w:rsidP="00734F5A">
            <w:pPr>
              <w:pStyle w:val="Bulletleft1"/>
              <w:spacing w:line="240" w:lineRule="auto"/>
            </w:pPr>
            <w:r w:rsidRPr="00C72770">
              <w:t>Are the summaries of clinical and cost effectiveness reasonable interpretations of the evidence?</w:t>
            </w:r>
          </w:p>
          <w:p w14:paraId="290D34D3" w14:textId="77777777" w:rsidR="007A2801" w:rsidRPr="00C72770" w:rsidRDefault="007A2801" w:rsidP="00734F5A">
            <w:pPr>
              <w:pStyle w:val="Bulletleft1"/>
              <w:spacing w:line="240" w:lineRule="auto"/>
            </w:pPr>
            <w:r w:rsidRPr="00C72770">
              <w:t>Are the recommendations sound and a suitable basis for guidance to the NHS?</w:t>
            </w:r>
          </w:p>
          <w:p w14:paraId="7AB04410" w14:textId="77777777" w:rsidR="007A2801" w:rsidRPr="00C72770" w:rsidRDefault="007A2801" w:rsidP="00734F5A">
            <w:pPr>
              <w:pStyle w:val="Bulletleft1"/>
              <w:spacing w:line="240" w:lineRule="auto"/>
            </w:pPr>
            <w:r w:rsidRPr="00C72770">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68ED5972" w14:textId="77777777" w:rsidR="007A2801" w:rsidRPr="00C72770" w:rsidRDefault="007A2801">
      <w:pPr>
        <w:rPr>
          <w:rFonts w:ascii="Arial" w:hAnsi="Arial"/>
        </w:rPr>
      </w:pPr>
      <w:r w:rsidRPr="00C7277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C72770" w14:paraId="7EBD7075" w14:textId="77777777" w:rsidTr="00734F5A">
        <w:tc>
          <w:tcPr>
            <w:tcW w:w="8529" w:type="dxa"/>
            <w:shd w:val="clear" w:color="auto" w:fill="auto"/>
          </w:tcPr>
          <w:p w14:paraId="748D57F5" w14:textId="77777777" w:rsidR="007A2801" w:rsidRPr="00C72770" w:rsidRDefault="007A2801" w:rsidP="00734F5A">
            <w:pPr>
              <w:pStyle w:val="NICEnormalsinglespacing"/>
              <w:rPr>
                <w:b/>
                <w:bCs/>
              </w:rPr>
            </w:pPr>
            <w:r w:rsidRPr="00C72770">
              <w:rPr>
                <w:b/>
                <w:bCs/>
              </w:rPr>
              <w:lastRenderedPageBreak/>
              <w:t>Note that this document is not NICE's final guidance on this technology. The recommendations in section 1 may change after consultation.</w:t>
            </w:r>
          </w:p>
          <w:p w14:paraId="6D744145" w14:textId="77777777" w:rsidR="007A2801" w:rsidRPr="00C72770" w:rsidRDefault="007A2801" w:rsidP="00734F5A">
            <w:pPr>
              <w:pStyle w:val="NICEnormalsinglespacing"/>
            </w:pPr>
            <w:r w:rsidRPr="00C72770">
              <w:t>After consultation:</w:t>
            </w:r>
          </w:p>
          <w:p w14:paraId="1FF8EA3B" w14:textId="77777777" w:rsidR="007A2801" w:rsidRPr="00C72770" w:rsidRDefault="007A2801" w:rsidP="00734F5A">
            <w:pPr>
              <w:pStyle w:val="Bulletleft1"/>
              <w:spacing w:line="240" w:lineRule="auto"/>
            </w:pPr>
            <w:r w:rsidRPr="00C72770">
              <w:t>The appraisal committee will meet again to consider the evidence, this appraisal consultation document and comments from the consultees.</w:t>
            </w:r>
          </w:p>
          <w:p w14:paraId="2B3E9E25" w14:textId="77777777" w:rsidR="007A2801" w:rsidRPr="00C72770" w:rsidRDefault="007A2801" w:rsidP="00734F5A">
            <w:pPr>
              <w:pStyle w:val="Bulletleft1"/>
              <w:spacing w:line="240" w:lineRule="auto"/>
            </w:pPr>
            <w:r w:rsidRPr="00C72770">
              <w:t>At that meeting, the committee will also consider comments made by people who are not consultees.</w:t>
            </w:r>
          </w:p>
          <w:p w14:paraId="1C45BA93" w14:textId="77777777" w:rsidR="007A2801" w:rsidRPr="00C72770" w:rsidRDefault="007A2801" w:rsidP="00734F5A">
            <w:pPr>
              <w:pStyle w:val="Bulletleft1"/>
              <w:spacing w:line="240" w:lineRule="auto"/>
            </w:pPr>
            <w:r w:rsidRPr="00C72770">
              <w:t>After considering these comments, the committee will prepare the final appraisal document.</w:t>
            </w:r>
          </w:p>
          <w:p w14:paraId="3A1357AB" w14:textId="16F4A4DA" w:rsidR="007A2801" w:rsidRPr="00C72770" w:rsidRDefault="007A2801" w:rsidP="00734F5A">
            <w:pPr>
              <w:pStyle w:val="Bulletleft1last"/>
              <w:spacing w:line="240" w:lineRule="auto"/>
            </w:pPr>
            <w:r w:rsidRPr="00C72770">
              <w:t xml:space="preserve">Subject to any appeal by consultees, the final appraisal document may be used as the basis for NICE’s guidance on using </w:t>
            </w:r>
            <w:r w:rsidR="00E76006" w:rsidRPr="00C72770">
              <w:t>lorlatinib</w:t>
            </w:r>
            <w:r w:rsidRPr="00C72770">
              <w:t xml:space="preserve"> in the NHS in England.</w:t>
            </w:r>
          </w:p>
          <w:p w14:paraId="131712CA" w14:textId="77777777" w:rsidR="007A2801" w:rsidRPr="00C72770" w:rsidRDefault="007A2801" w:rsidP="00734F5A">
            <w:pPr>
              <w:pStyle w:val="NICEnormalsinglespacing"/>
            </w:pPr>
            <w:r w:rsidRPr="00C72770">
              <w:t xml:space="preserve">For further details, see NICE’s </w:t>
            </w:r>
            <w:hyperlink r:id="rId9" w:history="1">
              <w:r w:rsidRPr="00C72770">
                <w:rPr>
                  <w:rStyle w:val="Hyperlink"/>
                </w:rPr>
                <w:t>guide to the processes of technology appraisal</w:t>
              </w:r>
            </w:hyperlink>
            <w:r w:rsidRPr="00C72770">
              <w:t>.</w:t>
            </w:r>
          </w:p>
          <w:p w14:paraId="773896C9" w14:textId="77777777" w:rsidR="007A2801" w:rsidRPr="00C72770" w:rsidRDefault="007A2801" w:rsidP="00734F5A">
            <w:pPr>
              <w:pStyle w:val="NICEnormalsinglespacing"/>
              <w:rPr>
                <w:b/>
                <w:bCs/>
              </w:rPr>
            </w:pPr>
            <w:r w:rsidRPr="00C72770">
              <w:rPr>
                <w:b/>
                <w:bCs/>
              </w:rPr>
              <w:t>The key dates for this appraisal are:</w:t>
            </w:r>
          </w:p>
          <w:p w14:paraId="50FDA131" w14:textId="099A235F" w:rsidR="007A2801" w:rsidRPr="00C72770" w:rsidRDefault="007A2801" w:rsidP="00734F5A">
            <w:pPr>
              <w:pStyle w:val="NICEnormalsinglespacing"/>
            </w:pPr>
            <w:r w:rsidRPr="00C72770">
              <w:t xml:space="preserve">Closing date for comments: </w:t>
            </w:r>
            <w:r w:rsidR="00A50F2A">
              <w:t>18 February 2020</w:t>
            </w:r>
          </w:p>
          <w:p w14:paraId="2D1DBE87" w14:textId="794BA051" w:rsidR="007A2801" w:rsidRPr="00C72770" w:rsidRDefault="007A2801" w:rsidP="00734F5A">
            <w:pPr>
              <w:pStyle w:val="NICEnormalsinglespacing"/>
            </w:pPr>
            <w:r w:rsidRPr="00C72770">
              <w:t xml:space="preserve">Second appraisal committee meeting: </w:t>
            </w:r>
            <w:r w:rsidR="00325EB1">
              <w:t>TBC</w:t>
            </w:r>
          </w:p>
          <w:p w14:paraId="6922FFD5" w14:textId="426506D2" w:rsidR="007A2801" w:rsidRPr="00C72770" w:rsidRDefault="007A2801" w:rsidP="00734F5A">
            <w:pPr>
              <w:pStyle w:val="NICEnormalsinglespacing"/>
            </w:pPr>
            <w:r w:rsidRPr="00C72770">
              <w:t xml:space="preserve">Details of membership of the appraisal committee are given in section </w:t>
            </w:r>
            <w:r w:rsidR="000F7F29">
              <w:t>5</w:t>
            </w:r>
            <w:r w:rsidRPr="00C72770">
              <w:t>.</w:t>
            </w:r>
          </w:p>
        </w:tc>
      </w:tr>
    </w:tbl>
    <w:p w14:paraId="44902FCA" w14:textId="77777777" w:rsidR="007A2801" w:rsidRPr="00C72770" w:rsidRDefault="007A2801" w:rsidP="00C76DDA">
      <w:pPr>
        <w:pStyle w:val="NICEnormal"/>
      </w:pPr>
    </w:p>
    <w:p w14:paraId="6A8638D0" w14:textId="77777777" w:rsidR="007A2801" w:rsidRPr="00C72770" w:rsidRDefault="007A2801">
      <w:pPr>
        <w:rPr>
          <w:rFonts w:ascii="Arial" w:hAnsi="Arial"/>
        </w:rPr>
      </w:pPr>
      <w:r w:rsidRPr="00C72770">
        <w:br w:type="page"/>
      </w:r>
    </w:p>
    <w:p w14:paraId="3A3E7B00" w14:textId="77777777" w:rsidR="000F48EC" w:rsidRPr="00C72770" w:rsidRDefault="00B379C5" w:rsidP="00C04C0E">
      <w:pPr>
        <w:pStyle w:val="Numberedheading1"/>
      </w:pPr>
      <w:r w:rsidRPr="00C72770">
        <w:lastRenderedPageBreak/>
        <w:t>Recommendations</w:t>
      </w:r>
    </w:p>
    <w:p w14:paraId="3050B1BD" w14:textId="41AD1DDD" w:rsidR="0050472B" w:rsidRDefault="0050472B" w:rsidP="0050472B">
      <w:pPr>
        <w:pStyle w:val="Numberedlevel2text"/>
        <w:rPr>
          <w:lang w:val="en-GB"/>
        </w:rPr>
      </w:pPr>
      <w:r w:rsidRPr="00C72770">
        <w:rPr>
          <w:rStyle w:val="Numberedlevel2textChar"/>
          <w:lang w:val="en-GB"/>
        </w:rPr>
        <w:t>Lorlatinib</w:t>
      </w:r>
      <w:r w:rsidR="007A2801" w:rsidRPr="00C72770">
        <w:rPr>
          <w:lang w:val="en-GB"/>
        </w:rPr>
        <w:t xml:space="preserve"> is not recommended, within its marketing authorisation, for treating </w:t>
      </w:r>
      <w:r w:rsidRPr="00C72770">
        <w:rPr>
          <w:lang w:val="en-GB"/>
        </w:rPr>
        <w:t>anaplastic lympho</w:t>
      </w:r>
      <w:r w:rsidR="00467A19">
        <w:rPr>
          <w:lang w:val="en-GB"/>
        </w:rPr>
        <w:t>ma</w:t>
      </w:r>
      <w:r w:rsidRPr="00C72770">
        <w:rPr>
          <w:lang w:val="en-GB"/>
        </w:rPr>
        <w:t xml:space="preserve"> kinase (</w:t>
      </w:r>
      <w:r w:rsidRPr="00C72770">
        <w:rPr>
          <w:rStyle w:val="Numberedlevel2textChar"/>
          <w:lang w:val="en-GB"/>
        </w:rPr>
        <w:t>ALK)-positive advanced non-small-cell lung cancer</w:t>
      </w:r>
      <w:r w:rsidR="007A2801" w:rsidRPr="00C72770">
        <w:rPr>
          <w:lang w:val="en-GB"/>
        </w:rPr>
        <w:t xml:space="preserve"> </w:t>
      </w:r>
      <w:r w:rsidRPr="00C72770">
        <w:rPr>
          <w:lang w:val="en-GB"/>
        </w:rPr>
        <w:t xml:space="preserve">(NSCLC) </w:t>
      </w:r>
      <w:r w:rsidR="007A2801" w:rsidRPr="00C72770">
        <w:rPr>
          <w:lang w:val="en-GB"/>
        </w:rPr>
        <w:t xml:space="preserve">in </w:t>
      </w:r>
      <w:r w:rsidRPr="00C72770">
        <w:rPr>
          <w:rStyle w:val="Numberedlevel2textChar"/>
          <w:lang w:val="en-GB"/>
        </w:rPr>
        <w:t>adults</w:t>
      </w:r>
      <w:r w:rsidR="003F7A94">
        <w:rPr>
          <w:rStyle w:val="Numberedlevel2textChar"/>
          <w:lang w:val="en-GB"/>
        </w:rPr>
        <w:t xml:space="preserve"> whose disease has progressed after:</w:t>
      </w:r>
    </w:p>
    <w:p w14:paraId="15786E5C" w14:textId="4DDFAB75" w:rsidR="003F7A94" w:rsidRDefault="003F7A94" w:rsidP="003F7A94">
      <w:pPr>
        <w:pStyle w:val="Bulletindent1"/>
        <w:rPr>
          <w:rStyle w:val="NICEnormalChar"/>
        </w:rPr>
      </w:pPr>
      <w:r w:rsidRPr="00C72770">
        <w:rPr>
          <w:rStyle w:val="NICEnormalChar"/>
        </w:rPr>
        <w:t>alectinib or ceritinib as the first ALK tyrosine kinase inhibitor</w:t>
      </w:r>
    </w:p>
    <w:p w14:paraId="18C17E59" w14:textId="28381448" w:rsidR="003F7A94" w:rsidRPr="00C72770" w:rsidRDefault="003F7A94" w:rsidP="00722BCD">
      <w:pPr>
        <w:pStyle w:val="Bulletindent1last"/>
      </w:pPr>
      <w:r w:rsidRPr="00C72770">
        <w:rPr>
          <w:rStyle w:val="NICEnormalChar"/>
        </w:rPr>
        <w:t xml:space="preserve">crizotinib and at least </w:t>
      </w:r>
      <w:r>
        <w:rPr>
          <w:rStyle w:val="NICEnormalChar"/>
        </w:rPr>
        <w:t>1 </w:t>
      </w:r>
      <w:r w:rsidRPr="00C72770">
        <w:rPr>
          <w:rStyle w:val="NICEnormalChar"/>
        </w:rPr>
        <w:t xml:space="preserve">other ALK </w:t>
      </w:r>
      <w:r>
        <w:rPr>
          <w:rStyle w:val="NICEnormalChar"/>
        </w:rPr>
        <w:t>tyrosine kinase inhibitor.</w:t>
      </w:r>
    </w:p>
    <w:p w14:paraId="589B7C80" w14:textId="295F8925" w:rsidR="0050472B" w:rsidRPr="00C72770" w:rsidRDefault="002F2C1A" w:rsidP="0050472B">
      <w:pPr>
        <w:pStyle w:val="Numberedlevel2text"/>
        <w:rPr>
          <w:b/>
          <w:lang w:val="en-GB"/>
        </w:rPr>
      </w:pPr>
      <w:r w:rsidRPr="00C72770">
        <w:rPr>
          <w:lang w:val="en-GB"/>
        </w:rPr>
        <w:t xml:space="preserve">This recommendation is not intended to affect treatment with </w:t>
      </w:r>
      <w:r w:rsidR="0050472B" w:rsidRPr="00C72770">
        <w:rPr>
          <w:lang w:val="en-GB"/>
        </w:rPr>
        <w:t>lorlatinib</w:t>
      </w:r>
      <w:r w:rsidRPr="00C72770">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37FBCD22" w14:textId="78F36DF7" w:rsidR="00372031" w:rsidRPr="00C72770" w:rsidRDefault="00C11F58" w:rsidP="004367B1">
      <w:pPr>
        <w:pStyle w:val="Numberedlevel2text"/>
        <w:numPr>
          <w:ilvl w:val="0"/>
          <w:numId w:val="0"/>
        </w:numPr>
        <w:rPr>
          <w:lang w:val="en-GB"/>
        </w:rPr>
      </w:pPr>
      <w:r w:rsidRPr="00C72770">
        <w:rPr>
          <w:b/>
          <w:lang w:val="en-GB"/>
        </w:rPr>
        <w:t>Why the committee made these recommendations</w:t>
      </w:r>
    </w:p>
    <w:p w14:paraId="46638822" w14:textId="71AA79CB" w:rsidR="0042124D" w:rsidRPr="00C72770" w:rsidRDefault="0042124D" w:rsidP="00C22323">
      <w:pPr>
        <w:pStyle w:val="Numberedlevel2text"/>
        <w:numPr>
          <w:ilvl w:val="0"/>
          <w:numId w:val="0"/>
        </w:numPr>
      </w:pPr>
      <w:r w:rsidRPr="00C72770">
        <w:t xml:space="preserve">Advanced ALK-positive NSCLC is usually first treated with </w:t>
      </w:r>
      <w:r w:rsidR="00C22323">
        <w:t>a</w:t>
      </w:r>
      <w:r w:rsidR="00BF235D">
        <w:rPr>
          <w:lang w:val="en-US"/>
        </w:rPr>
        <w:t>n</w:t>
      </w:r>
      <w:r w:rsidR="00C22323">
        <w:t xml:space="preserve"> ALK tyrosine kinase inhibitor (</w:t>
      </w:r>
      <w:r w:rsidRPr="00C72770">
        <w:t>alectinib</w:t>
      </w:r>
      <w:r w:rsidR="00C22323">
        <w:t xml:space="preserve"> or</w:t>
      </w:r>
      <w:r w:rsidRPr="00C72770">
        <w:t xml:space="preserve"> ceritinib</w:t>
      </w:r>
      <w:r w:rsidR="00C22323">
        <w:rPr>
          <w:lang w:val="en-US"/>
        </w:rPr>
        <w:t>,</w:t>
      </w:r>
      <w:r w:rsidRPr="00C72770">
        <w:t xml:space="preserve"> or crizotinib followed by either brigatinib or ceritinib</w:t>
      </w:r>
      <w:r w:rsidR="00C22323">
        <w:rPr>
          <w:lang w:val="en-US"/>
        </w:rPr>
        <w:t>)</w:t>
      </w:r>
      <w:r w:rsidRPr="00C72770">
        <w:t xml:space="preserve">. </w:t>
      </w:r>
      <w:r w:rsidR="005835F2">
        <w:rPr>
          <w:lang w:val="en-US"/>
        </w:rPr>
        <w:t>P</w:t>
      </w:r>
      <w:r w:rsidR="00742E00">
        <w:t xml:space="preserve">eople </w:t>
      </w:r>
      <w:r w:rsidR="005835F2">
        <w:rPr>
          <w:lang w:val="en-US"/>
        </w:rPr>
        <w:t xml:space="preserve">then </w:t>
      </w:r>
      <w:r w:rsidR="00742E00">
        <w:t>have</w:t>
      </w:r>
      <w:r w:rsidR="00F235EE" w:rsidRPr="00C72770">
        <w:t xml:space="preserve"> either platinum doublet chemotherapy (PDC) or atezolizumab</w:t>
      </w:r>
      <w:r w:rsidR="004938C9">
        <w:t xml:space="preserve"> with</w:t>
      </w:r>
      <w:r w:rsidR="00F235EE" w:rsidRPr="00C72770">
        <w:t xml:space="preserve"> bevacizumab, carboplatin and paclitaxel (ABCP).</w:t>
      </w:r>
    </w:p>
    <w:p w14:paraId="62B52D77" w14:textId="533794D3" w:rsidR="003B6C9D" w:rsidRDefault="003C0346" w:rsidP="004D307C">
      <w:pPr>
        <w:pStyle w:val="Numberedlevel2text"/>
        <w:numPr>
          <w:ilvl w:val="0"/>
          <w:numId w:val="0"/>
        </w:numPr>
        <w:rPr>
          <w:lang w:val="en-US"/>
        </w:rPr>
      </w:pPr>
      <w:r>
        <w:rPr>
          <w:lang w:val="en-US"/>
        </w:rPr>
        <w:t xml:space="preserve">Lorlatinib, </w:t>
      </w:r>
      <w:r>
        <w:t>another ALK tyrosine kinase inhibitor</w:t>
      </w:r>
      <w:r>
        <w:rPr>
          <w:lang w:val="en-US"/>
        </w:rPr>
        <w:t xml:space="preserve">, has not been compared directly with other drugs. </w:t>
      </w:r>
      <w:r w:rsidR="001C6D93">
        <w:rPr>
          <w:lang w:val="en-US"/>
        </w:rPr>
        <w:t xml:space="preserve">But </w:t>
      </w:r>
      <w:r w:rsidR="00AA36B6">
        <w:rPr>
          <w:lang w:val="en-US"/>
        </w:rPr>
        <w:t xml:space="preserve">analyses </w:t>
      </w:r>
      <w:r w:rsidR="00246A88">
        <w:rPr>
          <w:lang w:val="en-US"/>
        </w:rPr>
        <w:t>indirect</w:t>
      </w:r>
      <w:r w:rsidR="00AA36B6">
        <w:rPr>
          <w:lang w:val="en-US"/>
        </w:rPr>
        <w:t>ly</w:t>
      </w:r>
      <w:r w:rsidR="00246A88">
        <w:rPr>
          <w:lang w:val="en-US"/>
        </w:rPr>
        <w:t xml:space="preserve"> compari</w:t>
      </w:r>
      <w:r w:rsidR="00AA36B6">
        <w:rPr>
          <w:lang w:val="en-US"/>
        </w:rPr>
        <w:t>ng</w:t>
      </w:r>
      <w:r w:rsidR="001C6D93">
        <w:rPr>
          <w:lang w:val="en-US"/>
        </w:rPr>
        <w:t xml:space="preserve"> lorlatinib </w:t>
      </w:r>
      <w:r w:rsidR="00246A88">
        <w:rPr>
          <w:lang w:val="en-US"/>
        </w:rPr>
        <w:t xml:space="preserve">with </w:t>
      </w:r>
      <w:r w:rsidR="008B414A">
        <w:rPr>
          <w:lang w:val="en-US"/>
        </w:rPr>
        <w:t xml:space="preserve">PDC </w:t>
      </w:r>
      <w:r w:rsidR="003B6C9D">
        <w:rPr>
          <w:lang w:val="en-US"/>
        </w:rPr>
        <w:t xml:space="preserve">and </w:t>
      </w:r>
      <w:r w:rsidR="008B414A">
        <w:rPr>
          <w:lang w:val="en-US"/>
        </w:rPr>
        <w:t xml:space="preserve">ABCP </w:t>
      </w:r>
      <w:r w:rsidR="0042124D" w:rsidRPr="00C72770">
        <w:t>suggest that</w:t>
      </w:r>
      <w:r w:rsidR="003B6C9D">
        <w:rPr>
          <w:lang w:val="en-US"/>
        </w:rPr>
        <w:t xml:space="preserve"> </w:t>
      </w:r>
      <w:r w:rsidR="0042124D" w:rsidRPr="00C72770">
        <w:t xml:space="preserve">people who take </w:t>
      </w:r>
      <w:r w:rsidR="004D307C">
        <w:rPr>
          <w:lang w:val="en-US"/>
        </w:rPr>
        <w:t>lorlatinib</w:t>
      </w:r>
      <w:r w:rsidR="003B6C9D">
        <w:rPr>
          <w:lang w:val="en-US"/>
        </w:rPr>
        <w:t>:</w:t>
      </w:r>
    </w:p>
    <w:p w14:paraId="4AC0FA9D" w14:textId="69DA3E1E" w:rsidR="004D307C" w:rsidRDefault="008B414A" w:rsidP="003B6C9D">
      <w:pPr>
        <w:pStyle w:val="Bulletleft1"/>
      </w:pPr>
      <w:r>
        <w:t>have</w:t>
      </w:r>
      <w:r w:rsidRPr="00C72770">
        <w:t xml:space="preserve"> longer </w:t>
      </w:r>
      <w:r>
        <w:t>before</w:t>
      </w:r>
      <w:r w:rsidRPr="00C72770">
        <w:t xml:space="preserve"> </w:t>
      </w:r>
      <w:r>
        <w:t xml:space="preserve">their </w:t>
      </w:r>
      <w:r w:rsidRPr="00C72770">
        <w:t>disease progress</w:t>
      </w:r>
      <w:r>
        <w:t>es</w:t>
      </w:r>
      <w:r w:rsidRPr="00C72770">
        <w:t xml:space="preserve"> than people who take PDC</w:t>
      </w:r>
      <w:r w:rsidDel="004D307C">
        <w:rPr>
          <w:lang w:val="en-US"/>
        </w:rPr>
        <w:t xml:space="preserve"> </w:t>
      </w:r>
    </w:p>
    <w:p w14:paraId="434B4D33" w14:textId="53DC7C83" w:rsidR="0042124D" w:rsidRPr="00C72770" w:rsidRDefault="008B414A" w:rsidP="00A16EDF">
      <w:pPr>
        <w:pStyle w:val="Bulletleft1last"/>
      </w:pPr>
      <w:r>
        <w:t>have</w:t>
      </w:r>
      <w:r w:rsidRPr="00C72770">
        <w:t xml:space="preserve"> longer </w:t>
      </w:r>
      <w:r>
        <w:t>before</w:t>
      </w:r>
      <w:r w:rsidRPr="00C72770">
        <w:t xml:space="preserve"> </w:t>
      </w:r>
      <w:r>
        <w:t xml:space="preserve">their </w:t>
      </w:r>
      <w:r w:rsidRPr="00C72770">
        <w:t>disease progress</w:t>
      </w:r>
      <w:r>
        <w:t>es</w:t>
      </w:r>
      <w:r w:rsidRPr="00C72770">
        <w:t xml:space="preserve"> and may live longer than people who take ABCP</w:t>
      </w:r>
      <w:r w:rsidR="00565E37" w:rsidRPr="00C72770">
        <w:t>.</w:t>
      </w:r>
    </w:p>
    <w:p w14:paraId="2CF9E5E9" w14:textId="4C95B7B3" w:rsidR="00BF1AA8" w:rsidRPr="00C72770" w:rsidRDefault="00E03410" w:rsidP="00722BCD">
      <w:pPr>
        <w:pStyle w:val="NICEnormal"/>
      </w:pPr>
      <w:r>
        <w:t>T</w:t>
      </w:r>
      <w:r w:rsidRPr="00C72770">
        <w:t xml:space="preserve">he </w:t>
      </w:r>
      <w:r w:rsidR="0006437E" w:rsidRPr="00E03410">
        <w:rPr>
          <w:lang w:val="en-US"/>
        </w:rPr>
        <w:t>methods and results</w:t>
      </w:r>
      <w:r w:rsidR="0006437E" w:rsidRPr="00C72770">
        <w:t xml:space="preserve"> </w:t>
      </w:r>
      <w:r w:rsidR="0006437E">
        <w:t xml:space="preserve">of the </w:t>
      </w:r>
      <w:r w:rsidRPr="00C72770">
        <w:t>cost-effectiveness modelling</w:t>
      </w:r>
      <w:r>
        <w:t xml:space="preserve"> </w:t>
      </w:r>
      <w:r w:rsidR="0006437E">
        <w:t>are</w:t>
      </w:r>
      <w:r>
        <w:t xml:space="preserve"> very uncertain</w:t>
      </w:r>
      <w:r w:rsidRPr="00C72770">
        <w:t xml:space="preserve">, </w:t>
      </w:r>
      <w:r>
        <w:t>because of l</w:t>
      </w:r>
      <w:r>
        <w:rPr>
          <w:lang w:val="en-US"/>
        </w:rPr>
        <w:t>imitations in the data</w:t>
      </w:r>
      <w:r w:rsidR="0015791B">
        <w:rPr>
          <w:lang w:val="en-US"/>
        </w:rPr>
        <w:t xml:space="preserve"> and </w:t>
      </w:r>
      <w:r w:rsidR="003D4546">
        <w:rPr>
          <w:lang w:val="en-US"/>
        </w:rPr>
        <w:t>how</w:t>
      </w:r>
      <w:r w:rsidR="0015791B">
        <w:rPr>
          <w:lang w:val="en-US"/>
        </w:rPr>
        <w:t xml:space="preserve"> the treatments </w:t>
      </w:r>
      <w:r w:rsidR="00BD47E6">
        <w:rPr>
          <w:lang w:val="en-US"/>
        </w:rPr>
        <w:t>a</w:t>
      </w:r>
      <w:r w:rsidR="0015791B">
        <w:rPr>
          <w:lang w:val="en-US"/>
        </w:rPr>
        <w:t>re compared indire</w:t>
      </w:r>
      <w:r w:rsidR="00755B50">
        <w:rPr>
          <w:lang w:val="en-US"/>
        </w:rPr>
        <w:t>c</w:t>
      </w:r>
      <w:r w:rsidR="0015791B">
        <w:rPr>
          <w:lang w:val="en-US"/>
        </w:rPr>
        <w:t>tly</w:t>
      </w:r>
      <w:r>
        <w:rPr>
          <w:lang w:val="en-US"/>
        </w:rPr>
        <w:t xml:space="preserve">. </w:t>
      </w:r>
      <w:r w:rsidRPr="00C72770">
        <w:t xml:space="preserve">Lorlatinib meets NICE’s criteria to be considered a life-extending treatment at the end of life. </w:t>
      </w:r>
      <w:r w:rsidR="0006437E">
        <w:t>But t</w:t>
      </w:r>
      <w:r w:rsidR="00BF1AA8" w:rsidRPr="00C72770">
        <w:t xml:space="preserve">he most </w:t>
      </w:r>
      <w:r w:rsidR="00031FDA">
        <w:rPr>
          <w:lang w:val="en-US"/>
        </w:rPr>
        <w:t>likely</w:t>
      </w:r>
      <w:r w:rsidR="00031FDA" w:rsidRPr="00C72770">
        <w:t xml:space="preserve"> </w:t>
      </w:r>
      <w:r w:rsidR="00BF1AA8" w:rsidRPr="00C72770">
        <w:t>cost</w:t>
      </w:r>
      <w:r w:rsidR="008B2AD5">
        <w:t>-</w:t>
      </w:r>
      <w:r w:rsidR="00BF1AA8" w:rsidRPr="00C72770">
        <w:t xml:space="preserve">effectiveness estimates </w:t>
      </w:r>
      <w:r w:rsidR="00E30B42">
        <w:t>are</w:t>
      </w:r>
      <w:r w:rsidR="00BF1AA8" w:rsidRPr="00C72770">
        <w:t xml:space="preserve"> </w:t>
      </w:r>
      <w:r w:rsidR="008D3872">
        <w:rPr>
          <w:lang w:val="en-US"/>
        </w:rPr>
        <w:t>higher than</w:t>
      </w:r>
      <w:r w:rsidR="008D3872" w:rsidRPr="00C72770">
        <w:t xml:space="preserve"> </w:t>
      </w:r>
      <w:r w:rsidR="00BF1AA8" w:rsidRPr="00C72770">
        <w:t xml:space="preserve">what NICE normally considers an acceptable use of NHS resources. So lorlatinib is not </w:t>
      </w:r>
      <w:r w:rsidR="00BF1AA8" w:rsidRPr="00C72770">
        <w:lastRenderedPageBreak/>
        <w:t xml:space="preserve">recommended. </w:t>
      </w:r>
      <w:r w:rsidR="00E30B42">
        <w:t>Lorlatinib</w:t>
      </w:r>
      <w:r w:rsidR="00E30B42" w:rsidRPr="00C72770">
        <w:t xml:space="preserve"> does not meet NICE’s criteria to be included in the Cancer Drugs Fund</w:t>
      </w:r>
      <w:r w:rsidR="00E30B42">
        <w:t>.</w:t>
      </w:r>
    </w:p>
    <w:p w14:paraId="51F97049" w14:textId="7E1A28F3" w:rsidR="00EA1CB1" w:rsidRPr="00C72770" w:rsidRDefault="00EA1CB1" w:rsidP="00C04C0E">
      <w:pPr>
        <w:pStyle w:val="Numberedheading1"/>
      </w:pPr>
      <w:r w:rsidRPr="00C72770">
        <w:t xml:space="preserve">Information about </w:t>
      </w:r>
      <w:r w:rsidR="00775C29" w:rsidRPr="00C72770">
        <w:t>lorlatinib</w:t>
      </w:r>
    </w:p>
    <w:p w14:paraId="3F7C0037" w14:textId="4B3DB6E8" w:rsidR="00775C29" w:rsidRPr="00C72770" w:rsidRDefault="00B82A82" w:rsidP="00775C29">
      <w:pPr>
        <w:pStyle w:val="Heading2"/>
        <w:rPr>
          <w:rStyle w:val="NICEnormalChar"/>
          <w:b w:val="0"/>
          <w:i w:val="0"/>
        </w:rPr>
      </w:pPr>
      <w:r w:rsidRPr="00C72770">
        <w:t>Marketing authorisation indication</w:t>
      </w:r>
    </w:p>
    <w:p w14:paraId="11A5240A" w14:textId="6356602D" w:rsidR="00775C29" w:rsidRPr="00B4124F" w:rsidRDefault="00775C29" w:rsidP="00A16EDF">
      <w:pPr>
        <w:pStyle w:val="Numberedlevel2text"/>
        <w:rPr>
          <w:rStyle w:val="NICEnormalChar"/>
          <w:rFonts w:cs="Arial"/>
          <w:b/>
          <w:bCs w:val="0"/>
          <w:i/>
          <w:iCs w:val="0"/>
        </w:rPr>
      </w:pPr>
      <w:r w:rsidRPr="00B4124F">
        <w:rPr>
          <w:rStyle w:val="NICEnormalChar"/>
          <w:bCs w:val="0"/>
          <w:iCs w:val="0"/>
        </w:rPr>
        <w:t xml:space="preserve">Lorlatinib (Lorviqua, Pfizer) as monotherapy is indicated for </w:t>
      </w:r>
      <w:r w:rsidR="008F4B72" w:rsidRPr="00B4124F">
        <w:rPr>
          <w:rStyle w:val="NICEnormalChar"/>
          <w:bCs w:val="0"/>
          <w:iCs w:val="0"/>
        </w:rPr>
        <w:t>‘</w:t>
      </w:r>
      <w:r w:rsidRPr="00B4124F">
        <w:rPr>
          <w:rStyle w:val="NICEnormalChar"/>
          <w:bCs w:val="0"/>
          <w:iCs w:val="0"/>
        </w:rPr>
        <w:t xml:space="preserve">the treatment of adult patients with anaplastic lymphoma </w:t>
      </w:r>
      <w:r w:rsidRPr="00A16EDF">
        <w:rPr>
          <w:rStyle w:val="NICEnormalChar"/>
          <w:szCs w:val="28"/>
          <w:lang w:val="x-none"/>
        </w:rPr>
        <w:t>kinase</w:t>
      </w:r>
      <w:r w:rsidRPr="00B4124F">
        <w:rPr>
          <w:rStyle w:val="NICEnormalChar"/>
          <w:bCs w:val="0"/>
          <w:iCs w:val="0"/>
        </w:rPr>
        <w:t xml:space="preserve"> (ALK)-positive advanced non-small cell lung cancer (NSCLC) whose disease has progressed after:</w:t>
      </w:r>
    </w:p>
    <w:p w14:paraId="0CA91FF1" w14:textId="6C5D2B3A" w:rsidR="00775C29" w:rsidRPr="00C72770" w:rsidRDefault="00775C29" w:rsidP="00B4124F">
      <w:pPr>
        <w:pStyle w:val="Bulletindent1"/>
        <w:rPr>
          <w:rStyle w:val="NICEnormalChar"/>
        </w:rPr>
      </w:pPr>
      <w:r w:rsidRPr="00C72770">
        <w:rPr>
          <w:rStyle w:val="NICEnormalChar"/>
        </w:rPr>
        <w:t xml:space="preserve">alectinib or ceritinib as the first ALK tyrosine </w:t>
      </w:r>
      <w:r w:rsidRPr="00B4124F">
        <w:rPr>
          <w:rStyle w:val="NICEnormalChar"/>
        </w:rPr>
        <w:t>kinase</w:t>
      </w:r>
      <w:r w:rsidRPr="00C72770">
        <w:rPr>
          <w:rStyle w:val="NICEnormalChar"/>
        </w:rPr>
        <w:t xml:space="preserve"> inhibitor (TKI) therapy; or</w:t>
      </w:r>
    </w:p>
    <w:p w14:paraId="101003EA" w14:textId="6679ACD2" w:rsidR="00B82A82" w:rsidRPr="00C72770" w:rsidRDefault="00775C29" w:rsidP="00B4124F">
      <w:pPr>
        <w:pStyle w:val="Bulletindent1last"/>
      </w:pPr>
      <w:r w:rsidRPr="00C72770">
        <w:rPr>
          <w:rStyle w:val="NICEnormalChar"/>
        </w:rPr>
        <w:t>crizotinib and at least one other ALK TKI</w:t>
      </w:r>
      <w:r w:rsidR="008F4B72">
        <w:rPr>
          <w:rStyle w:val="NICEnormalChar"/>
        </w:rPr>
        <w:t>’</w:t>
      </w:r>
      <w:r w:rsidRPr="00C72770">
        <w:rPr>
          <w:rStyle w:val="NICEnormalChar"/>
        </w:rPr>
        <w:t>.</w:t>
      </w:r>
    </w:p>
    <w:p w14:paraId="7373F301" w14:textId="77777777" w:rsidR="00B82A82" w:rsidRPr="00C72770" w:rsidRDefault="00B82A82" w:rsidP="00B82A82">
      <w:pPr>
        <w:pStyle w:val="Heading2"/>
      </w:pPr>
      <w:r w:rsidRPr="00C72770">
        <w:t>Dosage in the marketing authorisation</w:t>
      </w:r>
    </w:p>
    <w:p w14:paraId="6D240645" w14:textId="0E66B614" w:rsidR="00B82A82" w:rsidRPr="00C72770" w:rsidRDefault="00BA5E93" w:rsidP="00F85CE4">
      <w:pPr>
        <w:pStyle w:val="Numberedlevel2text"/>
        <w:numPr>
          <w:ilvl w:val="1"/>
          <w:numId w:val="1"/>
        </w:numPr>
        <w:rPr>
          <w:rStyle w:val="Numberedlevel2textChar"/>
          <w:bCs/>
          <w:iCs/>
          <w:lang w:val="en-GB"/>
        </w:rPr>
      </w:pPr>
      <w:r w:rsidRPr="00C72770">
        <w:rPr>
          <w:rStyle w:val="Numberedlevel2textChar"/>
          <w:lang w:val="en-GB"/>
        </w:rPr>
        <w:t>The recommended dose is 100</w:t>
      </w:r>
      <w:r w:rsidR="00CC1FD2" w:rsidRPr="00C72770">
        <w:rPr>
          <w:rStyle w:val="Numberedlevel2textChar"/>
          <w:lang w:val="en-GB"/>
        </w:rPr>
        <w:t> </w:t>
      </w:r>
      <w:r w:rsidRPr="00C72770">
        <w:rPr>
          <w:rStyle w:val="Numberedlevel2textChar"/>
          <w:lang w:val="en-GB"/>
        </w:rPr>
        <w:t xml:space="preserve">mg lorlatinib taken orally once daily. Treatment with lorlatinib is recommended as long as the patient is </w:t>
      </w:r>
      <w:r w:rsidR="003F30E8">
        <w:rPr>
          <w:rStyle w:val="Numberedlevel2textChar"/>
          <w:lang w:val="en-GB"/>
        </w:rPr>
        <w:t>benefitting</w:t>
      </w:r>
      <w:r w:rsidR="00344F7E" w:rsidRPr="00C72770">
        <w:rPr>
          <w:rStyle w:val="Numberedlevel2textChar"/>
          <w:lang w:val="en-GB"/>
        </w:rPr>
        <w:t xml:space="preserve"> </w:t>
      </w:r>
      <w:r w:rsidRPr="00C72770">
        <w:rPr>
          <w:rStyle w:val="Numberedlevel2textChar"/>
          <w:lang w:val="en-GB"/>
        </w:rPr>
        <w:t>from therapy without unacceptable toxicity.</w:t>
      </w:r>
    </w:p>
    <w:p w14:paraId="1A11705E" w14:textId="77777777" w:rsidR="00B82A82" w:rsidRPr="00C72770" w:rsidRDefault="00B82A82" w:rsidP="00B82A82">
      <w:pPr>
        <w:pStyle w:val="Heading2"/>
      </w:pPr>
      <w:r w:rsidRPr="00C72770">
        <w:t>Price</w:t>
      </w:r>
    </w:p>
    <w:p w14:paraId="46EDD164" w14:textId="26B51E81" w:rsidR="00B82A82" w:rsidRPr="00722BCD" w:rsidRDefault="000B2355" w:rsidP="00722BCD">
      <w:pPr>
        <w:pStyle w:val="Numberedlevel2text"/>
        <w:spacing w:after="0"/>
      </w:pPr>
      <w:r>
        <w:rPr>
          <w:rStyle w:val="NICEnormalChar"/>
          <w:bCs w:val="0"/>
          <w:iCs w:val="0"/>
        </w:rPr>
        <w:t>The l</w:t>
      </w:r>
      <w:r w:rsidR="001D79FC" w:rsidRPr="008F4B72">
        <w:rPr>
          <w:rStyle w:val="NICEnormalChar"/>
          <w:bCs w:val="0"/>
          <w:iCs w:val="0"/>
        </w:rPr>
        <w:t xml:space="preserve">ist price of </w:t>
      </w:r>
      <w:r>
        <w:rPr>
          <w:rStyle w:val="NICEnormalChar"/>
          <w:bCs w:val="0"/>
          <w:iCs w:val="0"/>
        </w:rPr>
        <w:t xml:space="preserve">lorlatinib is </w:t>
      </w:r>
      <w:r w:rsidR="001D79FC" w:rsidRPr="008F4B72">
        <w:rPr>
          <w:rStyle w:val="NICEnormalChar"/>
          <w:bCs w:val="0"/>
          <w:iCs w:val="0"/>
        </w:rPr>
        <w:t>£7</w:t>
      </w:r>
      <w:r w:rsidR="00344F7E">
        <w:rPr>
          <w:rStyle w:val="NICEnormalChar"/>
          <w:bCs w:val="0"/>
          <w:iCs w:val="0"/>
        </w:rPr>
        <w:t>,</w:t>
      </w:r>
      <w:r w:rsidR="001D79FC" w:rsidRPr="008F4B72">
        <w:rPr>
          <w:rStyle w:val="NICEnormalChar"/>
          <w:bCs w:val="0"/>
          <w:iCs w:val="0"/>
        </w:rPr>
        <w:t>044.00 per 120</w:t>
      </w:r>
      <w:r w:rsidR="00344F7E">
        <w:rPr>
          <w:rStyle w:val="NICEnormalChar"/>
          <w:bCs w:val="0"/>
          <w:iCs w:val="0"/>
        </w:rPr>
        <w:t>-tablet pack of</w:t>
      </w:r>
      <w:r w:rsidR="001D79FC" w:rsidRPr="008F4B72">
        <w:rPr>
          <w:rStyle w:val="NICEnormalChar"/>
          <w:bCs w:val="0"/>
          <w:iCs w:val="0"/>
        </w:rPr>
        <w:t xml:space="preserve"> 25</w:t>
      </w:r>
      <w:r w:rsidR="00CC1FD2" w:rsidRPr="008F4B72">
        <w:rPr>
          <w:rStyle w:val="NICEnormalChar"/>
          <w:bCs w:val="0"/>
          <w:iCs w:val="0"/>
        </w:rPr>
        <w:t> </w:t>
      </w:r>
      <w:r w:rsidR="001D79FC" w:rsidRPr="00344F7E">
        <w:rPr>
          <w:rStyle w:val="NICEnormalChar"/>
          <w:bCs w:val="0"/>
          <w:iCs w:val="0"/>
        </w:rPr>
        <w:t>mg tablets, and £5</w:t>
      </w:r>
      <w:r w:rsidR="00344F7E">
        <w:rPr>
          <w:rStyle w:val="NICEnormalChar"/>
          <w:bCs w:val="0"/>
          <w:iCs w:val="0"/>
        </w:rPr>
        <w:t>,</w:t>
      </w:r>
      <w:r w:rsidR="001D79FC" w:rsidRPr="00344F7E">
        <w:rPr>
          <w:rStyle w:val="NICEnormalChar"/>
          <w:bCs w:val="0"/>
          <w:iCs w:val="0"/>
        </w:rPr>
        <w:t>283.00 per 30</w:t>
      </w:r>
      <w:r w:rsidR="00344F7E">
        <w:rPr>
          <w:rStyle w:val="NICEnormalChar"/>
          <w:bCs w:val="0"/>
          <w:iCs w:val="0"/>
        </w:rPr>
        <w:t>-tablet pack of</w:t>
      </w:r>
      <w:r w:rsidR="001D79FC" w:rsidRPr="00344F7E">
        <w:rPr>
          <w:rStyle w:val="NICEnormalChar"/>
          <w:bCs w:val="0"/>
          <w:iCs w:val="0"/>
        </w:rPr>
        <w:t xml:space="preserve"> 100</w:t>
      </w:r>
      <w:r w:rsidR="00CC1FD2" w:rsidRPr="00344F7E">
        <w:rPr>
          <w:rStyle w:val="NICEnormalChar"/>
          <w:bCs w:val="0"/>
          <w:iCs w:val="0"/>
        </w:rPr>
        <w:t> </w:t>
      </w:r>
      <w:r w:rsidR="001D79FC" w:rsidRPr="00344F7E">
        <w:rPr>
          <w:rStyle w:val="NICEnormalChar"/>
          <w:bCs w:val="0"/>
          <w:iCs w:val="0"/>
        </w:rPr>
        <w:t>mg tablets (excluding VAT; B</w:t>
      </w:r>
      <w:r w:rsidR="00344F7E">
        <w:rPr>
          <w:rStyle w:val="NICEnormalChar"/>
          <w:bCs w:val="0"/>
          <w:iCs w:val="0"/>
        </w:rPr>
        <w:t>NF</w:t>
      </w:r>
      <w:r w:rsidR="001D79FC" w:rsidRPr="00344F7E">
        <w:rPr>
          <w:rStyle w:val="NICEnormalChar"/>
          <w:bCs w:val="0"/>
          <w:iCs w:val="0"/>
        </w:rPr>
        <w:t xml:space="preserve"> online accessed January 2020).</w:t>
      </w:r>
      <w:bookmarkStart w:id="2" w:name="_Hlk24530292"/>
      <w:r w:rsidR="00344F7E">
        <w:rPr>
          <w:lang w:val="en-US"/>
        </w:rPr>
        <w:t xml:space="preserve"> </w:t>
      </w:r>
      <w:r w:rsidR="00B82A82" w:rsidRPr="00344F7E">
        <w:t>The company has a commercial arrangement, which would have applied if the technology had been recommended.</w:t>
      </w:r>
      <w:bookmarkEnd w:id="2"/>
    </w:p>
    <w:p w14:paraId="2C86C51E" w14:textId="77777777" w:rsidR="00F130AD" w:rsidRPr="00C72770" w:rsidRDefault="00222BEA" w:rsidP="00C04C0E">
      <w:pPr>
        <w:pStyle w:val="Numberedheading1"/>
      </w:pPr>
      <w:r w:rsidRPr="00C72770">
        <w:t>Committee discussion</w:t>
      </w:r>
    </w:p>
    <w:p w14:paraId="4944D6EE" w14:textId="1580DFFD" w:rsidR="002B5772" w:rsidRPr="00C72770" w:rsidRDefault="00BC7D9E" w:rsidP="002B5772">
      <w:pPr>
        <w:pStyle w:val="NICEnormal"/>
      </w:pPr>
      <w:r w:rsidRPr="00C72770">
        <w:t xml:space="preserve">The </w:t>
      </w:r>
      <w:r w:rsidR="00343B53" w:rsidRPr="00C72770">
        <w:t>a</w:t>
      </w:r>
      <w:r w:rsidRPr="00C72770">
        <w:t xml:space="preserve">ppraisal </w:t>
      </w:r>
      <w:r w:rsidR="00343B53" w:rsidRPr="00C72770">
        <w:t>c</w:t>
      </w:r>
      <w:r w:rsidRPr="00C72770">
        <w:t xml:space="preserve">ommittee </w:t>
      </w:r>
      <w:r w:rsidR="00CD7BFC" w:rsidRPr="00C72770">
        <w:t>(section</w:t>
      </w:r>
      <w:r w:rsidR="007B0074">
        <w:t> 5</w:t>
      </w:r>
      <w:r w:rsidR="00CD7BFC" w:rsidRPr="00C72770">
        <w:t xml:space="preserve">) </w:t>
      </w:r>
      <w:r w:rsidRPr="00C72770">
        <w:t xml:space="preserve">considered evidence submitted by </w:t>
      </w:r>
      <w:r w:rsidR="0055745F" w:rsidRPr="00C72770">
        <w:t>Pfizer</w:t>
      </w:r>
      <w:r w:rsidR="002B5772" w:rsidRPr="00C72770">
        <w:t>,</w:t>
      </w:r>
      <w:r w:rsidRPr="00C72770">
        <w:t xml:space="preserve"> a review of this submission by the </w:t>
      </w:r>
      <w:r w:rsidR="00343B53" w:rsidRPr="00C72770">
        <w:t>e</w:t>
      </w:r>
      <w:r w:rsidRPr="00C72770">
        <w:t xml:space="preserve">vidence </w:t>
      </w:r>
      <w:r w:rsidR="00343B53" w:rsidRPr="00C72770">
        <w:t>r</w:t>
      </w:r>
      <w:r w:rsidRPr="00C72770">
        <w:t xml:space="preserve">eview </w:t>
      </w:r>
      <w:r w:rsidR="00343B53" w:rsidRPr="00C72770">
        <w:t>g</w:t>
      </w:r>
      <w:r w:rsidRPr="00C72770">
        <w:t>roup (ERG)</w:t>
      </w:r>
      <w:r w:rsidR="002B5772" w:rsidRPr="00C72770">
        <w:t xml:space="preserve">, and the technical </w:t>
      </w:r>
      <w:r w:rsidR="00E9265B" w:rsidRPr="00C72770">
        <w:t>report</w:t>
      </w:r>
      <w:r w:rsidR="007E013D" w:rsidRPr="00C72770">
        <w:t xml:space="preserve"> developed</w:t>
      </w:r>
      <w:r w:rsidR="00E9265B" w:rsidRPr="00C72770">
        <w:t xml:space="preserve"> through engagement with stakeholders</w:t>
      </w:r>
      <w:r w:rsidRPr="00C72770">
        <w:t>.</w:t>
      </w:r>
      <w:r w:rsidR="00C63D4E" w:rsidRPr="00C72770">
        <w:t xml:space="preserve"> </w:t>
      </w:r>
      <w:r w:rsidR="002B5772" w:rsidRPr="00C72770">
        <w:t xml:space="preserve">See the </w:t>
      </w:r>
      <w:hyperlink r:id="rId10" w:history="1">
        <w:r w:rsidR="002B5772" w:rsidRPr="00C72770">
          <w:rPr>
            <w:rStyle w:val="Hyperlink"/>
          </w:rPr>
          <w:t>committee papers</w:t>
        </w:r>
      </w:hyperlink>
      <w:r w:rsidR="002B5772" w:rsidRPr="00C72770">
        <w:t xml:space="preserve"> for full details of the evidence.</w:t>
      </w:r>
    </w:p>
    <w:p w14:paraId="70F649CA" w14:textId="77777777" w:rsidR="006B0F36" w:rsidRPr="00C72770" w:rsidRDefault="002B5772" w:rsidP="00D01B9F">
      <w:pPr>
        <w:pStyle w:val="NICEnormal"/>
      </w:pPr>
      <w:r w:rsidRPr="00C72770">
        <w:lastRenderedPageBreak/>
        <w:t xml:space="preserve">The appraisal committee was aware </w:t>
      </w:r>
      <w:r w:rsidR="002555BE" w:rsidRPr="00C72770">
        <w:t>that several</w:t>
      </w:r>
      <w:r w:rsidRPr="00C72770">
        <w:t xml:space="preserve"> issues were resolved during </w:t>
      </w:r>
      <w:r w:rsidR="006D4D1A" w:rsidRPr="00C72770">
        <w:t xml:space="preserve">the </w:t>
      </w:r>
      <w:r w:rsidR="00E95253" w:rsidRPr="00C72770">
        <w:t>technical engagement</w:t>
      </w:r>
      <w:r w:rsidR="006D4D1A" w:rsidRPr="00C72770">
        <w:t xml:space="preserve"> stage</w:t>
      </w:r>
      <w:r w:rsidR="007D1008" w:rsidRPr="00C72770">
        <w:t>, and agreed that:</w:t>
      </w:r>
    </w:p>
    <w:p w14:paraId="299030D9" w14:textId="0D5FF17D" w:rsidR="0055745F" w:rsidRPr="00C72770" w:rsidRDefault="008237E0" w:rsidP="00722BCD">
      <w:pPr>
        <w:pStyle w:val="Bulletleft1"/>
      </w:pPr>
      <w:r>
        <w:t>I</w:t>
      </w:r>
      <w:r w:rsidR="00D1759F">
        <w:t>ncluding</w:t>
      </w:r>
      <w:r w:rsidR="00295F7C" w:rsidRPr="00C72770">
        <w:t xml:space="preserve"> atezolizumab </w:t>
      </w:r>
      <w:r w:rsidR="00722BCD">
        <w:t xml:space="preserve">with </w:t>
      </w:r>
      <w:r w:rsidR="00295F7C" w:rsidRPr="00C72770">
        <w:t xml:space="preserve">bevacizumab, carboplatin and paclitaxel (ABCP) as a comparator in the appraisal </w:t>
      </w:r>
      <w:r w:rsidR="00D1759F">
        <w:t>wa</w:t>
      </w:r>
      <w:r w:rsidR="00295F7C" w:rsidRPr="00C72770">
        <w:t>s appropriate (issue</w:t>
      </w:r>
      <w:r w:rsidR="00D1759F">
        <w:t> </w:t>
      </w:r>
      <w:r w:rsidR="00295F7C" w:rsidRPr="00C72770">
        <w:t>1, see technical report page</w:t>
      </w:r>
      <w:r w:rsidR="00CC1FD2" w:rsidRPr="00C72770">
        <w:t> </w:t>
      </w:r>
      <w:r w:rsidR="00295F7C" w:rsidRPr="00C72770">
        <w:t>1</w:t>
      </w:r>
      <w:r w:rsidR="00BF25BB">
        <w:t>6</w:t>
      </w:r>
      <w:r w:rsidR="00295F7C" w:rsidRPr="00C72770">
        <w:t>)</w:t>
      </w:r>
      <w:r>
        <w:t>.</w:t>
      </w:r>
    </w:p>
    <w:p w14:paraId="554398EA" w14:textId="34C00BD9" w:rsidR="00295F7C" w:rsidRDefault="008237E0" w:rsidP="00722BCD">
      <w:pPr>
        <w:pStyle w:val="Bulletleft1"/>
      </w:pPr>
      <w:r>
        <w:t>A</w:t>
      </w:r>
      <w:r w:rsidR="00295F7C" w:rsidRPr="00C72770">
        <w:t xml:space="preserve"> </w:t>
      </w:r>
      <w:r w:rsidR="00D1759F">
        <w:t>hazard ratio</w:t>
      </w:r>
      <w:r w:rsidR="00D1759F" w:rsidRPr="00C72770">
        <w:t xml:space="preserve"> </w:t>
      </w:r>
      <w:r w:rsidR="00295F7C" w:rsidRPr="00C72770">
        <w:t xml:space="preserve">of 0.8 </w:t>
      </w:r>
      <w:r w:rsidR="00D1759F">
        <w:t>wa</w:t>
      </w:r>
      <w:r w:rsidR="00295F7C" w:rsidRPr="00C72770">
        <w:t>s a reasonable estimat</w:t>
      </w:r>
      <w:r w:rsidR="00D1759F">
        <w:t>e</w:t>
      </w:r>
      <w:r w:rsidR="00295F7C" w:rsidRPr="00C72770">
        <w:t xml:space="preserve"> of the comparative efficacy between platinum doublet chemotherapy (PDC) and singlet chemotherapy (issue</w:t>
      </w:r>
      <w:r w:rsidR="00D1759F">
        <w:t> </w:t>
      </w:r>
      <w:r w:rsidR="00295F7C" w:rsidRPr="00C72770">
        <w:t>2, see technical report page</w:t>
      </w:r>
      <w:r w:rsidR="00D1759F">
        <w:t> </w:t>
      </w:r>
      <w:r w:rsidR="00295F7C" w:rsidRPr="00C72770">
        <w:t>1</w:t>
      </w:r>
      <w:r w:rsidR="00BF25BB">
        <w:t>8</w:t>
      </w:r>
      <w:r w:rsidR="00295F7C" w:rsidRPr="00C72770">
        <w:t>)</w:t>
      </w:r>
      <w:r>
        <w:t>.</w:t>
      </w:r>
    </w:p>
    <w:p w14:paraId="59B5A8E4" w14:textId="1B7B03D1" w:rsidR="003B5803" w:rsidRPr="00C72770" w:rsidRDefault="008237E0" w:rsidP="00722BCD">
      <w:pPr>
        <w:pStyle w:val="Bulletleft1"/>
      </w:pPr>
      <w:r>
        <w:t>O</w:t>
      </w:r>
      <w:r w:rsidR="003B5803">
        <w:t xml:space="preserve">f the 6 proposed methods for indirect comparison with PDC, methods 3, 4 and 6 were </w:t>
      </w:r>
      <w:r w:rsidR="00AA5724">
        <w:t>dismissed by the company and ERG</w:t>
      </w:r>
      <w:r w:rsidR="003B5803">
        <w:t xml:space="preserve">, leaving </w:t>
      </w:r>
      <w:r>
        <w:t xml:space="preserve">methods </w:t>
      </w:r>
      <w:r w:rsidR="003B5803">
        <w:t>1, 2 and 5 for committee consideration (issue 3, see technical report page 22)</w:t>
      </w:r>
      <w:r>
        <w:t>.</w:t>
      </w:r>
    </w:p>
    <w:p w14:paraId="6D7F3909" w14:textId="594E3A39" w:rsidR="00295F7C" w:rsidRPr="00C72770" w:rsidRDefault="008237E0" w:rsidP="00722BCD">
      <w:pPr>
        <w:pStyle w:val="Bulletleft1"/>
      </w:pPr>
      <w:r>
        <w:t>T</w:t>
      </w:r>
      <w:r w:rsidR="00295F7C" w:rsidRPr="00C72770">
        <w:t xml:space="preserve">he generalised gamma curve </w:t>
      </w:r>
      <w:r w:rsidR="00D1759F">
        <w:t>wa</w:t>
      </w:r>
      <w:r w:rsidR="00295F7C" w:rsidRPr="00C72770">
        <w:t xml:space="preserve">s the most appropriate for </w:t>
      </w:r>
      <w:r w:rsidR="00891454">
        <w:t xml:space="preserve">measuring overall survival on </w:t>
      </w:r>
      <w:r w:rsidR="00295F7C" w:rsidRPr="00C72770">
        <w:t>lorlatinib (issue</w:t>
      </w:r>
      <w:r w:rsidR="00D1759F">
        <w:t> </w:t>
      </w:r>
      <w:r w:rsidR="00295F7C" w:rsidRPr="00C72770">
        <w:t>4, see technical report page</w:t>
      </w:r>
      <w:r w:rsidR="00D1759F">
        <w:t> </w:t>
      </w:r>
      <w:r w:rsidR="00295F7C" w:rsidRPr="00C72770">
        <w:t>2</w:t>
      </w:r>
      <w:r w:rsidR="00BF25BB">
        <w:t>6</w:t>
      </w:r>
      <w:r w:rsidR="00295F7C" w:rsidRPr="00C72770">
        <w:t>)</w:t>
      </w:r>
      <w:r>
        <w:t>.</w:t>
      </w:r>
    </w:p>
    <w:p w14:paraId="21F0B402" w14:textId="2CF5C4A6" w:rsidR="00295F7C" w:rsidRPr="00C72770" w:rsidRDefault="00BD47E6" w:rsidP="00722BCD">
      <w:pPr>
        <w:pStyle w:val="Bulletleft1"/>
      </w:pPr>
      <w:r>
        <w:t>T</w:t>
      </w:r>
      <w:r w:rsidR="00295F7C" w:rsidRPr="00C72770">
        <w:t xml:space="preserve">reatment </w:t>
      </w:r>
      <w:r w:rsidR="00650E67">
        <w:t xml:space="preserve">of </w:t>
      </w:r>
      <w:r w:rsidR="00650E67" w:rsidRPr="00C72770">
        <w:t>3.5</w:t>
      </w:r>
      <w:r w:rsidR="00650E67">
        <w:t> </w:t>
      </w:r>
      <w:r w:rsidR="00650E67" w:rsidRPr="00C72770">
        <w:t xml:space="preserve">months </w:t>
      </w:r>
      <w:r w:rsidR="00295F7C" w:rsidRPr="00C72770">
        <w:t xml:space="preserve">beyond progression with lorlatinib </w:t>
      </w:r>
      <w:r w:rsidR="00D1759F">
        <w:t>wa</w:t>
      </w:r>
      <w:r w:rsidR="00295F7C" w:rsidRPr="00C72770">
        <w:t xml:space="preserve">s appropriate </w:t>
      </w:r>
      <w:r w:rsidR="002270ED" w:rsidRPr="00C72770">
        <w:t>(issue</w:t>
      </w:r>
      <w:r w:rsidR="00D1759F">
        <w:t> </w:t>
      </w:r>
      <w:r w:rsidR="002270ED" w:rsidRPr="00C72770">
        <w:t>6, see technical report page 3</w:t>
      </w:r>
      <w:r w:rsidR="00BF25BB">
        <w:t>3</w:t>
      </w:r>
      <w:r w:rsidR="002270ED" w:rsidRPr="00C72770">
        <w:t>)</w:t>
      </w:r>
      <w:r w:rsidR="008237E0">
        <w:t>.</w:t>
      </w:r>
    </w:p>
    <w:p w14:paraId="299D1289" w14:textId="6B85E932" w:rsidR="00FE39BC" w:rsidRPr="00C72770" w:rsidRDefault="008237E0" w:rsidP="00722BCD">
      <w:pPr>
        <w:pStyle w:val="Bulletleft1"/>
      </w:pPr>
      <w:r>
        <w:t>T</w:t>
      </w:r>
      <w:r w:rsidR="002270ED" w:rsidRPr="00C72770">
        <w:t xml:space="preserve">he revised assumptions for proportion and type of subsequent treatment discussed at </w:t>
      </w:r>
      <w:r w:rsidR="00D1759F">
        <w:t xml:space="preserve">the </w:t>
      </w:r>
      <w:r w:rsidR="002270ED" w:rsidRPr="00C72770">
        <w:t xml:space="preserve">technical engagement </w:t>
      </w:r>
      <w:r w:rsidR="00D1759F">
        <w:t>stage were</w:t>
      </w:r>
      <w:r w:rsidR="002270ED" w:rsidRPr="00C72770">
        <w:t xml:space="preserve"> appropriate</w:t>
      </w:r>
      <w:r w:rsidR="00FE39BC" w:rsidRPr="00C72770">
        <w:t>:</w:t>
      </w:r>
    </w:p>
    <w:p w14:paraId="297F5420" w14:textId="55CA9BCE" w:rsidR="00FE39BC" w:rsidRPr="00C72770" w:rsidRDefault="00E67AC1" w:rsidP="00BF25BB">
      <w:pPr>
        <w:pStyle w:val="Bulletleft2"/>
      </w:pPr>
      <w:r>
        <w:t xml:space="preserve">after </w:t>
      </w:r>
      <w:r w:rsidR="00CC1FD2" w:rsidRPr="00C72770">
        <w:t>l</w:t>
      </w:r>
      <w:r w:rsidR="00FE39BC" w:rsidRPr="00C72770">
        <w:t xml:space="preserve">orlatinib: 45% </w:t>
      </w:r>
      <w:r w:rsidR="00BA0F53">
        <w:t xml:space="preserve">of patients </w:t>
      </w:r>
      <w:r w:rsidR="00D1759F">
        <w:t>have</w:t>
      </w:r>
      <w:r w:rsidR="00FE39BC" w:rsidRPr="00C72770">
        <w:t xml:space="preserve"> subsequent treatments </w:t>
      </w:r>
      <w:r w:rsidR="00B8792A">
        <w:t>and</w:t>
      </w:r>
      <w:r w:rsidR="00FE39BC" w:rsidRPr="00C72770">
        <w:t xml:space="preserve"> the remaining 55% </w:t>
      </w:r>
      <w:r w:rsidR="00D1759F">
        <w:t>ha</w:t>
      </w:r>
      <w:r w:rsidR="00FE39BC" w:rsidRPr="00C72770">
        <w:t>v</w:t>
      </w:r>
      <w:r w:rsidR="00B8792A">
        <w:t>e</w:t>
      </w:r>
      <w:r w:rsidR="00FE39BC" w:rsidRPr="00C72770">
        <w:t xml:space="preserve"> </w:t>
      </w:r>
      <w:r w:rsidR="00D1759F">
        <w:t>best supportive care</w:t>
      </w:r>
      <w:r w:rsidR="00FE39BC" w:rsidRPr="00C72770">
        <w:t xml:space="preserve">. Of the 45%, 66% </w:t>
      </w:r>
      <w:r w:rsidR="00D1759F">
        <w:t>have</w:t>
      </w:r>
      <w:r w:rsidR="00FE39BC" w:rsidRPr="00C72770">
        <w:t xml:space="preserve"> ABCP and 33% </w:t>
      </w:r>
      <w:r w:rsidR="00D1759F">
        <w:t>have</w:t>
      </w:r>
      <w:r w:rsidR="00FE39BC" w:rsidRPr="00C72770">
        <w:t xml:space="preserve"> PDC</w:t>
      </w:r>
    </w:p>
    <w:p w14:paraId="14CB1F81" w14:textId="46B44468" w:rsidR="00FE39BC" w:rsidRPr="00C72770" w:rsidRDefault="00E67AC1" w:rsidP="00BF25BB">
      <w:pPr>
        <w:pStyle w:val="Bulletleft2"/>
      </w:pPr>
      <w:r>
        <w:t xml:space="preserve">after </w:t>
      </w:r>
      <w:r w:rsidR="00FE39BC" w:rsidRPr="00C72770">
        <w:t xml:space="preserve">PDC: 45% </w:t>
      </w:r>
      <w:r w:rsidR="00BA0F53">
        <w:t xml:space="preserve">of patients </w:t>
      </w:r>
      <w:r w:rsidR="00B8792A">
        <w:t>ha</w:t>
      </w:r>
      <w:r w:rsidR="00FE39BC" w:rsidRPr="00C72770">
        <w:t xml:space="preserve">ve subsequent treatments </w:t>
      </w:r>
      <w:r w:rsidR="00B8792A">
        <w:t>and</w:t>
      </w:r>
      <w:r w:rsidR="00B8792A" w:rsidRPr="00C72770">
        <w:t xml:space="preserve"> </w:t>
      </w:r>
      <w:r w:rsidR="00FE39BC" w:rsidRPr="00C72770">
        <w:t xml:space="preserve">the remaining 55% </w:t>
      </w:r>
      <w:r w:rsidR="00B8792A">
        <w:t>have</w:t>
      </w:r>
      <w:r w:rsidR="00FE39BC" w:rsidRPr="00C72770">
        <w:t xml:space="preserve"> </w:t>
      </w:r>
      <w:r w:rsidR="00B8792A">
        <w:t>best supportive care</w:t>
      </w:r>
      <w:r w:rsidR="00FE39BC" w:rsidRPr="00C72770">
        <w:t xml:space="preserve">. The 45% </w:t>
      </w:r>
      <w:r w:rsidR="0088378E">
        <w:t>have</w:t>
      </w:r>
      <w:r w:rsidR="00FE39BC" w:rsidRPr="00C72770">
        <w:t xml:space="preserve"> immunotherapies in the proportions </w:t>
      </w:r>
      <w:r w:rsidR="0088378E">
        <w:t>in</w:t>
      </w:r>
      <w:r w:rsidR="00FE39BC" w:rsidRPr="00C72770">
        <w:t xml:space="preserve"> the original company submission (69% atezolizumab, 31% bevacizumab based on </w:t>
      </w:r>
      <w:hyperlink r:id="rId11" w:history="1">
        <w:r w:rsidR="0088378E" w:rsidRPr="00BA0F53">
          <w:rPr>
            <w:rStyle w:val="Hyperlink"/>
          </w:rPr>
          <w:t xml:space="preserve">NICE’s technology appraisal guidance </w:t>
        </w:r>
        <w:r w:rsidR="00BA0F53" w:rsidRPr="00BA0F53">
          <w:rPr>
            <w:rStyle w:val="Hyperlink"/>
          </w:rPr>
          <w:t>on ABCP</w:t>
        </w:r>
      </w:hyperlink>
      <w:r w:rsidR="00FE39BC" w:rsidRPr="00C72770">
        <w:t>)</w:t>
      </w:r>
    </w:p>
    <w:p w14:paraId="4875917B" w14:textId="36658142" w:rsidR="002270ED" w:rsidRPr="00C72770" w:rsidRDefault="00E67AC1" w:rsidP="00BF25BB">
      <w:pPr>
        <w:pStyle w:val="Bulletleft2"/>
      </w:pPr>
      <w:r>
        <w:t xml:space="preserve">after </w:t>
      </w:r>
      <w:r w:rsidR="00FE39BC" w:rsidRPr="00C72770">
        <w:t xml:space="preserve">ABCP: 75% </w:t>
      </w:r>
      <w:r w:rsidR="00BA0F53">
        <w:t xml:space="preserve">of patients </w:t>
      </w:r>
      <w:r w:rsidR="0068763C">
        <w:t>ha</w:t>
      </w:r>
      <w:r w:rsidR="00FE39BC" w:rsidRPr="00C72770">
        <w:t xml:space="preserve">ve docetaxel and 25% </w:t>
      </w:r>
      <w:r w:rsidR="0068763C">
        <w:t>have best supportive care</w:t>
      </w:r>
      <w:r w:rsidR="00FE39BC" w:rsidRPr="00C72770">
        <w:t xml:space="preserve"> </w:t>
      </w:r>
      <w:r w:rsidR="002270ED" w:rsidRPr="00C72770">
        <w:t>(issue</w:t>
      </w:r>
      <w:r w:rsidR="0068763C">
        <w:t> </w:t>
      </w:r>
      <w:r w:rsidR="002270ED" w:rsidRPr="00C72770">
        <w:t>7, see technical report page</w:t>
      </w:r>
      <w:r w:rsidR="0068763C">
        <w:t> </w:t>
      </w:r>
      <w:r w:rsidR="002270ED" w:rsidRPr="00C72770">
        <w:t>3</w:t>
      </w:r>
      <w:r w:rsidR="00BF25BB">
        <w:t>5</w:t>
      </w:r>
      <w:r w:rsidR="002270ED" w:rsidRPr="00C72770">
        <w:t>)</w:t>
      </w:r>
    </w:p>
    <w:p w14:paraId="7A74FA05" w14:textId="0C1E8331" w:rsidR="002270ED" w:rsidRPr="00C72770" w:rsidRDefault="000B2355" w:rsidP="006D4D1A">
      <w:pPr>
        <w:pStyle w:val="Bulletleft1last"/>
      </w:pPr>
      <w:r>
        <w:t>T</w:t>
      </w:r>
      <w:r w:rsidR="00410114" w:rsidRPr="00C72770">
        <w:t>he company not mak</w:t>
      </w:r>
      <w:r w:rsidR="00DE28FA">
        <w:t>ing</w:t>
      </w:r>
      <w:r w:rsidR="00410114" w:rsidRPr="00C72770">
        <w:t xml:space="preserve"> a case for lorlatinib as a candidate</w:t>
      </w:r>
      <w:r w:rsidR="002270ED" w:rsidRPr="00C72770">
        <w:t xml:space="preserve"> for the C</w:t>
      </w:r>
      <w:r w:rsidR="0068763C">
        <w:t xml:space="preserve">ancer </w:t>
      </w:r>
      <w:r w:rsidR="002270ED" w:rsidRPr="00C72770">
        <w:t>D</w:t>
      </w:r>
      <w:r w:rsidR="0068763C">
        <w:t xml:space="preserve">rugs </w:t>
      </w:r>
      <w:r w:rsidR="002270ED" w:rsidRPr="00C72770">
        <w:t>F</w:t>
      </w:r>
      <w:r w:rsidR="0068763C">
        <w:t>und</w:t>
      </w:r>
      <w:r w:rsidR="00DE28FA">
        <w:t xml:space="preserve"> was appropriate</w:t>
      </w:r>
      <w:r w:rsidR="00F310F8">
        <w:t xml:space="preserve"> </w:t>
      </w:r>
      <w:r w:rsidR="008237E0">
        <w:t>because</w:t>
      </w:r>
      <w:r w:rsidR="00F310F8">
        <w:t xml:space="preserve"> the ongoing </w:t>
      </w:r>
      <w:r w:rsidR="00DE28FA">
        <w:t xml:space="preserve">lorlatinib </w:t>
      </w:r>
      <w:r w:rsidR="00F310F8">
        <w:t>clinical trials w</w:t>
      </w:r>
      <w:r w:rsidR="009C18F2">
        <w:t>ould</w:t>
      </w:r>
      <w:r w:rsidR="00F310F8">
        <w:t xml:space="preserve"> not result in the evidence needed to resolve the uncertainties in this appraisal</w:t>
      </w:r>
      <w:r w:rsidR="002270ED" w:rsidRPr="00C72770">
        <w:t xml:space="preserve"> (issue</w:t>
      </w:r>
      <w:r w:rsidR="0068763C">
        <w:t> </w:t>
      </w:r>
      <w:r w:rsidR="002270ED" w:rsidRPr="00C72770">
        <w:t>8, see technical report page</w:t>
      </w:r>
      <w:r w:rsidR="0068763C">
        <w:t> </w:t>
      </w:r>
      <w:r w:rsidR="002270ED" w:rsidRPr="00C72770">
        <w:t>3</w:t>
      </w:r>
      <w:r w:rsidR="00BF25BB">
        <w:t>7</w:t>
      </w:r>
      <w:r w:rsidR="002270ED" w:rsidRPr="00C72770">
        <w:t>).</w:t>
      </w:r>
    </w:p>
    <w:p w14:paraId="1B78272C" w14:textId="06BFB431" w:rsidR="00643582" w:rsidRPr="00C72770" w:rsidRDefault="003B5803" w:rsidP="00F85CE4">
      <w:pPr>
        <w:pStyle w:val="NICEnormal"/>
        <w:ind w:left="60"/>
        <w:rPr>
          <w:highlight w:val="cyan"/>
        </w:rPr>
      </w:pPr>
      <w:r>
        <w:lastRenderedPageBreak/>
        <w:t>The committee</w:t>
      </w:r>
      <w:r w:rsidRPr="00C72770">
        <w:t xml:space="preserve"> </w:t>
      </w:r>
      <w:r w:rsidR="002B5772" w:rsidRPr="00C72770">
        <w:t xml:space="preserve">recognised that there were remaining areas of uncertainty associated with the analyses presented and took these into account in its decision making. It discussed the following </w:t>
      </w:r>
      <w:r w:rsidR="00A33919" w:rsidRPr="00C72770">
        <w:t xml:space="preserve">issues </w:t>
      </w:r>
      <w:r w:rsidR="00905394">
        <w:t xml:space="preserve">(issues </w:t>
      </w:r>
      <w:r w:rsidR="004367B1" w:rsidRPr="00C72770">
        <w:t xml:space="preserve">3 </w:t>
      </w:r>
      <w:r w:rsidR="009D783B" w:rsidRPr="00C72770">
        <w:t xml:space="preserve">and </w:t>
      </w:r>
      <w:r w:rsidR="004367B1" w:rsidRPr="00C72770">
        <w:t>5</w:t>
      </w:r>
      <w:r w:rsidR="00905394">
        <w:t>)</w:t>
      </w:r>
      <w:r w:rsidR="002B5772" w:rsidRPr="00C72770">
        <w:t xml:space="preserve">, which were outstanding </w:t>
      </w:r>
      <w:r w:rsidR="00E95253" w:rsidRPr="00C72770">
        <w:t>after</w:t>
      </w:r>
      <w:r w:rsidR="002B5772" w:rsidRPr="00C72770">
        <w:t xml:space="preserve"> </w:t>
      </w:r>
      <w:r w:rsidR="000205C6" w:rsidRPr="00C72770">
        <w:t xml:space="preserve">the </w:t>
      </w:r>
      <w:r w:rsidR="002B5772" w:rsidRPr="00C72770">
        <w:t>technical engagement</w:t>
      </w:r>
      <w:r w:rsidR="000205C6" w:rsidRPr="00C72770">
        <w:t xml:space="preserve"> stage</w:t>
      </w:r>
      <w:r w:rsidR="002B5772" w:rsidRPr="00C72770">
        <w:t>.</w:t>
      </w:r>
    </w:p>
    <w:p w14:paraId="416E1FF9" w14:textId="434753FF" w:rsidR="00ED6191" w:rsidRPr="00C72770" w:rsidRDefault="000C1AF1" w:rsidP="006B5C16">
      <w:pPr>
        <w:pStyle w:val="Heading2"/>
      </w:pPr>
      <w:r w:rsidRPr="00C72770">
        <w:t xml:space="preserve">Clinical </w:t>
      </w:r>
      <w:r w:rsidR="00ED6191" w:rsidRPr="00C72770">
        <w:t>need</w:t>
      </w:r>
    </w:p>
    <w:p w14:paraId="226E25F2" w14:textId="01052FA8" w:rsidR="00ED6191" w:rsidRPr="00C72770" w:rsidRDefault="008B6BEC" w:rsidP="00ED6191">
      <w:pPr>
        <w:pStyle w:val="Heading3"/>
      </w:pPr>
      <w:r w:rsidRPr="00C72770">
        <w:t xml:space="preserve">A </w:t>
      </w:r>
      <w:r w:rsidR="00CC1FD2" w:rsidRPr="00C72770">
        <w:t>third</w:t>
      </w:r>
      <w:r w:rsidR="00BA0F53">
        <w:t>-</w:t>
      </w:r>
      <w:r w:rsidRPr="00C72770">
        <w:t>generation ALK TKI would offer significant benefit to patients</w:t>
      </w:r>
    </w:p>
    <w:p w14:paraId="09D4B189" w14:textId="5D4F4C30" w:rsidR="00ED6191" w:rsidRPr="00C72770" w:rsidRDefault="00487D19" w:rsidP="004D03E0">
      <w:pPr>
        <w:pStyle w:val="Numberedlevel2text"/>
        <w:numPr>
          <w:ilvl w:val="1"/>
          <w:numId w:val="1"/>
        </w:numPr>
        <w:rPr>
          <w:lang w:val="en-GB"/>
        </w:rPr>
      </w:pPr>
      <w:r w:rsidRPr="00C72770">
        <w:rPr>
          <w:lang w:val="en-GB"/>
        </w:rPr>
        <w:t xml:space="preserve">The patient expert explained that there </w:t>
      </w:r>
      <w:r w:rsidR="008B322A">
        <w:rPr>
          <w:lang w:val="en-GB"/>
        </w:rPr>
        <w:t>was</w:t>
      </w:r>
      <w:r w:rsidRPr="00C72770">
        <w:rPr>
          <w:lang w:val="en-GB"/>
        </w:rPr>
        <w:t xml:space="preserve"> a significant unmet need for patient</w:t>
      </w:r>
      <w:r w:rsidR="004D03E0" w:rsidRPr="00C72770">
        <w:rPr>
          <w:lang w:val="en-GB"/>
        </w:rPr>
        <w:t>s</w:t>
      </w:r>
      <w:r w:rsidR="00E319EF">
        <w:rPr>
          <w:lang w:val="en-GB"/>
        </w:rPr>
        <w:t xml:space="preserve"> with </w:t>
      </w:r>
      <w:r w:rsidR="00467A19">
        <w:rPr>
          <w:lang w:val="en-GB"/>
        </w:rPr>
        <w:t>anaplastic lymphoma kinase (</w:t>
      </w:r>
      <w:r w:rsidR="00E319EF" w:rsidRPr="00C72770">
        <w:rPr>
          <w:lang w:val="en-GB"/>
        </w:rPr>
        <w:t>ALK</w:t>
      </w:r>
      <w:r w:rsidR="00467A19">
        <w:rPr>
          <w:lang w:val="en-GB"/>
        </w:rPr>
        <w:t>)</w:t>
      </w:r>
      <w:r w:rsidR="00E319EF" w:rsidRPr="00C72770">
        <w:rPr>
          <w:lang w:val="en-GB"/>
        </w:rPr>
        <w:t>-positive</w:t>
      </w:r>
      <w:r w:rsidR="00E319EF">
        <w:rPr>
          <w:lang w:val="en-GB"/>
        </w:rPr>
        <w:t xml:space="preserve"> </w:t>
      </w:r>
      <w:r w:rsidR="00467A19">
        <w:rPr>
          <w:lang w:val="en-GB"/>
        </w:rPr>
        <w:t>non-small-cell lung cancer (</w:t>
      </w:r>
      <w:r w:rsidR="00E319EF">
        <w:rPr>
          <w:lang w:val="en-GB"/>
        </w:rPr>
        <w:t>NSCLC</w:t>
      </w:r>
      <w:r w:rsidR="00467A19">
        <w:rPr>
          <w:lang w:val="en-GB"/>
        </w:rPr>
        <w:t>)</w:t>
      </w:r>
      <w:r w:rsidR="007D6F1B">
        <w:rPr>
          <w:lang w:val="en-GB"/>
        </w:rPr>
        <w:t>,</w:t>
      </w:r>
      <w:r w:rsidR="00591C37">
        <w:rPr>
          <w:lang w:val="en-GB"/>
        </w:rPr>
        <w:t xml:space="preserve"> even though</w:t>
      </w:r>
      <w:r w:rsidR="004D03E0" w:rsidRPr="00C72770">
        <w:rPr>
          <w:lang w:val="en-GB"/>
        </w:rPr>
        <w:t xml:space="preserve"> </w:t>
      </w:r>
      <w:r w:rsidRPr="00C72770">
        <w:rPr>
          <w:lang w:val="en-GB"/>
        </w:rPr>
        <w:t>4</w:t>
      </w:r>
      <w:r w:rsidR="008B322A">
        <w:rPr>
          <w:lang w:val="en-GB"/>
        </w:rPr>
        <w:t> </w:t>
      </w:r>
      <w:r w:rsidRPr="00C72770">
        <w:rPr>
          <w:lang w:val="en-GB"/>
        </w:rPr>
        <w:t xml:space="preserve">ALK </w:t>
      </w:r>
      <w:r w:rsidR="00E80592">
        <w:rPr>
          <w:lang w:val="en-GB"/>
        </w:rPr>
        <w:t>tyrosine kinase inhibitor (</w:t>
      </w:r>
      <w:r w:rsidRPr="00C72770">
        <w:rPr>
          <w:lang w:val="en-GB"/>
        </w:rPr>
        <w:t>TKI</w:t>
      </w:r>
      <w:r w:rsidR="00E80592">
        <w:rPr>
          <w:lang w:val="en-GB"/>
        </w:rPr>
        <w:t>)</w:t>
      </w:r>
      <w:r w:rsidRPr="00C72770">
        <w:rPr>
          <w:lang w:val="en-GB"/>
        </w:rPr>
        <w:t xml:space="preserve"> treatments </w:t>
      </w:r>
      <w:r w:rsidR="007D6F1B">
        <w:rPr>
          <w:lang w:val="en-GB"/>
        </w:rPr>
        <w:t xml:space="preserve">are </w:t>
      </w:r>
      <w:r w:rsidRPr="00C72770">
        <w:rPr>
          <w:lang w:val="en-GB"/>
        </w:rPr>
        <w:t xml:space="preserve">available. The committee noted that neither </w:t>
      </w:r>
      <w:r w:rsidR="00CC1FD2" w:rsidRPr="00C72770">
        <w:rPr>
          <w:lang w:val="en-GB"/>
        </w:rPr>
        <w:t>crizotinib</w:t>
      </w:r>
      <w:r w:rsidRPr="00C72770">
        <w:rPr>
          <w:lang w:val="en-GB"/>
        </w:rPr>
        <w:t xml:space="preserve"> nor </w:t>
      </w:r>
      <w:r w:rsidR="00CC1FD2" w:rsidRPr="00C72770">
        <w:rPr>
          <w:lang w:val="en-GB"/>
        </w:rPr>
        <w:t xml:space="preserve">ceritinib </w:t>
      </w:r>
      <w:r w:rsidRPr="00C72770">
        <w:rPr>
          <w:lang w:val="en-GB"/>
        </w:rPr>
        <w:t xml:space="preserve">are </w:t>
      </w:r>
      <w:r w:rsidR="004367B1" w:rsidRPr="00C72770">
        <w:rPr>
          <w:lang w:val="en-GB"/>
        </w:rPr>
        <w:t>preferred</w:t>
      </w:r>
      <w:r w:rsidRPr="00C72770">
        <w:rPr>
          <w:lang w:val="en-GB"/>
        </w:rPr>
        <w:t xml:space="preserve"> </w:t>
      </w:r>
      <w:r w:rsidR="005F65E9">
        <w:rPr>
          <w:lang w:val="en-GB"/>
        </w:rPr>
        <w:t>for untreated disease</w:t>
      </w:r>
      <w:r w:rsidRPr="00C72770">
        <w:rPr>
          <w:lang w:val="en-GB"/>
        </w:rPr>
        <w:t xml:space="preserve"> since the availability of </w:t>
      </w:r>
      <w:r w:rsidR="00CC1FD2" w:rsidRPr="00C72770">
        <w:rPr>
          <w:lang w:val="en-GB"/>
        </w:rPr>
        <w:t>alectinib</w:t>
      </w:r>
      <w:r w:rsidR="008B322A">
        <w:rPr>
          <w:lang w:val="en-GB"/>
        </w:rPr>
        <w:t>. B</w:t>
      </w:r>
      <w:r w:rsidR="00CC1FD2" w:rsidRPr="00C72770">
        <w:rPr>
          <w:lang w:val="en-GB"/>
        </w:rPr>
        <w:t xml:space="preserve">rigatinib </w:t>
      </w:r>
      <w:r w:rsidRPr="00C72770">
        <w:rPr>
          <w:lang w:val="en-GB"/>
        </w:rPr>
        <w:t xml:space="preserve">has been approved for </w:t>
      </w:r>
      <w:r w:rsidR="005F65E9">
        <w:rPr>
          <w:lang w:val="en-GB"/>
        </w:rPr>
        <w:t>previously treated disease</w:t>
      </w:r>
      <w:r w:rsidRPr="00C72770">
        <w:rPr>
          <w:lang w:val="en-GB"/>
        </w:rPr>
        <w:t xml:space="preserve"> only after </w:t>
      </w:r>
      <w:r w:rsidR="00CC1FD2" w:rsidRPr="00C72770">
        <w:rPr>
          <w:lang w:val="en-GB"/>
        </w:rPr>
        <w:t>crizotinib</w:t>
      </w:r>
      <w:r w:rsidRPr="00C72770">
        <w:rPr>
          <w:lang w:val="en-GB"/>
        </w:rPr>
        <w:t xml:space="preserve">. </w:t>
      </w:r>
      <w:r w:rsidR="00CC1FD2" w:rsidRPr="00C72770">
        <w:rPr>
          <w:lang w:val="en-GB"/>
        </w:rPr>
        <w:t xml:space="preserve">If </w:t>
      </w:r>
      <w:r w:rsidR="005F65E9">
        <w:rPr>
          <w:lang w:val="en-GB"/>
        </w:rPr>
        <w:t>alectinib’s</w:t>
      </w:r>
      <w:r w:rsidR="00C72770" w:rsidRPr="00C72770">
        <w:rPr>
          <w:lang w:val="en-GB"/>
        </w:rPr>
        <w:t xml:space="preserve"> treatment effect wanes </w:t>
      </w:r>
      <w:r w:rsidR="005F65E9">
        <w:rPr>
          <w:lang w:val="en-GB"/>
        </w:rPr>
        <w:t>the only</w:t>
      </w:r>
      <w:r w:rsidR="00F310F8">
        <w:rPr>
          <w:lang w:val="en-GB"/>
        </w:rPr>
        <w:t xml:space="preserve"> current</w:t>
      </w:r>
      <w:r w:rsidR="005F65E9">
        <w:rPr>
          <w:lang w:val="en-GB"/>
        </w:rPr>
        <w:t xml:space="preserve"> option is</w:t>
      </w:r>
      <w:r w:rsidRPr="00C72770">
        <w:rPr>
          <w:lang w:val="en-GB"/>
        </w:rPr>
        <w:t xml:space="preserve"> chemotherapy.</w:t>
      </w:r>
      <w:r w:rsidR="004D03E0" w:rsidRPr="00C72770">
        <w:rPr>
          <w:lang w:val="en-GB"/>
        </w:rPr>
        <w:t xml:space="preserve"> ALK TKI treatments are a </w:t>
      </w:r>
      <w:r w:rsidR="00F310F8">
        <w:rPr>
          <w:lang w:val="en-GB"/>
        </w:rPr>
        <w:t>significant</w:t>
      </w:r>
      <w:r w:rsidR="00F310F8" w:rsidRPr="00C72770">
        <w:rPr>
          <w:lang w:val="en-GB"/>
        </w:rPr>
        <w:t xml:space="preserve"> </w:t>
      </w:r>
      <w:r w:rsidR="004D03E0" w:rsidRPr="00C72770">
        <w:rPr>
          <w:lang w:val="en-GB"/>
        </w:rPr>
        <w:t>improvement over chemotherapy. People can live relatively normally</w:t>
      </w:r>
      <w:r w:rsidR="00150D94">
        <w:rPr>
          <w:lang w:val="en-GB"/>
        </w:rPr>
        <w:t xml:space="preserve"> and</w:t>
      </w:r>
      <w:r w:rsidR="0066230D">
        <w:rPr>
          <w:lang w:val="en-GB"/>
        </w:rPr>
        <w:t xml:space="preserve"> do not need to go to hospital </w:t>
      </w:r>
      <w:r w:rsidR="00F41A64">
        <w:rPr>
          <w:lang w:val="en-GB"/>
        </w:rPr>
        <w:t>for treatment</w:t>
      </w:r>
      <w:r w:rsidR="00150D94">
        <w:rPr>
          <w:lang w:val="en-GB"/>
        </w:rPr>
        <w:t>. They</w:t>
      </w:r>
      <w:r w:rsidR="004D03E0" w:rsidRPr="00C72770">
        <w:rPr>
          <w:lang w:val="en-GB"/>
        </w:rPr>
        <w:t xml:space="preserve"> do</w:t>
      </w:r>
      <w:r w:rsidR="008B322A">
        <w:rPr>
          <w:lang w:val="en-GB"/>
        </w:rPr>
        <w:t xml:space="preserve"> </w:t>
      </w:r>
      <w:r w:rsidR="004D03E0" w:rsidRPr="00C72770">
        <w:rPr>
          <w:lang w:val="en-GB"/>
        </w:rPr>
        <w:t>n</w:t>
      </w:r>
      <w:r w:rsidR="008B322A">
        <w:rPr>
          <w:lang w:val="en-GB"/>
        </w:rPr>
        <w:t>o</w:t>
      </w:r>
      <w:r w:rsidR="004D03E0" w:rsidRPr="00C72770">
        <w:rPr>
          <w:lang w:val="en-GB"/>
        </w:rPr>
        <w:t xml:space="preserve">t </w:t>
      </w:r>
      <w:r w:rsidR="008B322A">
        <w:rPr>
          <w:lang w:val="en-GB"/>
        </w:rPr>
        <w:t>have</w:t>
      </w:r>
      <w:r w:rsidR="004D03E0" w:rsidRPr="00C72770">
        <w:rPr>
          <w:lang w:val="en-GB"/>
        </w:rPr>
        <w:t xml:space="preserve"> distressing symptoms </w:t>
      </w:r>
      <w:r w:rsidR="008B322A">
        <w:rPr>
          <w:lang w:val="en-GB"/>
        </w:rPr>
        <w:t xml:space="preserve">associated with chemotherapy </w:t>
      </w:r>
      <w:r w:rsidR="004D03E0" w:rsidRPr="00C72770">
        <w:rPr>
          <w:lang w:val="en-GB"/>
        </w:rPr>
        <w:t xml:space="preserve">such as hair loss. </w:t>
      </w:r>
      <w:r w:rsidR="002B721A">
        <w:rPr>
          <w:lang w:val="en-GB"/>
        </w:rPr>
        <w:t>Also</w:t>
      </w:r>
      <w:r w:rsidR="004D03E0" w:rsidRPr="00C72770">
        <w:rPr>
          <w:lang w:val="en-GB"/>
        </w:rPr>
        <w:t xml:space="preserve">, the patient expert explained that lorlatinib </w:t>
      </w:r>
      <w:r w:rsidR="004367B1" w:rsidRPr="00C72770">
        <w:rPr>
          <w:lang w:val="en-GB"/>
        </w:rPr>
        <w:t>may be better</w:t>
      </w:r>
      <w:r w:rsidR="004D03E0" w:rsidRPr="00C72770">
        <w:rPr>
          <w:lang w:val="en-GB"/>
        </w:rPr>
        <w:t xml:space="preserve"> tolerated than other ALK TKIs, </w:t>
      </w:r>
      <w:r w:rsidR="004367B1" w:rsidRPr="00C72770">
        <w:rPr>
          <w:lang w:val="en-GB"/>
        </w:rPr>
        <w:t>appearing to cause</w:t>
      </w:r>
      <w:r w:rsidR="004D03E0" w:rsidRPr="00C72770">
        <w:rPr>
          <w:lang w:val="en-GB"/>
        </w:rPr>
        <w:t xml:space="preserve"> less fatigue and </w:t>
      </w:r>
      <w:r w:rsidR="004367B1" w:rsidRPr="00C72770">
        <w:rPr>
          <w:lang w:val="en-GB"/>
        </w:rPr>
        <w:t>fewer</w:t>
      </w:r>
      <w:r w:rsidR="004D03E0" w:rsidRPr="00C72770">
        <w:rPr>
          <w:lang w:val="en-GB"/>
        </w:rPr>
        <w:t xml:space="preserve"> sun sensitivity </w:t>
      </w:r>
      <w:r w:rsidR="002B721A">
        <w:rPr>
          <w:lang w:val="en-GB"/>
        </w:rPr>
        <w:t xml:space="preserve">and </w:t>
      </w:r>
      <w:r w:rsidR="004D03E0" w:rsidRPr="00C72770">
        <w:rPr>
          <w:lang w:val="en-GB"/>
        </w:rPr>
        <w:t xml:space="preserve">gastrointestinal problems. </w:t>
      </w:r>
      <w:r w:rsidR="007014A7" w:rsidRPr="00C72770">
        <w:rPr>
          <w:lang w:val="en-GB"/>
        </w:rPr>
        <w:t>T</w:t>
      </w:r>
      <w:r w:rsidRPr="00C72770">
        <w:rPr>
          <w:lang w:val="en-GB"/>
        </w:rPr>
        <w:t xml:space="preserve">he clinical experts </w:t>
      </w:r>
      <w:r w:rsidR="001779AC">
        <w:rPr>
          <w:lang w:val="en-GB"/>
        </w:rPr>
        <w:t>confirmed</w:t>
      </w:r>
      <w:r w:rsidRPr="00C72770">
        <w:rPr>
          <w:lang w:val="en-GB"/>
        </w:rPr>
        <w:t xml:space="preserve"> that t</w:t>
      </w:r>
      <w:r w:rsidR="007014A7" w:rsidRPr="00C72770">
        <w:rPr>
          <w:lang w:val="en-GB"/>
        </w:rPr>
        <w:t xml:space="preserve">here </w:t>
      </w:r>
      <w:r w:rsidR="001779AC">
        <w:rPr>
          <w:lang w:val="en-GB"/>
        </w:rPr>
        <w:t>was</w:t>
      </w:r>
      <w:r w:rsidR="007014A7" w:rsidRPr="00C72770">
        <w:rPr>
          <w:lang w:val="en-GB"/>
        </w:rPr>
        <w:t xml:space="preserve"> a high unmet need for patients with ALK</w:t>
      </w:r>
      <w:r w:rsidR="001779AC">
        <w:rPr>
          <w:lang w:val="en-GB"/>
        </w:rPr>
        <w:t>-</w:t>
      </w:r>
      <w:r w:rsidR="007014A7" w:rsidRPr="00C72770">
        <w:rPr>
          <w:lang w:val="en-GB"/>
        </w:rPr>
        <w:t>positive NSCLC</w:t>
      </w:r>
      <w:r w:rsidR="004D03E0" w:rsidRPr="00C72770">
        <w:rPr>
          <w:lang w:val="en-GB"/>
        </w:rPr>
        <w:t>, because t</w:t>
      </w:r>
      <w:r w:rsidR="007014A7" w:rsidRPr="00C72770">
        <w:rPr>
          <w:lang w:val="en-GB"/>
        </w:rPr>
        <w:t>here is no cur</w:t>
      </w:r>
      <w:r w:rsidR="001779AC">
        <w:rPr>
          <w:lang w:val="en-GB"/>
        </w:rPr>
        <w:t>e</w:t>
      </w:r>
      <w:r w:rsidR="007014A7" w:rsidRPr="00C72770">
        <w:rPr>
          <w:lang w:val="en-GB"/>
        </w:rPr>
        <w:t xml:space="preserve"> for metastatic disease</w:t>
      </w:r>
      <w:r w:rsidR="009C1170">
        <w:rPr>
          <w:lang w:val="en-GB"/>
        </w:rPr>
        <w:t>. Also,</w:t>
      </w:r>
      <w:r w:rsidR="007014A7" w:rsidRPr="00C72770">
        <w:rPr>
          <w:lang w:val="en-GB"/>
        </w:rPr>
        <w:t xml:space="preserve"> </w:t>
      </w:r>
      <w:r w:rsidR="001779AC">
        <w:rPr>
          <w:lang w:val="en-GB"/>
        </w:rPr>
        <w:t>more than</w:t>
      </w:r>
      <w:r w:rsidR="007014A7" w:rsidRPr="00C72770">
        <w:rPr>
          <w:lang w:val="en-GB"/>
        </w:rPr>
        <w:t xml:space="preserve"> 50% of patients </w:t>
      </w:r>
      <w:r w:rsidR="00AA51D7" w:rsidRPr="00C72770">
        <w:rPr>
          <w:lang w:val="en-GB"/>
        </w:rPr>
        <w:t xml:space="preserve">with ALK-positive NSCLC </w:t>
      </w:r>
      <w:r w:rsidR="007014A7" w:rsidRPr="00C72770">
        <w:rPr>
          <w:lang w:val="en-GB"/>
        </w:rPr>
        <w:t>develop brain metastases</w:t>
      </w:r>
      <w:r w:rsidR="001779AC">
        <w:rPr>
          <w:lang w:val="en-GB"/>
        </w:rPr>
        <w:t>,</w:t>
      </w:r>
      <w:r w:rsidR="007014A7" w:rsidRPr="00C72770">
        <w:rPr>
          <w:lang w:val="en-GB"/>
        </w:rPr>
        <w:t xml:space="preserve"> </w:t>
      </w:r>
      <w:r w:rsidR="004D03E0" w:rsidRPr="00C72770">
        <w:rPr>
          <w:lang w:val="en-GB"/>
        </w:rPr>
        <w:t xml:space="preserve">associated </w:t>
      </w:r>
      <w:r w:rsidR="001779AC">
        <w:rPr>
          <w:lang w:val="en-GB"/>
        </w:rPr>
        <w:t xml:space="preserve">with </w:t>
      </w:r>
      <w:r w:rsidR="007014A7" w:rsidRPr="00C72770">
        <w:rPr>
          <w:lang w:val="en-GB"/>
        </w:rPr>
        <w:t xml:space="preserve">high morbidity and mortality. </w:t>
      </w:r>
      <w:r w:rsidR="000D062C">
        <w:rPr>
          <w:lang w:val="en-GB"/>
        </w:rPr>
        <w:t>Lorlatinib’s</w:t>
      </w:r>
      <w:r w:rsidR="00E86F3B" w:rsidRPr="00C72770">
        <w:rPr>
          <w:lang w:val="en-GB"/>
        </w:rPr>
        <w:t xml:space="preserve"> ability to </w:t>
      </w:r>
      <w:r w:rsidR="000748CC">
        <w:rPr>
          <w:lang w:val="en-GB"/>
        </w:rPr>
        <w:t xml:space="preserve">reach the </w:t>
      </w:r>
      <w:r w:rsidR="00E86F3B" w:rsidRPr="00C72770">
        <w:rPr>
          <w:lang w:val="en-GB"/>
        </w:rPr>
        <w:t xml:space="preserve">brain means that patients </w:t>
      </w:r>
      <w:r w:rsidR="000748CC">
        <w:rPr>
          <w:lang w:val="en-GB"/>
        </w:rPr>
        <w:t xml:space="preserve">whose brain tumours respond to treatment may have </w:t>
      </w:r>
      <w:r w:rsidR="001B7341">
        <w:rPr>
          <w:lang w:val="en-GB"/>
        </w:rPr>
        <w:t>improved</w:t>
      </w:r>
      <w:r w:rsidR="000748CC">
        <w:rPr>
          <w:lang w:val="en-GB"/>
        </w:rPr>
        <w:t xml:space="preserve"> </w:t>
      </w:r>
      <w:r w:rsidR="000748CC" w:rsidRPr="00C72770">
        <w:rPr>
          <w:lang w:val="en-GB"/>
        </w:rPr>
        <w:t>quality of life</w:t>
      </w:r>
      <w:r w:rsidR="001B7341">
        <w:rPr>
          <w:lang w:val="en-GB"/>
        </w:rPr>
        <w:t>,</w:t>
      </w:r>
      <w:r w:rsidR="000D062C">
        <w:rPr>
          <w:lang w:val="en-GB"/>
        </w:rPr>
        <w:t xml:space="preserve"> allow</w:t>
      </w:r>
      <w:r w:rsidR="001B7341">
        <w:rPr>
          <w:lang w:val="en-GB"/>
        </w:rPr>
        <w:t>ing</w:t>
      </w:r>
      <w:r w:rsidR="000748CC">
        <w:rPr>
          <w:lang w:val="en-GB"/>
        </w:rPr>
        <w:t xml:space="preserve"> them to </w:t>
      </w:r>
      <w:r w:rsidR="00E86F3B" w:rsidRPr="00C72770">
        <w:rPr>
          <w:lang w:val="en-GB"/>
        </w:rPr>
        <w:t xml:space="preserve">return to their usual activities. </w:t>
      </w:r>
      <w:r w:rsidR="00E45D20">
        <w:rPr>
          <w:lang w:val="en-GB"/>
        </w:rPr>
        <w:t>F</w:t>
      </w:r>
      <w:r w:rsidR="00C72770">
        <w:rPr>
          <w:lang w:val="en-GB"/>
        </w:rPr>
        <w:t>irst</w:t>
      </w:r>
      <w:r w:rsidR="007014A7" w:rsidRPr="00C72770">
        <w:rPr>
          <w:lang w:val="en-GB"/>
        </w:rPr>
        <w:t xml:space="preserve"> and </w:t>
      </w:r>
      <w:r w:rsidR="00C72770">
        <w:rPr>
          <w:lang w:val="en-GB"/>
        </w:rPr>
        <w:t>second</w:t>
      </w:r>
      <w:r w:rsidR="00E319EF">
        <w:rPr>
          <w:lang w:val="en-GB"/>
        </w:rPr>
        <w:t>-</w:t>
      </w:r>
      <w:r w:rsidR="007014A7" w:rsidRPr="00C72770">
        <w:rPr>
          <w:lang w:val="en-GB"/>
        </w:rPr>
        <w:t xml:space="preserve">generation ALK </w:t>
      </w:r>
      <w:r w:rsidR="004D03E0" w:rsidRPr="00C72770">
        <w:rPr>
          <w:lang w:val="en-GB"/>
        </w:rPr>
        <w:t>TKIs</w:t>
      </w:r>
      <w:r w:rsidR="007014A7" w:rsidRPr="00C72770">
        <w:rPr>
          <w:lang w:val="en-GB"/>
        </w:rPr>
        <w:t xml:space="preserve"> </w:t>
      </w:r>
      <w:r w:rsidR="00217E5D">
        <w:rPr>
          <w:lang w:val="en-GB"/>
        </w:rPr>
        <w:t>(</w:t>
      </w:r>
      <w:r w:rsidR="00217E5D">
        <w:rPr>
          <w:lang w:val="en-US"/>
        </w:rPr>
        <w:t>alectinib, ceritinib, crizotinib and brigatinib)</w:t>
      </w:r>
      <w:r w:rsidR="00217E5D" w:rsidRPr="00C72770">
        <w:rPr>
          <w:lang w:val="en-GB"/>
        </w:rPr>
        <w:t xml:space="preserve"> </w:t>
      </w:r>
      <w:r w:rsidR="0046065E" w:rsidRPr="00C72770">
        <w:rPr>
          <w:lang w:val="en-GB"/>
        </w:rPr>
        <w:t>are</w:t>
      </w:r>
      <w:r w:rsidR="007014A7" w:rsidRPr="00C72770">
        <w:rPr>
          <w:lang w:val="en-GB"/>
        </w:rPr>
        <w:t xml:space="preserve"> associated with </w:t>
      </w:r>
      <w:r w:rsidR="004D03E0" w:rsidRPr="00C72770">
        <w:rPr>
          <w:lang w:val="en-GB"/>
        </w:rPr>
        <w:t xml:space="preserve">the </w:t>
      </w:r>
      <w:r w:rsidR="007014A7" w:rsidRPr="00C72770">
        <w:rPr>
          <w:lang w:val="en-GB"/>
        </w:rPr>
        <w:t>development of drug resistant</w:t>
      </w:r>
      <w:r w:rsidR="004D03E0" w:rsidRPr="00C72770">
        <w:rPr>
          <w:lang w:val="en-GB"/>
        </w:rPr>
        <w:t xml:space="preserve"> mutations</w:t>
      </w:r>
      <w:r w:rsidR="0046065E" w:rsidRPr="00C72770">
        <w:rPr>
          <w:lang w:val="en-GB"/>
        </w:rPr>
        <w:t>, leading to disease progression</w:t>
      </w:r>
      <w:r w:rsidR="007014A7" w:rsidRPr="00C72770">
        <w:rPr>
          <w:lang w:val="en-GB"/>
        </w:rPr>
        <w:t xml:space="preserve">. </w:t>
      </w:r>
      <w:r w:rsidR="009C1170">
        <w:rPr>
          <w:lang w:val="en-GB"/>
        </w:rPr>
        <w:t>Brain metastases and drug resistant mutations</w:t>
      </w:r>
      <w:r w:rsidR="007014A7" w:rsidRPr="00C72770">
        <w:rPr>
          <w:lang w:val="en-GB"/>
        </w:rPr>
        <w:t xml:space="preserve"> limit </w:t>
      </w:r>
      <w:r w:rsidR="00EA4D81" w:rsidRPr="00C72770">
        <w:rPr>
          <w:lang w:val="en-GB"/>
        </w:rPr>
        <w:t xml:space="preserve">the </w:t>
      </w:r>
      <w:r w:rsidR="007014A7" w:rsidRPr="00C72770">
        <w:rPr>
          <w:lang w:val="en-GB"/>
        </w:rPr>
        <w:t xml:space="preserve">duration of disease control and benefit from current ALK </w:t>
      </w:r>
      <w:r w:rsidR="00EA4D81" w:rsidRPr="00C72770">
        <w:rPr>
          <w:lang w:val="en-GB"/>
        </w:rPr>
        <w:t>TKIs</w:t>
      </w:r>
      <w:r w:rsidR="007014A7" w:rsidRPr="00C72770">
        <w:rPr>
          <w:lang w:val="en-GB"/>
        </w:rPr>
        <w:t>. For patients to surviv</w:t>
      </w:r>
      <w:r w:rsidR="009C1170">
        <w:rPr>
          <w:lang w:val="en-GB"/>
        </w:rPr>
        <w:t>e</w:t>
      </w:r>
      <w:r w:rsidR="007014A7" w:rsidRPr="00C72770">
        <w:rPr>
          <w:lang w:val="en-GB"/>
        </w:rPr>
        <w:t xml:space="preserve"> </w:t>
      </w:r>
      <w:r w:rsidR="0005492B">
        <w:rPr>
          <w:lang w:val="en-GB"/>
        </w:rPr>
        <w:t>for longer</w:t>
      </w:r>
      <w:r w:rsidR="007014A7" w:rsidRPr="00C72770">
        <w:rPr>
          <w:lang w:val="en-GB"/>
        </w:rPr>
        <w:t xml:space="preserve">, and to avoid </w:t>
      </w:r>
      <w:r w:rsidR="00E319EF">
        <w:rPr>
          <w:lang w:val="en-GB"/>
        </w:rPr>
        <w:t xml:space="preserve">the </w:t>
      </w:r>
      <w:r w:rsidR="007014A7" w:rsidRPr="00C72770">
        <w:rPr>
          <w:lang w:val="en-GB"/>
        </w:rPr>
        <w:t xml:space="preserve">devastating </w:t>
      </w:r>
      <w:r w:rsidR="00E319EF">
        <w:rPr>
          <w:lang w:val="en-GB"/>
        </w:rPr>
        <w:t>consequences</w:t>
      </w:r>
      <w:r w:rsidR="007014A7" w:rsidRPr="00C72770">
        <w:rPr>
          <w:lang w:val="en-GB"/>
        </w:rPr>
        <w:t xml:space="preserve"> </w:t>
      </w:r>
      <w:r w:rsidR="007014A7" w:rsidRPr="00C72770">
        <w:rPr>
          <w:lang w:val="en-GB"/>
        </w:rPr>
        <w:lastRenderedPageBreak/>
        <w:t>of brain metastases</w:t>
      </w:r>
      <w:r w:rsidR="00E319EF">
        <w:rPr>
          <w:lang w:val="en-GB"/>
        </w:rPr>
        <w:t>,</w:t>
      </w:r>
      <w:r w:rsidR="007014A7" w:rsidRPr="00C72770">
        <w:rPr>
          <w:lang w:val="en-GB"/>
        </w:rPr>
        <w:t xml:space="preserve"> effective treatment that can penetrate the brain and overcome ALK</w:t>
      </w:r>
      <w:r w:rsidR="00E319EF">
        <w:rPr>
          <w:lang w:val="en-GB"/>
        </w:rPr>
        <w:t>-</w:t>
      </w:r>
      <w:r w:rsidR="007014A7" w:rsidRPr="00C72770">
        <w:rPr>
          <w:lang w:val="en-GB"/>
        </w:rPr>
        <w:t xml:space="preserve">resistance mutations is </w:t>
      </w:r>
      <w:r w:rsidR="00E319EF">
        <w:rPr>
          <w:lang w:val="en-GB"/>
        </w:rPr>
        <w:t>neede</w:t>
      </w:r>
      <w:r w:rsidR="00E319EF" w:rsidRPr="00C72770">
        <w:rPr>
          <w:lang w:val="en-GB"/>
        </w:rPr>
        <w:t>d</w:t>
      </w:r>
      <w:r w:rsidR="007014A7" w:rsidRPr="00C72770">
        <w:rPr>
          <w:lang w:val="en-GB"/>
        </w:rPr>
        <w:t xml:space="preserve">. </w:t>
      </w:r>
      <w:r w:rsidR="004D03E0" w:rsidRPr="00C72770">
        <w:rPr>
          <w:lang w:val="en-GB"/>
        </w:rPr>
        <w:t>The committee noted that l</w:t>
      </w:r>
      <w:r w:rsidR="007014A7" w:rsidRPr="00C72770">
        <w:rPr>
          <w:lang w:val="en-GB"/>
        </w:rPr>
        <w:t xml:space="preserve">orlatinib would </w:t>
      </w:r>
      <w:r w:rsidR="00591C37">
        <w:rPr>
          <w:lang w:val="en-GB"/>
        </w:rPr>
        <w:t>be</w:t>
      </w:r>
      <w:r w:rsidR="007014A7" w:rsidRPr="00C72770">
        <w:rPr>
          <w:lang w:val="en-GB"/>
        </w:rPr>
        <w:t xml:space="preserve"> an</w:t>
      </w:r>
      <w:r w:rsidR="000678D1">
        <w:rPr>
          <w:lang w:val="en-GB"/>
        </w:rPr>
        <w:t>other</w:t>
      </w:r>
      <w:r w:rsidR="007014A7" w:rsidRPr="00C72770">
        <w:rPr>
          <w:lang w:val="en-GB"/>
        </w:rPr>
        <w:t xml:space="preserve"> line of </w:t>
      </w:r>
      <w:r w:rsidR="00591C37" w:rsidRPr="00C72770">
        <w:rPr>
          <w:lang w:val="en-GB"/>
        </w:rPr>
        <w:t xml:space="preserve">ALK TKI </w:t>
      </w:r>
      <w:r w:rsidR="007014A7" w:rsidRPr="00C72770">
        <w:rPr>
          <w:lang w:val="en-GB"/>
        </w:rPr>
        <w:t xml:space="preserve">treatment before </w:t>
      </w:r>
      <w:r w:rsidR="00591C37">
        <w:rPr>
          <w:lang w:val="en-GB"/>
        </w:rPr>
        <w:t>a</w:t>
      </w:r>
      <w:r w:rsidR="007014A7" w:rsidRPr="00C72770">
        <w:rPr>
          <w:lang w:val="en-GB"/>
        </w:rPr>
        <w:t xml:space="preserve"> patient </w:t>
      </w:r>
      <w:r w:rsidR="00E319EF">
        <w:rPr>
          <w:lang w:val="en-GB"/>
        </w:rPr>
        <w:t>has</w:t>
      </w:r>
      <w:r w:rsidR="007014A7" w:rsidRPr="00C72770">
        <w:rPr>
          <w:lang w:val="en-GB"/>
        </w:rPr>
        <w:t xml:space="preserve"> chemotherapy or chemoimmunotherapy</w:t>
      </w:r>
      <w:r w:rsidR="00591C37">
        <w:rPr>
          <w:lang w:val="en-GB"/>
        </w:rPr>
        <w:t>.</w:t>
      </w:r>
      <w:r w:rsidR="008B6BEC" w:rsidRPr="00C72770">
        <w:rPr>
          <w:lang w:val="en-GB"/>
        </w:rPr>
        <w:t xml:space="preserve"> The committee agreed that there </w:t>
      </w:r>
      <w:r w:rsidR="00591C37">
        <w:rPr>
          <w:lang w:val="en-GB"/>
        </w:rPr>
        <w:t>wa</w:t>
      </w:r>
      <w:r w:rsidR="008B6BEC" w:rsidRPr="00C72770">
        <w:rPr>
          <w:lang w:val="en-GB"/>
        </w:rPr>
        <w:t xml:space="preserve">s </w:t>
      </w:r>
      <w:r w:rsidR="00AB6E32">
        <w:rPr>
          <w:lang w:val="en-GB"/>
        </w:rPr>
        <w:t xml:space="preserve">an </w:t>
      </w:r>
      <w:r w:rsidR="008B6BEC" w:rsidRPr="00C72770">
        <w:rPr>
          <w:lang w:val="en-GB"/>
        </w:rPr>
        <w:t xml:space="preserve">unmet clinical need in ALK-positive NSCLC and that a </w:t>
      </w:r>
      <w:r w:rsidR="00C72770">
        <w:rPr>
          <w:lang w:val="en-GB"/>
        </w:rPr>
        <w:t>third</w:t>
      </w:r>
      <w:r w:rsidR="009C1170">
        <w:rPr>
          <w:lang w:val="en-GB"/>
        </w:rPr>
        <w:t>-</w:t>
      </w:r>
      <w:r w:rsidR="008B6BEC" w:rsidRPr="00C72770">
        <w:rPr>
          <w:lang w:val="en-GB"/>
        </w:rPr>
        <w:t>generation ALK TKI</w:t>
      </w:r>
      <w:r w:rsidR="000678D1">
        <w:rPr>
          <w:lang w:val="en-GB"/>
        </w:rPr>
        <w:t>,</w:t>
      </w:r>
      <w:r w:rsidR="008B6BEC" w:rsidRPr="00C72770">
        <w:rPr>
          <w:lang w:val="en-GB"/>
        </w:rPr>
        <w:t xml:space="preserve"> </w:t>
      </w:r>
      <w:r w:rsidR="000678D1">
        <w:rPr>
          <w:lang w:val="en-GB"/>
        </w:rPr>
        <w:t xml:space="preserve">such as lorlatinib, </w:t>
      </w:r>
      <w:r w:rsidR="008B6BEC" w:rsidRPr="00C72770">
        <w:rPr>
          <w:lang w:val="en-GB"/>
        </w:rPr>
        <w:t>would significant</w:t>
      </w:r>
      <w:r w:rsidR="0079736E">
        <w:rPr>
          <w:lang w:val="en-GB"/>
        </w:rPr>
        <w:t>ly</w:t>
      </w:r>
      <w:r w:rsidR="008B6BEC" w:rsidRPr="00C72770">
        <w:rPr>
          <w:lang w:val="en-GB"/>
        </w:rPr>
        <w:t xml:space="preserve"> benefit patients.</w:t>
      </w:r>
    </w:p>
    <w:p w14:paraId="605E339A" w14:textId="1978E516" w:rsidR="00ED6191" w:rsidRPr="00C72770" w:rsidRDefault="00ED6191" w:rsidP="00ED6191">
      <w:pPr>
        <w:pStyle w:val="Heading2"/>
      </w:pPr>
      <w:r w:rsidRPr="00C72770">
        <w:t>Clinical management</w:t>
      </w:r>
    </w:p>
    <w:p w14:paraId="4DF933C4" w14:textId="1D419A44" w:rsidR="00ED6191" w:rsidRPr="00C72770" w:rsidRDefault="00ED6191" w:rsidP="00ED6191">
      <w:pPr>
        <w:pStyle w:val="Heading3"/>
      </w:pPr>
      <w:r w:rsidRPr="00C72770">
        <w:t xml:space="preserve">Current treatments </w:t>
      </w:r>
      <w:r w:rsidR="00E45D20">
        <w:t>after</w:t>
      </w:r>
      <w:r w:rsidR="00E45D20" w:rsidRPr="00C72770">
        <w:t xml:space="preserve"> </w:t>
      </w:r>
      <w:r w:rsidRPr="00C72770">
        <w:t>ALK TKIs are not effective for brain metastases</w:t>
      </w:r>
    </w:p>
    <w:p w14:paraId="35475925" w14:textId="2D2FAEFF" w:rsidR="00ED6191" w:rsidRPr="002C712D" w:rsidRDefault="007014A7" w:rsidP="00D93435">
      <w:pPr>
        <w:pStyle w:val="Numberedlevel2text"/>
        <w:rPr>
          <w:lang w:val="en-GB"/>
        </w:rPr>
      </w:pPr>
      <w:r w:rsidRPr="003D385A">
        <w:rPr>
          <w:lang w:val="en-GB"/>
        </w:rPr>
        <w:t xml:space="preserve">Current treatment options </w:t>
      </w:r>
      <w:r w:rsidR="00E45D20" w:rsidRPr="003D385A">
        <w:rPr>
          <w:lang w:val="en-GB"/>
        </w:rPr>
        <w:t>after</w:t>
      </w:r>
      <w:r w:rsidR="00C20403" w:rsidRPr="006E1BFB">
        <w:rPr>
          <w:lang w:val="en-GB"/>
        </w:rPr>
        <w:t xml:space="preserve"> AL</w:t>
      </w:r>
      <w:r w:rsidR="00C20403" w:rsidRPr="00A61E13">
        <w:rPr>
          <w:lang w:val="en-GB"/>
        </w:rPr>
        <w:t xml:space="preserve">K TKIs </w:t>
      </w:r>
      <w:r w:rsidRPr="007F5CC5">
        <w:rPr>
          <w:lang w:val="en-GB"/>
        </w:rPr>
        <w:t xml:space="preserve">are standard </w:t>
      </w:r>
      <w:r w:rsidRPr="00B25F86">
        <w:rPr>
          <w:lang w:val="en-GB"/>
        </w:rPr>
        <w:t xml:space="preserve">care </w:t>
      </w:r>
      <w:r w:rsidR="00151F84">
        <w:rPr>
          <w:lang w:val="en-GB"/>
        </w:rPr>
        <w:t>PDC</w:t>
      </w:r>
      <w:r w:rsidRPr="000F7F29">
        <w:rPr>
          <w:lang w:val="en-GB"/>
        </w:rPr>
        <w:t>,</w:t>
      </w:r>
      <w:r w:rsidR="0046065E" w:rsidRPr="000F7F29">
        <w:t xml:space="preserve"> ABCP</w:t>
      </w:r>
      <w:r w:rsidRPr="000F7F29">
        <w:t xml:space="preserve"> or best supportive care. The </w:t>
      </w:r>
      <w:r w:rsidR="00C20403" w:rsidRPr="000F7F29">
        <w:t xml:space="preserve">clinical experts explained that </w:t>
      </w:r>
      <w:r w:rsidR="00E45D20" w:rsidRPr="000F7F29">
        <w:t>the</w:t>
      </w:r>
      <w:r w:rsidR="005F3B56">
        <w:rPr>
          <w:lang w:val="en-US"/>
        </w:rPr>
        <w:t>re was weak</w:t>
      </w:r>
      <w:r w:rsidR="00E45D20" w:rsidRPr="000F7F29">
        <w:t xml:space="preserve"> evidence for </w:t>
      </w:r>
      <w:r w:rsidR="000748CC">
        <w:rPr>
          <w:lang w:val="en-US"/>
        </w:rPr>
        <w:t>PDC</w:t>
      </w:r>
      <w:r w:rsidR="00487D19" w:rsidRPr="000F7F29">
        <w:t>-</w:t>
      </w:r>
      <w:r w:rsidRPr="000F7F29">
        <w:t xml:space="preserve">based regimens </w:t>
      </w:r>
      <w:r w:rsidR="00E45D20" w:rsidRPr="008D3872">
        <w:t>for</w:t>
      </w:r>
      <w:r w:rsidR="00C20403" w:rsidRPr="00E80592">
        <w:t xml:space="preserve"> this patient population</w:t>
      </w:r>
      <w:r w:rsidR="005F3B56">
        <w:rPr>
          <w:lang w:val="en-US"/>
        </w:rPr>
        <w:t>, with</w:t>
      </w:r>
      <w:r w:rsidR="00E45D20" w:rsidRPr="001E1A9D">
        <w:t xml:space="preserve"> </w:t>
      </w:r>
      <w:r w:rsidR="0046065E" w:rsidRPr="001E1A9D">
        <w:t xml:space="preserve">a relative </w:t>
      </w:r>
      <w:r w:rsidR="00C20403" w:rsidRPr="001E1A9D">
        <w:t xml:space="preserve">lack </w:t>
      </w:r>
      <w:r w:rsidR="00DD5AA1">
        <w:rPr>
          <w:lang w:val="en-US"/>
        </w:rPr>
        <w:t xml:space="preserve">of </w:t>
      </w:r>
      <w:r w:rsidR="00C20403" w:rsidRPr="001E1A9D">
        <w:t xml:space="preserve">efficacy </w:t>
      </w:r>
      <w:r w:rsidRPr="001E1A9D">
        <w:t xml:space="preserve">in patients with brain </w:t>
      </w:r>
      <w:r w:rsidR="00C20403" w:rsidRPr="001E1A9D">
        <w:t>metastases</w:t>
      </w:r>
      <w:r w:rsidR="00D93C9F" w:rsidRPr="00E45D20">
        <w:rPr>
          <w:lang w:val="en-GB"/>
        </w:rPr>
        <w:t xml:space="preserve">. The clinical experts </w:t>
      </w:r>
      <w:r w:rsidR="00D53CC4">
        <w:rPr>
          <w:lang w:val="en-GB"/>
        </w:rPr>
        <w:t xml:space="preserve">explained </w:t>
      </w:r>
      <w:r w:rsidR="00D93C9F" w:rsidRPr="00E45D20">
        <w:rPr>
          <w:lang w:val="en-GB"/>
        </w:rPr>
        <w:t xml:space="preserve">that ABCP </w:t>
      </w:r>
      <w:r w:rsidR="006A2FE4" w:rsidRPr="00E45D20">
        <w:rPr>
          <w:lang w:val="en-GB"/>
        </w:rPr>
        <w:t xml:space="preserve">also </w:t>
      </w:r>
      <w:r w:rsidR="00D93C9F" w:rsidRPr="00E45D20">
        <w:rPr>
          <w:lang w:val="en-GB"/>
        </w:rPr>
        <w:t>ha</w:t>
      </w:r>
      <w:r w:rsidR="006B6209">
        <w:rPr>
          <w:lang w:val="en-GB"/>
        </w:rPr>
        <w:t>s</w:t>
      </w:r>
      <w:r w:rsidR="00D93C9F" w:rsidRPr="00E45D20">
        <w:rPr>
          <w:lang w:val="en-GB"/>
        </w:rPr>
        <w:t xml:space="preserve"> poor brain penetration and </w:t>
      </w:r>
      <w:r w:rsidR="00C0231E">
        <w:rPr>
          <w:lang w:val="en-GB"/>
        </w:rPr>
        <w:t>wa</w:t>
      </w:r>
      <w:r w:rsidR="00AA5724">
        <w:rPr>
          <w:lang w:val="en-GB"/>
        </w:rPr>
        <w:t>s</w:t>
      </w:r>
      <w:r w:rsidR="00AA5724" w:rsidRPr="00E45D20">
        <w:rPr>
          <w:lang w:val="en-GB"/>
        </w:rPr>
        <w:t xml:space="preserve"> </w:t>
      </w:r>
      <w:r w:rsidR="00D93435">
        <w:rPr>
          <w:lang w:val="en-GB"/>
        </w:rPr>
        <w:t>not available</w:t>
      </w:r>
      <w:r w:rsidR="00D93435" w:rsidRPr="00E45D20">
        <w:rPr>
          <w:lang w:val="en-GB"/>
        </w:rPr>
        <w:t xml:space="preserve"> </w:t>
      </w:r>
      <w:r w:rsidR="00D93435">
        <w:rPr>
          <w:lang w:val="en-GB"/>
        </w:rPr>
        <w:t>to NHS</w:t>
      </w:r>
      <w:r w:rsidR="00D93435" w:rsidRPr="00E45D20">
        <w:rPr>
          <w:lang w:val="en-GB"/>
        </w:rPr>
        <w:t xml:space="preserve"> </w:t>
      </w:r>
      <w:r w:rsidR="00D93C9F" w:rsidRPr="00E45D20">
        <w:rPr>
          <w:lang w:val="en-GB"/>
        </w:rPr>
        <w:t xml:space="preserve">patients </w:t>
      </w:r>
      <w:r w:rsidR="00D93435">
        <w:rPr>
          <w:lang w:val="en-GB"/>
        </w:rPr>
        <w:t xml:space="preserve">in England </w:t>
      </w:r>
      <w:r w:rsidR="00D93C9F" w:rsidRPr="00E45D20">
        <w:rPr>
          <w:lang w:val="en-GB"/>
        </w:rPr>
        <w:t xml:space="preserve">with </w:t>
      </w:r>
      <w:r w:rsidR="00D93435" w:rsidRPr="00D93435">
        <w:rPr>
          <w:lang w:val="en-GB"/>
        </w:rPr>
        <w:t xml:space="preserve">symptomatically active brain or leptomeningeal </w:t>
      </w:r>
      <w:r w:rsidR="00AA5724">
        <w:rPr>
          <w:lang w:val="en-GB"/>
        </w:rPr>
        <w:t xml:space="preserve">(central nervous system) </w:t>
      </w:r>
      <w:r w:rsidR="00D93435" w:rsidRPr="00D93435">
        <w:rPr>
          <w:lang w:val="en-GB"/>
        </w:rPr>
        <w:t>metastases</w:t>
      </w:r>
      <w:r w:rsidR="00D93C9F" w:rsidRPr="00D93435">
        <w:rPr>
          <w:lang w:val="en-GB"/>
        </w:rPr>
        <w:t xml:space="preserve">, which </w:t>
      </w:r>
      <w:r w:rsidR="00D93435">
        <w:rPr>
          <w:lang w:val="en-GB"/>
        </w:rPr>
        <w:t>are</w:t>
      </w:r>
      <w:r w:rsidR="00D93435" w:rsidRPr="00D93435">
        <w:rPr>
          <w:lang w:val="en-GB"/>
        </w:rPr>
        <w:t xml:space="preserve"> </w:t>
      </w:r>
      <w:r w:rsidR="00D93C9F" w:rsidRPr="00D93435">
        <w:rPr>
          <w:lang w:val="en-GB"/>
        </w:rPr>
        <w:t xml:space="preserve">common in ALK-positive NSCLC. </w:t>
      </w:r>
      <w:r w:rsidR="00D93435">
        <w:rPr>
          <w:lang w:val="en-GB"/>
        </w:rPr>
        <w:t>I</w:t>
      </w:r>
      <w:r w:rsidR="00D93435" w:rsidRPr="00D93435">
        <w:rPr>
          <w:lang w:val="en-GB"/>
        </w:rPr>
        <w:t>n the absence of a third-generation ALK TKI such as lorlatinib</w:t>
      </w:r>
      <w:r w:rsidR="00D93435">
        <w:rPr>
          <w:lang w:val="en-GB"/>
        </w:rPr>
        <w:t>,</w:t>
      </w:r>
      <w:r w:rsidR="00D93435" w:rsidRPr="00D93435">
        <w:rPr>
          <w:lang w:val="en-GB"/>
        </w:rPr>
        <w:t xml:space="preserve"> </w:t>
      </w:r>
      <w:r w:rsidR="00D93C9F" w:rsidRPr="00D93435">
        <w:rPr>
          <w:lang w:val="en-GB"/>
        </w:rPr>
        <w:t>ABCP is expected to be</w:t>
      </w:r>
      <w:r w:rsidR="00F532DF" w:rsidRPr="00D93435">
        <w:rPr>
          <w:lang w:val="en-GB"/>
        </w:rPr>
        <w:t xml:space="preserve"> used</w:t>
      </w:r>
      <w:r w:rsidR="00D93C9F" w:rsidRPr="00D93435">
        <w:rPr>
          <w:lang w:val="en-GB"/>
        </w:rPr>
        <w:t xml:space="preserve"> </w:t>
      </w:r>
      <w:r w:rsidR="006B6209">
        <w:rPr>
          <w:lang w:val="en-GB"/>
        </w:rPr>
        <w:t>more</w:t>
      </w:r>
      <w:r w:rsidR="00D93435">
        <w:rPr>
          <w:lang w:val="en-GB"/>
        </w:rPr>
        <w:t xml:space="preserve"> in people without symptomatically active </w:t>
      </w:r>
      <w:r w:rsidR="00C0231E">
        <w:rPr>
          <w:lang w:val="en-GB"/>
        </w:rPr>
        <w:t xml:space="preserve">central nervous system </w:t>
      </w:r>
      <w:r w:rsidR="00D93435">
        <w:rPr>
          <w:lang w:val="en-GB"/>
        </w:rPr>
        <w:t>metastases</w:t>
      </w:r>
      <w:r w:rsidR="00636E2F" w:rsidRPr="00D93435">
        <w:rPr>
          <w:lang w:val="en-GB"/>
        </w:rPr>
        <w:t xml:space="preserve">. </w:t>
      </w:r>
      <w:r w:rsidR="00AD074B" w:rsidRPr="00D93435">
        <w:rPr>
          <w:lang w:val="en-GB"/>
        </w:rPr>
        <w:t xml:space="preserve">The committee agreed that </w:t>
      </w:r>
      <w:r w:rsidR="00DD5AA1" w:rsidRPr="00D93435">
        <w:rPr>
          <w:lang w:val="en-GB"/>
        </w:rPr>
        <w:t xml:space="preserve">the evidence for the efficacy of </w:t>
      </w:r>
      <w:r w:rsidR="00AD074B" w:rsidRPr="00D93435">
        <w:rPr>
          <w:lang w:val="en-GB"/>
        </w:rPr>
        <w:t xml:space="preserve">current treatments </w:t>
      </w:r>
      <w:r w:rsidR="00F532DF" w:rsidRPr="00D93435">
        <w:rPr>
          <w:lang w:val="en-GB"/>
        </w:rPr>
        <w:t xml:space="preserve">after </w:t>
      </w:r>
      <w:r w:rsidR="00AD074B" w:rsidRPr="00D93435">
        <w:rPr>
          <w:lang w:val="en-GB"/>
        </w:rPr>
        <w:t xml:space="preserve">ALK TKIs </w:t>
      </w:r>
      <w:r w:rsidR="00DD5AA1" w:rsidRPr="00D93435">
        <w:rPr>
          <w:lang w:val="en-GB"/>
        </w:rPr>
        <w:t>was</w:t>
      </w:r>
      <w:r w:rsidR="00AD074B" w:rsidRPr="00D93435">
        <w:rPr>
          <w:lang w:val="en-GB"/>
        </w:rPr>
        <w:t xml:space="preserve"> weak in ALK-positive NSCLC </w:t>
      </w:r>
      <w:r w:rsidR="00636E2F" w:rsidRPr="00D93435">
        <w:rPr>
          <w:lang w:val="en-GB"/>
        </w:rPr>
        <w:t xml:space="preserve">and </w:t>
      </w:r>
      <w:r w:rsidR="000460FA" w:rsidRPr="00D93435">
        <w:rPr>
          <w:lang w:val="en-GB"/>
        </w:rPr>
        <w:t>it was unclear how much</w:t>
      </w:r>
      <w:r w:rsidR="00636E2F" w:rsidRPr="00D93435">
        <w:rPr>
          <w:lang w:val="en-GB"/>
        </w:rPr>
        <w:t xml:space="preserve"> benefit</w:t>
      </w:r>
      <w:r w:rsidR="000460FA" w:rsidRPr="00D93435">
        <w:rPr>
          <w:lang w:val="en-GB"/>
        </w:rPr>
        <w:t xml:space="preserve"> they </w:t>
      </w:r>
      <w:r w:rsidR="006B6209">
        <w:rPr>
          <w:lang w:val="en-GB"/>
        </w:rPr>
        <w:t>had in</w:t>
      </w:r>
      <w:r w:rsidR="00AD074B" w:rsidRPr="00D93435">
        <w:rPr>
          <w:lang w:val="en-GB"/>
        </w:rPr>
        <w:t xml:space="preserve"> people with brain metastases.</w:t>
      </w:r>
    </w:p>
    <w:p w14:paraId="62778DD7" w14:textId="4EA79D52" w:rsidR="000C1AF1" w:rsidRDefault="000C1AF1" w:rsidP="006B5C16">
      <w:pPr>
        <w:pStyle w:val="Heading2"/>
      </w:pPr>
      <w:r w:rsidRPr="00C72770">
        <w:t xml:space="preserve">Clinical </w:t>
      </w:r>
      <w:r w:rsidR="00ED6191" w:rsidRPr="00C72770">
        <w:t>e</w:t>
      </w:r>
      <w:r w:rsidRPr="00C72770">
        <w:t>vidence</w:t>
      </w:r>
    </w:p>
    <w:p w14:paraId="0F4B43B6" w14:textId="5150B0D8" w:rsidR="00AF139A" w:rsidRPr="00AF139A" w:rsidRDefault="00AF139A" w:rsidP="005E5178">
      <w:pPr>
        <w:pStyle w:val="Heading3"/>
      </w:pPr>
      <w:r>
        <w:t>The main clinical evidence comes from a single-arm study</w:t>
      </w:r>
    </w:p>
    <w:p w14:paraId="7277E048" w14:textId="58CE8491" w:rsidR="00831E2D" w:rsidRPr="00543C55" w:rsidRDefault="000C1AF1" w:rsidP="003E2347">
      <w:pPr>
        <w:pStyle w:val="Numberedlevel2text"/>
        <w:rPr>
          <w:lang w:val="en-GB"/>
        </w:rPr>
      </w:pPr>
      <w:r w:rsidRPr="00AF139A">
        <w:rPr>
          <w:lang w:val="en-GB"/>
        </w:rPr>
        <w:t xml:space="preserve">The main clinical evidence for lorlatinib came from </w:t>
      </w:r>
      <w:r w:rsidR="000F78E2">
        <w:rPr>
          <w:lang w:val="en-GB"/>
        </w:rPr>
        <w:t>s</w:t>
      </w:r>
      <w:r w:rsidRPr="0086577B">
        <w:rPr>
          <w:lang w:val="en-GB"/>
        </w:rPr>
        <w:t>tudy</w:t>
      </w:r>
      <w:r w:rsidR="00BD229B" w:rsidRPr="00A13D1F">
        <w:rPr>
          <w:lang w:val="en-GB"/>
        </w:rPr>
        <w:t> </w:t>
      </w:r>
      <w:r w:rsidRPr="003F773D">
        <w:rPr>
          <w:lang w:val="en-GB"/>
        </w:rPr>
        <w:t>1001, a single</w:t>
      </w:r>
      <w:r w:rsidR="001B2F14" w:rsidRPr="003F773D">
        <w:rPr>
          <w:lang w:val="en-GB"/>
        </w:rPr>
        <w:t>-</w:t>
      </w:r>
      <w:r w:rsidRPr="003F773D">
        <w:rPr>
          <w:lang w:val="en-GB"/>
        </w:rPr>
        <w:t xml:space="preserve">arm, open-label, </w:t>
      </w:r>
      <w:r w:rsidR="00C75AEB" w:rsidRPr="00DA5AE6">
        <w:rPr>
          <w:lang w:val="en-GB"/>
        </w:rPr>
        <w:t>multicentre</w:t>
      </w:r>
      <w:r w:rsidRPr="00DC70C2">
        <w:rPr>
          <w:lang w:val="en-GB"/>
        </w:rPr>
        <w:t xml:space="preserve"> phase</w:t>
      </w:r>
      <w:r w:rsidR="001B2F14" w:rsidRPr="00E103C0">
        <w:rPr>
          <w:lang w:val="en-GB"/>
        </w:rPr>
        <w:t> </w:t>
      </w:r>
      <w:r w:rsidR="00B0651D">
        <w:rPr>
          <w:lang w:val="en-GB"/>
        </w:rPr>
        <w:t>1</w:t>
      </w:r>
      <w:r w:rsidR="000F78E2">
        <w:rPr>
          <w:lang w:val="en-GB"/>
        </w:rPr>
        <w:t xml:space="preserve"> </w:t>
      </w:r>
      <w:r w:rsidR="00AA36B6">
        <w:rPr>
          <w:lang w:val="en-GB"/>
        </w:rPr>
        <w:t>to</w:t>
      </w:r>
      <w:r w:rsidR="000F78E2">
        <w:rPr>
          <w:lang w:val="en-GB"/>
        </w:rPr>
        <w:t xml:space="preserve"> </w:t>
      </w:r>
      <w:r w:rsidRPr="00552D0F">
        <w:rPr>
          <w:lang w:val="en-GB"/>
        </w:rPr>
        <w:t>2 trial</w:t>
      </w:r>
      <w:r w:rsidR="00364185" w:rsidRPr="005C3356">
        <w:rPr>
          <w:lang w:val="en-GB"/>
        </w:rPr>
        <w:t xml:space="preserve">, </w:t>
      </w:r>
      <w:r w:rsidR="001B2F14" w:rsidRPr="00B317E6">
        <w:rPr>
          <w:lang w:val="en-GB"/>
        </w:rPr>
        <w:t xml:space="preserve">done </w:t>
      </w:r>
      <w:r w:rsidR="00364185" w:rsidRPr="00BD12DE">
        <w:rPr>
          <w:lang w:val="en-GB"/>
        </w:rPr>
        <w:t>in 13</w:t>
      </w:r>
      <w:r w:rsidR="009C1398" w:rsidRPr="007A42A0">
        <w:rPr>
          <w:lang w:val="en-GB"/>
        </w:rPr>
        <w:t> </w:t>
      </w:r>
      <w:r w:rsidR="00364185" w:rsidRPr="00F51A96">
        <w:rPr>
          <w:lang w:val="en-GB"/>
        </w:rPr>
        <w:t>countries</w:t>
      </w:r>
      <w:r w:rsidR="009C1398" w:rsidRPr="00F51A96">
        <w:rPr>
          <w:lang w:val="en-GB"/>
        </w:rPr>
        <w:t xml:space="preserve"> </w:t>
      </w:r>
      <w:r w:rsidR="002A0EB1">
        <w:rPr>
          <w:lang w:val="en-GB"/>
        </w:rPr>
        <w:t xml:space="preserve">but </w:t>
      </w:r>
      <w:r w:rsidR="009C1398" w:rsidRPr="00F51A96">
        <w:rPr>
          <w:lang w:val="en-GB"/>
        </w:rPr>
        <w:t>not in</w:t>
      </w:r>
      <w:r w:rsidR="00364185" w:rsidRPr="00F51A96">
        <w:rPr>
          <w:lang w:val="en-GB"/>
        </w:rPr>
        <w:t xml:space="preserve"> the UK.</w:t>
      </w:r>
      <w:r w:rsidRPr="003F7A94">
        <w:rPr>
          <w:lang w:val="en-GB"/>
        </w:rPr>
        <w:t xml:space="preserve"> </w:t>
      </w:r>
      <w:r w:rsidR="00445619" w:rsidRPr="009134F4">
        <w:rPr>
          <w:lang w:val="en-GB"/>
        </w:rPr>
        <w:t>This study investigate</w:t>
      </w:r>
      <w:r w:rsidR="00BD229B" w:rsidRPr="009134F4">
        <w:rPr>
          <w:lang w:val="en-GB"/>
        </w:rPr>
        <w:t>d</w:t>
      </w:r>
      <w:r w:rsidR="00445619" w:rsidRPr="00594AEB">
        <w:rPr>
          <w:lang w:val="en-GB"/>
        </w:rPr>
        <w:t xml:space="preserve"> the e</w:t>
      </w:r>
      <w:r w:rsidR="00445619" w:rsidRPr="008B2E3A">
        <w:rPr>
          <w:lang w:val="en-GB"/>
        </w:rPr>
        <w:t>ffect of lorlatinib in adult</w:t>
      </w:r>
      <w:r w:rsidR="00445619" w:rsidRPr="00A5083B">
        <w:rPr>
          <w:lang w:val="en-GB"/>
        </w:rPr>
        <w:t xml:space="preserve">s with metastatic </w:t>
      </w:r>
      <w:r w:rsidR="003917D0" w:rsidRPr="007A0EC4">
        <w:rPr>
          <w:lang w:val="en-GB"/>
        </w:rPr>
        <w:t>(stage</w:t>
      </w:r>
      <w:r w:rsidR="00BD229B" w:rsidRPr="007A0EC4">
        <w:rPr>
          <w:lang w:val="en-GB"/>
        </w:rPr>
        <w:t> </w:t>
      </w:r>
      <w:r w:rsidR="00543C55">
        <w:rPr>
          <w:lang w:val="en-GB"/>
        </w:rPr>
        <w:t>4</w:t>
      </w:r>
      <w:r w:rsidR="003917D0" w:rsidRPr="00AF139A">
        <w:rPr>
          <w:lang w:val="en-GB"/>
        </w:rPr>
        <w:t xml:space="preserve">) ALK-positive NSCLC. </w:t>
      </w:r>
      <w:r w:rsidR="00543C55">
        <w:rPr>
          <w:lang w:val="en-GB"/>
        </w:rPr>
        <w:t>It</w:t>
      </w:r>
      <w:r w:rsidR="00543C55" w:rsidRPr="001820EA">
        <w:rPr>
          <w:lang w:val="en-GB"/>
        </w:rPr>
        <w:t xml:space="preserve"> comprised </w:t>
      </w:r>
      <w:r w:rsidR="003E2347">
        <w:rPr>
          <w:lang w:val="en-GB"/>
        </w:rPr>
        <w:t>7</w:t>
      </w:r>
      <w:r w:rsidR="00543C55" w:rsidRPr="001820EA">
        <w:rPr>
          <w:lang w:val="en-GB"/>
        </w:rPr>
        <w:t xml:space="preserve"> cohorts </w:t>
      </w:r>
      <w:r w:rsidR="000F78E2">
        <w:rPr>
          <w:lang w:val="en-GB"/>
        </w:rPr>
        <w:t>with 5</w:t>
      </w:r>
      <w:r w:rsidR="008D0474">
        <w:rPr>
          <w:lang w:val="en-GB"/>
        </w:rPr>
        <w:t> </w:t>
      </w:r>
      <w:r w:rsidR="00543C55" w:rsidRPr="001820EA">
        <w:rPr>
          <w:lang w:val="en-GB"/>
        </w:rPr>
        <w:t>(2, 3A, 3B, 4</w:t>
      </w:r>
      <w:r w:rsidR="003E2347">
        <w:rPr>
          <w:lang w:val="en-GB"/>
        </w:rPr>
        <w:t>,</w:t>
      </w:r>
      <w:r w:rsidR="00E76F44">
        <w:rPr>
          <w:lang w:val="en-GB"/>
        </w:rPr>
        <w:t xml:space="preserve"> </w:t>
      </w:r>
      <w:r w:rsidR="00543C55" w:rsidRPr="001820EA">
        <w:rPr>
          <w:lang w:val="en-GB"/>
        </w:rPr>
        <w:t xml:space="preserve">5) representing populations </w:t>
      </w:r>
      <w:r w:rsidR="00543C55">
        <w:rPr>
          <w:lang w:val="en-GB"/>
        </w:rPr>
        <w:t>having</w:t>
      </w:r>
      <w:r w:rsidR="00543C55" w:rsidRPr="00543C55">
        <w:rPr>
          <w:lang w:val="en-GB"/>
        </w:rPr>
        <w:t xml:space="preserve"> a mix of ALK TKIs and chemotherapy regimens.</w:t>
      </w:r>
      <w:r w:rsidR="00543C55">
        <w:rPr>
          <w:lang w:val="en-GB"/>
        </w:rPr>
        <w:t xml:space="preserve"> </w:t>
      </w:r>
      <w:r w:rsidR="003917D0" w:rsidRPr="00AF139A">
        <w:rPr>
          <w:lang w:val="en-GB"/>
        </w:rPr>
        <w:t xml:space="preserve">The </w:t>
      </w:r>
      <w:r w:rsidR="00995164" w:rsidRPr="00AF139A">
        <w:rPr>
          <w:lang w:val="en-GB"/>
        </w:rPr>
        <w:t>company presented evidence</w:t>
      </w:r>
      <w:r w:rsidR="003917D0" w:rsidRPr="00543C55">
        <w:rPr>
          <w:lang w:val="en-GB"/>
        </w:rPr>
        <w:t xml:space="preserve"> for the </w:t>
      </w:r>
      <w:r w:rsidR="003917D0" w:rsidRPr="00543C55">
        <w:rPr>
          <w:lang w:val="en-GB"/>
        </w:rPr>
        <w:lastRenderedPageBreak/>
        <w:t>combined cohort EXP</w:t>
      </w:r>
      <w:r w:rsidR="00C75AEB" w:rsidRPr="00543C55">
        <w:rPr>
          <w:lang w:val="en-GB"/>
        </w:rPr>
        <w:noBreakHyphen/>
      </w:r>
      <w:r w:rsidR="003917D0" w:rsidRPr="00543C55">
        <w:rPr>
          <w:lang w:val="en-GB"/>
        </w:rPr>
        <w:t xml:space="preserve">3B:5 </w:t>
      </w:r>
      <w:r w:rsidR="00543C55">
        <w:rPr>
          <w:lang w:val="en-GB"/>
        </w:rPr>
        <w:t>of</w:t>
      </w:r>
      <w:r w:rsidR="00543C55" w:rsidRPr="00543C55">
        <w:rPr>
          <w:lang w:val="en-GB"/>
        </w:rPr>
        <w:t xml:space="preserve"> </w:t>
      </w:r>
      <w:r w:rsidR="003917D0" w:rsidRPr="00543C55">
        <w:rPr>
          <w:lang w:val="en-GB"/>
        </w:rPr>
        <w:t>139</w:t>
      </w:r>
      <w:r w:rsidR="00BD229B" w:rsidRPr="00543C55">
        <w:rPr>
          <w:lang w:val="en-GB"/>
        </w:rPr>
        <w:t> </w:t>
      </w:r>
      <w:r w:rsidR="003917D0" w:rsidRPr="00543C55">
        <w:rPr>
          <w:lang w:val="en-GB"/>
        </w:rPr>
        <w:t xml:space="preserve">patients. </w:t>
      </w:r>
      <w:r w:rsidR="00543C55">
        <w:rPr>
          <w:lang w:val="en-GB"/>
        </w:rPr>
        <w:t>This</w:t>
      </w:r>
      <w:r w:rsidR="003917D0" w:rsidRPr="00543C55">
        <w:rPr>
          <w:lang w:val="en-GB"/>
        </w:rPr>
        <w:t xml:space="preserve"> </w:t>
      </w:r>
      <w:r w:rsidR="00BD229B" w:rsidRPr="00543C55">
        <w:rPr>
          <w:lang w:val="en-GB"/>
        </w:rPr>
        <w:t>wa</w:t>
      </w:r>
      <w:r w:rsidR="003917D0" w:rsidRPr="00543C55">
        <w:rPr>
          <w:lang w:val="en-GB"/>
        </w:rPr>
        <w:t xml:space="preserve">s the </w:t>
      </w:r>
      <w:r w:rsidR="00FA684C" w:rsidRPr="00543C55">
        <w:rPr>
          <w:lang w:val="en-GB"/>
        </w:rPr>
        <w:t xml:space="preserve">pooled </w:t>
      </w:r>
      <w:r w:rsidR="003917D0" w:rsidRPr="00543C55">
        <w:rPr>
          <w:lang w:val="en-GB"/>
        </w:rPr>
        <w:t xml:space="preserve">cohort </w:t>
      </w:r>
      <w:r w:rsidR="00C75AEB" w:rsidRPr="00543C55">
        <w:rPr>
          <w:lang w:val="en-GB"/>
        </w:rPr>
        <w:t xml:space="preserve">whose </w:t>
      </w:r>
      <w:r w:rsidR="003917D0" w:rsidRPr="00543C55">
        <w:rPr>
          <w:lang w:val="en-GB"/>
        </w:rPr>
        <w:t xml:space="preserve">treatment history </w:t>
      </w:r>
      <w:r w:rsidR="00C75AEB" w:rsidRPr="0086577B">
        <w:rPr>
          <w:lang w:val="en-GB"/>
        </w:rPr>
        <w:t>most closely resemble</w:t>
      </w:r>
      <w:r w:rsidR="00BD229B" w:rsidRPr="00A13D1F">
        <w:rPr>
          <w:lang w:val="en-GB"/>
        </w:rPr>
        <w:t>d</w:t>
      </w:r>
      <w:r w:rsidR="00C75AEB" w:rsidRPr="003F773D">
        <w:rPr>
          <w:lang w:val="en-GB"/>
        </w:rPr>
        <w:t xml:space="preserve"> that </w:t>
      </w:r>
      <w:r w:rsidR="003917D0" w:rsidRPr="003F773D">
        <w:rPr>
          <w:lang w:val="en-GB"/>
        </w:rPr>
        <w:t xml:space="preserve">of the patient population </w:t>
      </w:r>
      <w:r w:rsidR="006279C4">
        <w:rPr>
          <w:lang w:val="en-GB"/>
        </w:rPr>
        <w:t>covered by</w:t>
      </w:r>
      <w:r w:rsidR="003917D0" w:rsidRPr="003F773D">
        <w:rPr>
          <w:lang w:val="en-GB"/>
        </w:rPr>
        <w:t xml:space="preserve"> the marketing aut</w:t>
      </w:r>
      <w:r w:rsidR="003917D0" w:rsidRPr="00DA5AE6">
        <w:rPr>
          <w:lang w:val="en-GB"/>
        </w:rPr>
        <w:t>horisation</w:t>
      </w:r>
      <w:r w:rsidR="005C7AE7" w:rsidRPr="00DC70C2">
        <w:rPr>
          <w:lang w:val="en-GB"/>
        </w:rPr>
        <w:t>, with patients relapsing after 1, 2</w:t>
      </w:r>
      <w:r w:rsidR="00E76F44">
        <w:rPr>
          <w:lang w:val="en-GB"/>
        </w:rPr>
        <w:t>,</w:t>
      </w:r>
      <w:r w:rsidR="005C7AE7" w:rsidRPr="00DC70C2">
        <w:rPr>
          <w:lang w:val="en-GB"/>
        </w:rPr>
        <w:t xml:space="preserve"> </w:t>
      </w:r>
      <w:r w:rsidR="005C7AE7" w:rsidRPr="00E103C0">
        <w:rPr>
          <w:lang w:val="en-GB"/>
        </w:rPr>
        <w:t>3 or more prior ALK TKI therapies with or without any number of prior chemotherapy regimens</w:t>
      </w:r>
      <w:r w:rsidR="003917D0" w:rsidRPr="00552D0F">
        <w:rPr>
          <w:lang w:val="en-GB"/>
        </w:rPr>
        <w:t xml:space="preserve">. </w:t>
      </w:r>
      <w:r w:rsidR="009C16D1" w:rsidRPr="005C3356">
        <w:rPr>
          <w:lang w:val="en-GB"/>
        </w:rPr>
        <w:t>Cohort</w:t>
      </w:r>
      <w:r w:rsidR="000F78E2">
        <w:rPr>
          <w:lang w:val="en-GB"/>
        </w:rPr>
        <w:t> </w:t>
      </w:r>
      <w:r w:rsidR="009C16D1" w:rsidRPr="005C3356">
        <w:rPr>
          <w:lang w:val="en-GB"/>
        </w:rPr>
        <w:t xml:space="preserve">3B </w:t>
      </w:r>
      <w:r w:rsidR="005414F0">
        <w:rPr>
          <w:lang w:val="en-GB"/>
        </w:rPr>
        <w:t>was made up of</w:t>
      </w:r>
      <w:r w:rsidR="009C16D1" w:rsidRPr="00B317E6">
        <w:rPr>
          <w:lang w:val="en-GB"/>
        </w:rPr>
        <w:t xml:space="preserve"> 28</w:t>
      </w:r>
      <w:r w:rsidR="00BD229B" w:rsidRPr="00BD12DE">
        <w:rPr>
          <w:lang w:val="en-GB"/>
        </w:rPr>
        <w:t> </w:t>
      </w:r>
      <w:r w:rsidR="009C16D1" w:rsidRPr="00F51A96">
        <w:rPr>
          <w:lang w:val="en-GB"/>
        </w:rPr>
        <w:t xml:space="preserve">patients who had </w:t>
      </w:r>
      <w:r w:rsidR="00BD229B" w:rsidRPr="00F51A96">
        <w:rPr>
          <w:lang w:val="en-GB"/>
        </w:rPr>
        <w:t xml:space="preserve">had </w:t>
      </w:r>
      <w:r w:rsidR="00C72770" w:rsidRPr="003F7A94">
        <w:rPr>
          <w:lang w:val="en-GB"/>
        </w:rPr>
        <w:t xml:space="preserve">first-line treatment with </w:t>
      </w:r>
      <w:r w:rsidR="009C16D1" w:rsidRPr="009134F4">
        <w:rPr>
          <w:lang w:val="en-GB"/>
        </w:rPr>
        <w:t xml:space="preserve">alectinib or ceritinib, with or without prior chemotherapy. The </w:t>
      </w:r>
      <w:r w:rsidR="009C16D1" w:rsidRPr="008B2E3A">
        <w:rPr>
          <w:lang w:val="en-GB"/>
        </w:rPr>
        <w:t xml:space="preserve">clinical experts </w:t>
      </w:r>
      <w:r w:rsidR="00BD229B" w:rsidRPr="008B2E3A">
        <w:rPr>
          <w:lang w:val="en-GB"/>
        </w:rPr>
        <w:t xml:space="preserve">explained that </w:t>
      </w:r>
      <w:r w:rsidR="009C16D1" w:rsidRPr="00A5083B">
        <w:rPr>
          <w:lang w:val="en-GB"/>
        </w:rPr>
        <w:t xml:space="preserve">most patients would </w:t>
      </w:r>
      <w:r w:rsidR="00BD229B" w:rsidRPr="007A0EC4">
        <w:rPr>
          <w:lang w:val="en-GB"/>
        </w:rPr>
        <w:t>ha</w:t>
      </w:r>
      <w:r w:rsidR="00BD229B" w:rsidRPr="00E03410">
        <w:rPr>
          <w:lang w:val="en-GB"/>
        </w:rPr>
        <w:t xml:space="preserve">ve </w:t>
      </w:r>
      <w:r w:rsidR="009C16D1" w:rsidRPr="00E03410">
        <w:rPr>
          <w:lang w:val="en-GB"/>
        </w:rPr>
        <w:t xml:space="preserve">alectinib </w:t>
      </w:r>
      <w:r w:rsidR="00BD229B" w:rsidRPr="00E03410">
        <w:rPr>
          <w:lang w:val="en-GB"/>
        </w:rPr>
        <w:t xml:space="preserve">as </w:t>
      </w:r>
      <w:r w:rsidR="00C72770" w:rsidRPr="00E03410">
        <w:rPr>
          <w:lang w:val="en-GB"/>
        </w:rPr>
        <w:t>first</w:t>
      </w:r>
      <w:r w:rsidR="00BD229B" w:rsidRPr="00E03410">
        <w:rPr>
          <w:lang w:val="en-GB"/>
        </w:rPr>
        <w:t>-</w:t>
      </w:r>
      <w:r w:rsidR="009C16D1" w:rsidRPr="00E03410">
        <w:rPr>
          <w:lang w:val="en-GB"/>
        </w:rPr>
        <w:t xml:space="preserve">line </w:t>
      </w:r>
      <w:r w:rsidR="00BD229B" w:rsidRPr="00E03410">
        <w:rPr>
          <w:lang w:val="en-GB"/>
        </w:rPr>
        <w:t xml:space="preserve">treatment </w:t>
      </w:r>
      <w:r w:rsidR="009C16D1" w:rsidRPr="00E03410">
        <w:rPr>
          <w:lang w:val="en-GB"/>
        </w:rPr>
        <w:t>in the NHS</w:t>
      </w:r>
      <w:r w:rsidR="000460FA">
        <w:rPr>
          <w:lang w:val="en-GB"/>
        </w:rPr>
        <w:t>, meaning that this cohort was the closest match to the NHS population</w:t>
      </w:r>
      <w:r w:rsidR="009C16D1" w:rsidRPr="00543C55">
        <w:rPr>
          <w:lang w:val="en-GB"/>
        </w:rPr>
        <w:t xml:space="preserve">. </w:t>
      </w:r>
      <w:r w:rsidR="00151F84">
        <w:rPr>
          <w:lang w:val="en-GB"/>
        </w:rPr>
        <w:t>Cohort</w:t>
      </w:r>
      <w:r w:rsidR="000F78E2">
        <w:rPr>
          <w:lang w:val="en-GB"/>
        </w:rPr>
        <w:t> </w:t>
      </w:r>
      <w:r w:rsidR="00151F84">
        <w:rPr>
          <w:lang w:val="en-GB"/>
        </w:rPr>
        <w:t xml:space="preserve">4 </w:t>
      </w:r>
      <w:r w:rsidR="005414F0">
        <w:rPr>
          <w:lang w:val="en-GB"/>
        </w:rPr>
        <w:t>was made up of</w:t>
      </w:r>
      <w:r w:rsidR="00151F84">
        <w:rPr>
          <w:lang w:val="en-GB"/>
        </w:rPr>
        <w:t xml:space="preserve"> 65</w:t>
      </w:r>
      <w:r w:rsidR="000F78E2">
        <w:rPr>
          <w:lang w:val="en-GB"/>
        </w:rPr>
        <w:t> </w:t>
      </w:r>
      <w:r w:rsidR="00151F84">
        <w:rPr>
          <w:lang w:val="en-GB"/>
        </w:rPr>
        <w:t>patients who had previous treat</w:t>
      </w:r>
      <w:r w:rsidR="000F78E2">
        <w:rPr>
          <w:lang w:val="en-GB"/>
        </w:rPr>
        <w:t>ment</w:t>
      </w:r>
      <w:r w:rsidR="00151F84">
        <w:rPr>
          <w:lang w:val="en-GB"/>
        </w:rPr>
        <w:t xml:space="preserve"> with 2</w:t>
      </w:r>
      <w:r w:rsidR="000F78E2">
        <w:rPr>
          <w:lang w:val="en-GB"/>
        </w:rPr>
        <w:t> </w:t>
      </w:r>
      <w:r w:rsidR="00151F84">
        <w:rPr>
          <w:lang w:val="en-GB"/>
        </w:rPr>
        <w:t>ALK TKI</w:t>
      </w:r>
      <w:r w:rsidR="000F78E2">
        <w:rPr>
          <w:lang w:val="en-GB"/>
        </w:rPr>
        <w:t>s</w:t>
      </w:r>
      <w:r w:rsidR="00151F84">
        <w:rPr>
          <w:lang w:val="en-GB"/>
        </w:rPr>
        <w:t>, with or without prior chemotherapy</w:t>
      </w:r>
      <w:r w:rsidR="000F78E2">
        <w:rPr>
          <w:lang w:val="en-GB"/>
        </w:rPr>
        <w:t>.</w:t>
      </w:r>
      <w:r w:rsidR="00151F84">
        <w:rPr>
          <w:lang w:val="en-GB"/>
        </w:rPr>
        <w:t xml:space="preserve"> </w:t>
      </w:r>
      <w:r w:rsidR="000F78E2">
        <w:rPr>
          <w:lang w:val="en-GB"/>
        </w:rPr>
        <w:t>C</w:t>
      </w:r>
      <w:r w:rsidR="00151F84">
        <w:rPr>
          <w:lang w:val="en-GB"/>
        </w:rPr>
        <w:t>ohort</w:t>
      </w:r>
      <w:r w:rsidR="000F78E2">
        <w:rPr>
          <w:lang w:val="en-GB"/>
        </w:rPr>
        <w:t> </w:t>
      </w:r>
      <w:r w:rsidR="00151F84">
        <w:rPr>
          <w:lang w:val="en-GB"/>
        </w:rPr>
        <w:t>5 co</w:t>
      </w:r>
      <w:r w:rsidR="005414F0">
        <w:rPr>
          <w:lang w:val="en-GB"/>
        </w:rPr>
        <w:t>nsisted of</w:t>
      </w:r>
      <w:r w:rsidR="00151F84">
        <w:rPr>
          <w:lang w:val="en-GB"/>
        </w:rPr>
        <w:t xml:space="preserve"> 46</w:t>
      </w:r>
      <w:r w:rsidR="000F78E2">
        <w:rPr>
          <w:lang w:val="en-GB"/>
        </w:rPr>
        <w:t> </w:t>
      </w:r>
      <w:r w:rsidR="00151F84">
        <w:rPr>
          <w:lang w:val="en-GB"/>
        </w:rPr>
        <w:t>patients who had previous treat</w:t>
      </w:r>
      <w:r w:rsidR="000F78E2">
        <w:rPr>
          <w:lang w:val="en-GB"/>
        </w:rPr>
        <w:t>ment</w:t>
      </w:r>
      <w:r w:rsidR="00151F84">
        <w:rPr>
          <w:lang w:val="en-GB"/>
        </w:rPr>
        <w:t xml:space="preserve"> with 3 or more ALK TKIs, with or without prior chemotherapy. </w:t>
      </w:r>
      <w:r w:rsidR="003917D0" w:rsidRPr="00AF139A">
        <w:rPr>
          <w:lang w:val="en-GB"/>
        </w:rPr>
        <w:t>The</w:t>
      </w:r>
      <w:r w:rsidR="005D4261" w:rsidRPr="00AF139A">
        <w:rPr>
          <w:lang w:val="en-GB"/>
        </w:rPr>
        <w:t xml:space="preserve"> primary outcome</w:t>
      </w:r>
      <w:r w:rsidR="009C16D1" w:rsidRPr="00543C55">
        <w:rPr>
          <w:lang w:val="en-GB"/>
        </w:rPr>
        <w:t xml:space="preserve"> of </w:t>
      </w:r>
      <w:r w:rsidR="000F78E2">
        <w:rPr>
          <w:lang w:val="en-GB"/>
        </w:rPr>
        <w:t>s</w:t>
      </w:r>
      <w:r w:rsidR="009C16D1" w:rsidRPr="00543C55">
        <w:rPr>
          <w:lang w:val="en-GB"/>
        </w:rPr>
        <w:t>tudy</w:t>
      </w:r>
      <w:r w:rsidR="00162A52">
        <w:rPr>
          <w:lang w:val="en-GB"/>
        </w:rPr>
        <w:t> </w:t>
      </w:r>
      <w:r w:rsidR="009C16D1" w:rsidRPr="00543C55">
        <w:rPr>
          <w:lang w:val="en-GB"/>
        </w:rPr>
        <w:t>1001</w:t>
      </w:r>
      <w:r w:rsidR="005D4261" w:rsidRPr="00543C55">
        <w:rPr>
          <w:lang w:val="en-GB"/>
        </w:rPr>
        <w:t xml:space="preserve"> was objective response rate. Secondary outcomes included overall survival and progression</w:t>
      </w:r>
      <w:r w:rsidR="005D4261" w:rsidRPr="00543C55">
        <w:rPr>
          <w:lang w:val="en-GB"/>
        </w:rPr>
        <w:noBreakHyphen/>
        <w:t>free survival. The</w:t>
      </w:r>
      <w:r w:rsidR="003917D0" w:rsidRPr="00543C55">
        <w:rPr>
          <w:lang w:val="en-GB"/>
        </w:rPr>
        <w:t xml:space="preserve"> </w:t>
      </w:r>
      <w:r w:rsidR="005D4261" w:rsidRPr="00543C55">
        <w:rPr>
          <w:lang w:val="en-GB"/>
        </w:rPr>
        <w:t xml:space="preserve">results </w:t>
      </w:r>
      <w:r w:rsidR="003917D0" w:rsidRPr="00543C55">
        <w:rPr>
          <w:lang w:val="en-GB"/>
        </w:rPr>
        <w:t>show</w:t>
      </w:r>
      <w:r w:rsidR="00543C55">
        <w:rPr>
          <w:lang w:val="en-GB"/>
        </w:rPr>
        <w:t>ed</w:t>
      </w:r>
      <w:r w:rsidR="005D4261" w:rsidRPr="00543C55">
        <w:rPr>
          <w:lang w:val="en-GB"/>
        </w:rPr>
        <w:t xml:space="preserve"> an</w:t>
      </w:r>
      <w:r w:rsidR="003917D0" w:rsidRPr="00543C55">
        <w:rPr>
          <w:lang w:val="en-GB"/>
        </w:rPr>
        <w:t xml:space="preserve"> objective response rate </w:t>
      </w:r>
      <w:r w:rsidR="005D4261" w:rsidRPr="00543C55">
        <w:rPr>
          <w:lang w:val="en-GB"/>
        </w:rPr>
        <w:t xml:space="preserve">of </w:t>
      </w:r>
      <w:r w:rsidR="003917D0" w:rsidRPr="0086577B">
        <w:rPr>
          <w:lang w:val="en-GB"/>
        </w:rPr>
        <w:t xml:space="preserve">40.3% </w:t>
      </w:r>
      <w:r w:rsidR="005D4261" w:rsidRPr="00A13D1F">
        <w:rPr>
          <w:lang w:val="en-GB"/>
        </w:rPr>
        <w:t>(</w:t>
      </w:r>
      <w:r w:rsidR="003917D0" w:rsidRPr="003F773D">
        <w:rPr>
          <w:lang w:val="en-GB"/>
        </w:rPr>
        <w:t xml:space="preserve">95% </w:t>
      </w:r>
      <w:r w:rsidR="00E113A2" w:rsidRPr="003F773D">
        <w:rPr>
          <w:lang w:val="en-GB"/>
        </w:rPr>
        <w:t>confidence interval [</w:t>
      </w:r>
      <w:r w:rsidR="003917D0" w:rsidRPr="003F773D">
        <w:rPr>
          <w:lang w:val="en-GB"/>
        </w:rPr>
        <w:t>CI</w:t>
      </w:r>
      <w:r w:rsidR="00E113A2" w:rsidRPr="003F773D">
        <w:rPr>
          <w:lang w:val="en-GB"/>
        </w:rPr>
        <w:t>]</w:t>
      </w:r>
      <w:r w:rsidR="00D2683D" w:rsidRPr="00DA5AE6">
        <w:rPr>
          <w:lang w:val="en-GB"/>
        </w:rPr>
        <w:t xml:space="preserve"> </w:t>
      </w:r>
      <w:r w:rsidR="003917D0" w:rsidRPr="00DC70C2">
        <w:rPr>
          <w:lang w:val="en-GB"/>
        </w:rPr>
        <w:t>32.1 to 48.9)</w:t>
      </w:r>
      <w:r w:rsidR="005D4261" w:rsidRPr="00E103C0">
        <w:rPr>
          <w:lang w:val="en-GB"/>
        </w:rPr>
        <w:t xml:space="preserve"> with lorlatinib. The results </w:t>
      </w:r>
      <w:r w:rsidR="003917D0" w:rsidRPr="00552D0F">
        <w:rPr>
          <w:lang w:val="en-GB"/>
        </w:rPr>
        <w:t xml:space="preserve">also </w:t>
      </w:r>
      <w:r w:rsidR="005D4261" w:rsidRPr="005C3356">
        <w:rPr>
          <w:lang w:val="en-GB"/>
        </w:rPr>
        <w:t>show</w:t>
      </w:r>
      <w:r w:rsidR="00E113A2" w:rsidRPr="00EB3220">
        <w:rPr>
          <w:lang w:val="en-GB"/>
        </w:rPr>
        <w:t>ed</w:t>
      </w:r>
      <w:r w:rsidR="00831E2D" w:rsidRPr="00B317E6">
        <w:rPr>
          <w:lang w:val="en-GB"/>
        </w:rPr>
        <w:t xml:space="preserve"> a</w:t>
      </w:r>
      <w:r w:rsidR="005D4261" w:rsidRPr="00B317E6">
        <w:rPr>
          <w:lang w:val="en-GB"/>
        </w:rPr>
        <w:t xml:space="preserve"> </w:t>
      </w:r>
      <w:r w:rsidR="00E113A2" w:rsidRPr="007A42A0">
        <w:rPr>
          <w:lang w:val="en-GB"/>
        </w:rPr>
        <w:t>progression-free survival</w:t>
      </w:r>
      <w:r w:rsidR="00E113A2" w:rsidRPr="00F51A96">
        <w:rPr>
          <w:lang w:val="en-GB"/>
        </w:rPr>
        <w:t xml:space="preserve"> </w:t>
      </w:r>
      <w:r w:rsidR="003917D0" w:rsidRPr="00F51A96">
        <w:rPr>
          <w:lang w:val="en-GB"/>
        </w:rPr>
        <w:t>of 6.9</w:t>
      </w:r>
      <w:r w:rsidR="00E113A2" w:rsidRPr="00F51A96">
        <w:rPr>
          <w:lang w:val="en-GB"/>
        </w:rPr>
        <w:t> </w:t>
      </w:r>
      <w:r w:rsidR="003917D0" w:rsidRPr="003F7A94">
        <w:rPr>
          <w:lang w:val="en-GB"/>
        </w:rPr>
        <w:t>months (9</w:t>
      </w:r>
      <w:r w:rsidR="003917D0" w:rsidRPr="009134F4">
        <w:rPr>
          <w:lang w:val="en-GB"/>
        </w:rPr>
        <w:t>5% CI 5.4</w:t>
      </w:r>
      <w:r w:rsidR="00D2683D" w:rsidRPr="009134F4">
        <w:rPr>
          <w:lang w:val="en-GB"/>
        </w:rPr>
        <w:t xml:space="preserve"> to 8.2)</w:t>
      </w:r>
      <w:r w:rsidR="003917D0" w:rsidRPr="009134F4">
        <w:rPr>
          <w:lang w:val="en-GB"/>
        </w:rPr>
        <w:t xml:space="preserve"> </w:t>
      </w:r>
      <w:r w:rsidR="00D2683D" w:rsidRPr="00594AEB">
        <w:rPr>
          <w:lang w:val="en-GB"/>
        </w:rPr>
        <w:t xml:space="preserve">and </w:t>
      </w:r>
      <w:r w:rsidR="00E113A2" w:rsidRPr="008B2E3A">
        <w:rPr>
          <w:lang w:val="en-GB"/>
        </w:rPr>
        <w:t xml:space="preserve">a median </w:t>
      </w:r>
      <w:r w:rsidR="00E113A2" w:rsidRPr="00A5083B">
        <w:rPr>
          <w:lang w:val="en-GB"/>
        </w:rPr>
        <w:t>overall survival</w:t>
      </w:r>
      <w:r w:rsidR="00D2683D" w:rsidRPr="007A0EC4">
        <w:rPr>
          <w:lang w:val="en-GB"/>
        </w:rPr>
        <w:t xml:space="preserve"> of 20.4</w:t>
      </w:r>
      <w:r w:rsidR="00E113A2" w:rsidRPr="00E03410">
        <w:rPr>
          <w:lang w:val="en-GB"/>
        </w:rPr>
        <w:t> </w:t>
      </w:r>
      <w:r w:rsidR="00D2683D" w:rsidRPr="00E03410">
        <w:rPr>
          <w:lang w:val="en-GB"/>
        </w:rPr>
        <w:t xml:space="preserve">months (95% CI 16.1 to </w:t>
      </w:r>
      <w:r w:rsidR="00E113A2" w:rsidRPr="00E03410">
        <w:rPr>
          <w:lang w:val="en-GB"/>
        </w:rPr>
        <w:t>n</w:t>
      </w:r>
      <w:r w:rsidR="00D2683D" w:rsidRPr="00E03410">
        <w:rPr>
          <w:lang w:val="en-GB"/>
        </w:rPr>
        <w:t xml:space="preserve">ot </w:t>
      </w:r>
      <w:r w:rsidR="00E113A2" w:rsidRPr="00E03410">
        <w:rPr>
          <w:lang w:val="en-GB"/>
        </w:rPr>
        <w:t>r</w:t>
      </w:r>
      <w:r w:rsidR="00D2683D" w:rsidRPr="00E03410">
        <w:rPr>
          <w:lang w:val="en-GB"/>
        </w:rPr>
        <w:t>eached</w:t>
      </w:r>
      <w:r w:rsidR="00D2683D" w:rsidRPr="00AF139A">
        <w:rPr>
          <w:lang w:val="en-GB"/>
        </w:rPr>
        <w:t>).</w:t>
      </w:r>
    </w:p>
    <w:p w14:paraId="1A008B69" w14:textId="590C8464" w:rsidR="001729F8" w:rsidRDefault="001729F8" w:rsidP="00A16EDF">
      <w:pPr>
        <w:pStyle w:val="Heading2"/>
      </w:pPr>
      <w:r>
        <w:t>Clinical effectiveness evidence in the economic model</w:t>
      </w:r>
    </w:p>
    <w:p w14:paraId="148CB6BA" w14:textId="05C08F90" w:rsidR="00AF139A" w:rsidRPr="00C72770" w:rsidRDefault="0077522C" w:rsidP="00AF139A">
      <w:pPr>
        <w:pStyle w:val="Heading3"/>
      </w:pPr>
      <w:r>
        <w:t>The e</w:t>
      </w:r>
      <w:r w:rsidR="00AF139A" w:rsidRPr="00C72770">
        <w:t xml:space="preserve">vidence for the PDC arm of the </w:t>
      </w:r>
      <w:r w:rsidR="00162A52">
        <w:t xml:space="preserve">economic </w:t>
      </w:r>
      <w:r w:rsidR="00AF139A" w:rsidRPr="00C72770">
        <w:t>model is uncertain</w:t>
      </w:r>
    </w:p>
    <w:p w14:paraId="474E641A" w14:textId="78259827" w:rsidR="00570F61" w:rsidRPr="00C72770" w:rsidRDefault="00570F61" w:rsidP="00B0651D">
      <w:pPr>
        <w:pStyle w:val="Numberedlevel2text"/>
        <w:spacing w:after="0"/>
        <w:rPr>
          <w:lang w:val="en-GB"/>
        </w:rPr>
      </w:pPr>
      <w:r w:rsidRPr="00C72770">
        <w:rPr>
          <w:lang w:val="en-GB"/>
        </w:rPr>
        <w:t xml:space="preserve">The </w:t>
      </w:r>
      <w:r w:rsidR="00E76F44">
        <w:rPr>
          <w:lang w:val="en-GB"/>
        </w:rPr>
        <w:t xml:space="preserve">clinical effectiveness </w:t>
      </w:r>
      <w:r w:rsidR="00765136" w:rsidRPr="00C72770">
        <w:rPr>
          <w:lang w:val="en-GB"/>
        </w:rPr>
        <w:t xml:space="preserve">data for the PDC arm of the </w:t>
      </w:r>
      <w:r w:rsidR="00162A52">
        <w:rPr>
          <w:lang w:val="en-GB"/>
        </w:rPr>
        <w:t xml:space="preserve">economic </w:t>
      </w:r>
      <w:r w:rsidR="00765136" w:rsidRPr="00C72770">
        <w:rPr>
          <w:lang w:val="en-GB"/>
        </w:rPr>
        <w:t xml:space="preserve">model </w:t>
      </w:r>
      <w:r w:rsidR="00375520" w:rsidRPr="00C72770">
        <w:rPr>
          <w:lang w:val="en-GB"/>
        </w:rPr>
        <w:t xml:space="preserve">was </w:t>
      </w:r>
      <w:r w:rsidR="003E2618" w:rsidRPr="00C72770">
        <w:rPr>
          <w:lang w:val="en-GB"/>
        </w:rPr>
        <w:t xml:space="preserve">taken from the ALUR and ASCEND-5 trials (for </w:t>
      </w:r>
      <w:r w:rsidR="00E113A2">
        <w:rPr>
          <w:lang w:val="en-GB"/>
        </w:rPr>
        <w:t>progression-free survival</w:t>
      </w:r>
      <w:r w:rsidR="003E2618" w:rsidRPr="00C72770">
        <w:rPr>
          <w:lang w:val="en-GB"/>
        </w:rPr>
        <w:t>) and the PROFILE</w:t>
      </w:r>
      <w:r w:rsidR="00E113A2">
        <w:rPr>
          <w:lang w:val="en-GB"/>
        </w:rPr>
        <w:t> </w:t>
      </w:r>
      <w:r w:rsidR="003E2618" w:rsidRPr="00C72770">
        <w:rPr>
          <w:lang w:val="en-GB"/>
        </w:rPr>
        <w:t>1001 and PROFILE</w:t>
      </w:r>
      <w:r w:rsidR="00E113A2">
        <w:rPr>
          <w:lang w:val="en-GB"/>
        </w:rPr>
        <w:t> </w:t>
      </w:r>
      <w:r w:rsidR="003E2618" w:rsidRPr="00C72770">
        <w:rPr>
          <w:lang w:val="en-GB"/>
        </w:rPr>
        <w:t xml:space="preserve">1005 trials (for </w:t>
      </w:r>
      <w:r w:rsidR="00E113A2">
        <w:rPr>
          <w:lang w:val="en-GB"/>
        </w:rPr>
        <w:t>overall survival</w:t>
      </w:r>
      <w:r w:rsidR="003E2618" w:rsidRPr="00C72770">
        <w:rPr>
          <w:lang w:val="en-GB"/>
        </w:rPr>
        <w:t>)</w:t>
      </w:r>
      <w:r w:rsidR="00E113A2">
        <w:rPr>
          <w:lang w:val="en-GB"/>
        </w:rPr>
        <w:t>. T</w:t>
      </w:r>
      <w:r w:rsidR="008C1002" w:rsidRPr="00C72770">
        <w:rPr>
          <w:lang w:val="en-GB"/>
        </w:rPr>
        <w:t xml:space="preserve">hese trials were used for the matching-adjusted indirect comparison (MAIC, </w:t>
      </w:r>
      <w:r w:rsidR="00E113A2">
        <w:rPr>
          <w:lang w:val="en-GB"/>
        </w:rPr>
        <w:t xml:space="preserve">see </w:t>
      </w:r>
      <w:r w:rsidR="008C1002" w:rsidRPr="00C72770">
        <w:rPr>
          <w:lang w:val="en-GB"/>
        </w:rPr>
        <w:t>section</w:t>
      </w:r>
      <w:r w:rsidR="00394E3C">
        <w:rPr>
          <w:lang w:val="en-GB"/>
        </w:rPr>
        <w:t> </w:t>
      </w:r>
      <w:r w:rsidR="002C712D">
        <w:rPr>
          <w:lang w:val="en-GB"/>
        </w:rPr>
        <w:t>3.7</w:t>
      </w:r>
      <w:r w:rsidR="008C1002" w:rsidRPr="00C72770">
        <w:rPr>
          <w:lang w:val="en-GB"/>
        </w:rPr>
        <w:t>)</w:t>
      </w:r>
      <w:r w:rsidR="003E2618" w:rsidRPr="00C72770">
        <w:rPr>
          <w:lang w:val="en-GB"/>
        </w:rPr>
        <w:t xml:space="preserve">. The </w:t>
      </w:r>
      <w:r w:rsidRPr="00C72770">
        <w:rPr>
          <w:lang w:val="en-GB"/>
        </w:rPr>
        <w:t>ERG emphasised its concerns about the quality and suitability of the data from the</w:t>
      </w:r>
      <w:r w:rsidR="0086577B">
        <w:rPr>
          <w:lang w:val="en-GB"/>
        </w:rPr>
        <w:t>se</w:t>
      </w:r>
      <w:r w:rsidRPr="00C72770">
        <w:rPr>
          <w:lang w:val="en-GB"/>
        </w:rPr>
        <w:t xml:space="preserve"> </w:t>
      </w:r>
      <w:r w:rsidR="0056403E" w:rsidRPr="00C72770">
        <w:rPr>
          <w:lang w:val="en-GB"/>
        </w:rPr>
        <w:t>trials</w:t>
      </w:r>
      <w:r w:rsidRPr="00C72770">
        <w:rPr>
          <w:lang w:val="en-GB"/>
        </w:rPr>
        <w:t xml:space="preserve">. This </w:t>
      </w:r>
      <w:r w:rsidR="00E113A2">
        <w:rPr>
          <w:lang w:val="en-GB"/>
        </w:rPr>
        <w:t>was</w:t>
      </w:r>
      <w:r w:rsidRPr="00C72770">
        <w:rPr>
          <w:lang w:val="en-GB"/>
        </w:rPr>
        <w:t xml:space="preserve"> because </w:t>
      </w:r>
      <w:r w:rsidR="00E113A2">
        <w:rPr>
          <w:lang w:val="en-GB"/>
        </w:rPr>
        <w:t>most</w:t>
      </w:r>
      <w:r w:rsidR="00DE68EC" w:rsidRPr="00C72770">
        <w:rPr>
          <w:lang w:val="en-GB"/>
        </w:rPr>
        <w:t xml:space="preserve"> patients in these studies had previously </w:t>
      </w:r>
      <w:r w:rsidR="00E113A2">
        <w:rPr>
          <w:lang w:val="en-GB"/>
        </w:rPr>
        <w:t>had</w:t>
      </w:r>
      <w:r w:rsidR="00DE68EC" w:rsidRPr="00C72770">
        <w:rPr>
          <w:lang w:val="en-GB"/>
        </w:rPr>
        <w:t xml:space="preserve"> PDC and crizotinib (most closely matching </w:t>
      </w:r>
      <w:r w:rsidR="0086577B">
        <w:rPr>
          <w:lang w:val="en-GB"/>
        </w:rPr>
        <w:t xml:space="preserve">the </w:t>
      </w:r>
      <w:r w:rsidR="00DE68EC" w:rsidRPr="00C72770">
        <w:rPr>
          <w:lang w:val="en-GB"/>
        </w:rPr>
        <w:t xml:space="preserve">treatment history of cohort EXP-3A from </w:t>
      </w:r>
      <w:r w:rsidR="00394E3C">
        <w:rPr>
          <w:lang w:val="en-GB"/>
        </w:rPr>
        <w:t>s</w:t>
      </w:r>
      <w:r w:rsidR="00DE68EC" w:rsidRPr="00C72770">
        <w:rPr>
          <w:lang w:val="en-GB"/>
        </w:rPr>
        <w:t>tudy</w:t>
      </w:r>
      <w:r w:rsidR="00A13D1F">
        <w:rPr>
          <w:lang w:val="en-GB"/>
        </w:rPr>
        <w:t> </w:t>
      </w:r>
      <w:r w:rsidR="00DE68EC" w:rsidRPr="00C72770">
        <w:rPr>
          <w:lang w:val="en-GB"/>
        </w:rPr>
        <w:t>1001)</w:t>
      </w:r>
      <w:r w:rsidR="00E113A2">
        <w:rPr>
          <w:lang w:val="en-GB"/>
        </w:rPr>
        <w:t>. A</w:t>
      </w:r>
      <w:r w:rsidRPr="00C72770">
        <w:rPr>
          <w:lang w:val="en-GB"/>
        </w:rPr>
        <w:t>lso</w:t>
      </w:r>
      <w:r w:rsidR="00E113A2">
        <w:rPr>
          <w:lang w:val="en-GB"/>
        </w:rPr>
        <w:t>,</w:t>
      </w:r>
      <w:r w:rsidRPr="00C72770">
        <w:rPr>
          <w:lang w:val="en-GB"/>
        </w:rPr>
        <w:t xml:space="preserve"> the </w:t>
      </w:r>
      <w:r w:rsidR="00E113A2">
        <w:rPr>
          <w:lang w:val="en-GB"/>
        </w:rPr>
        <w:t xml:space="preserve">patients in the </w:t>
      </w:r>
      <w:r w:rsidR="00DE68EC" w:rsidRPr="00C72770">
        <w:rPr>
          <w:lang w:val="en-GB"/>
        </w:rPr>
        <w:t xml:space="preserve">chemotherapy arms of these trials </w:t>
      </w:r>
      <w:r w:rsidR="00E113A2">
        <w:rPr>
          <w:lang w:val="en-GB"/>
        </w:rPr>
        <w:t>had</w:t>
      </w:r>
      <w:r w:rsidR="00DE68EC" w:rsidRPr="00C72770">
        <w:rPr>
          <w:lang w:val="en-GB"/>
        </w:rPr>
        <w:t xml:space="preserve"> </w:t>
      </w:r>
      <w:r w:rsidRPr="00C72770">
        <w:rPr>
          <w:lang w:val="en-GB"/>
        </w:rPr>
        <w:t xml:space="preserve">singlet chemotherapy </w:t>
      </w:r>
      <w:r w:rsidR="00DE68EC" w:rsidRPr="00C72770">
        <w:rPr>
          <w:lang w:val="en-GB"/>
        </w:rPr>
        <w:t xml:space="preserve">(pemetrexed, docetaxel) </w:t>
      </w:r>
      <w:r w:rsidRPr="00C72770">
        <w:rPr>
          <w:lang w:val="en-GB"/>
        </w:rPr>
        <w:t xml:space="preserve">rather than PDC. The committee agreed with the ERG and clinical experts that the </w:t>
      </w:r>
      <w:r w:rsidRPr="00C72770">
        <w:rPr>
          <w:lang w:val="en-GB"/>
        </w:rPr>
        <w:lastRenderedPageBreak/>
        <w:t xml:space="preserve">company’s assumption of equivalent clinical efficacy between doublet and singlet chemotherapy </w:t>
      </w:r>
      <w:r w:rsidR="00E113A2">
        <w:rPr>
          <w:lang w:val="en-GB"/>
        </w:rPr>
        <w:t>wa</w:t>
      </w:r>
      <w:r w:rsidRPr="00C72770">
        <w:rPr>
          <w:lang w:val="en-GB"/>
        </w:rPr>
        <w:t>s not supported by clinical evidence</w:t>
      </w:r>
      <w:r w:rsidR="00D15FF4" w:rsidRPr="00C72770">
        <w:rPr>
          <w:lang w:val="en-GB"/>
        </w:rPr>
        <w:t xml:space="preserve">, and that doublet chemotherapy </w:t>
      </w:r>
      <w:r w:rsidR="00E113A2">
        <w:rPr>
          <w:lang w:val="en-GB"/>
        </w:rPr>
        <w:t>wa</w:t>
      </w:r>
      <w:r w:rsidR="00D15FF4" w:rsidRPr="00C72770">
        <w:rPr>
          <w:lang w:val="en-GB"/>
        </w:rPr>
        <w:t>s expected to be</w:t>
      </w:r>
      <w:r w:rsidR="00B22CD3">
        <w:rPr>
          <w:lang w:val="en-GB"/>
        </w:rPr>
        <w:t xml:space="preserve"> somewhat</w:t>
      </w:r>
      <w:r w:rsidR="00D15FF4" w:rsidRPr="00C72770">
        <w:rPr>
          <w:lang w:val="en-GB"/>
        </w:rPr>
        <w:t xml:space="preserve"> more effective than singlet chemotherapy</w:t>
      </w:r>
      <w:r w:rsidRPr="00C72770">
        <w:rPr>
          <w:lang w:val="en-GB"/>
        </w:rPr>
        <w:t xml:space="preserve">. </w:t>
      </w:r>
      <w:r w:rsidR="0056403E" w:rsidRPr="00C72770">
        <w:rPr>
          <w:lang w:val="en-GB"/>
        </w:rPr>
        <w:t xml:space="preserve">The committee noted that </w:t>
      </w:r>
      <w:r w:rsidR="003A64B2" w:rsidRPr="00C72770">
        <w:rPr>
          <w:lang w:val="en-GB"/>
        </w:rPr>
        <w:t xml:space="preserve">adjusting the </w:t>
      </w:r>
      <w:r w:rsidR="0056403E" w:rsidRPr="00C72770">
        <w:rPr>
          <w:lang w:val="en-GB"/>
        </w:rPr>
        <w:t xml:space="preserve">hazard ratio </w:t>
      </w:r>
      <w:r w:rsidR="00BA5775" w:rsidRPr="00C72770">
        <w:rPr>
          <w:lang w:val="en-GB"/>
        </w:rPr>
        <w:t>by 20</w:t>
      </w:r>
      <w:r w:rsidR="003A64B2" w:rsidRPr="00C72770">
        <w:rPr>
          <w:lang w:val="en-GB"/>
        </w:rPr>
        <w:t>%</w:t>
      </w:r>
      <w:r w:rsidR="0056403E" w:rsidRPr="00C72770">
        <w:rPr>
          <w:lang w:val="en-GB"/>
        </w:rPr>
        <w:t xml:space="preserve"> </w:t>
      </w:r>
      <w:r w:rsidR="00DC70C2">
        <w:rPr>
          <w:lang w:val="en-GB"/>
        </w:rPr>
        <w:t xml:space="preserve">to 0.8 </w:t>
      </w:r>
      <w:r w:rsidR="003A64B2" w:rsidRPr="00C72770">
        <w:rPr>
          <w:lang w:val="en-GB"/>
        </w:rPr>
        <w:t xml:space="preserve">to account </w:t>
      </w:r>
      <w:r w:rsidR="0056403E" w:rsidRPr="00C72770">
        <w:rPr>
          <w:lang w:val="en-GB"/>
        </w:rPr>
        <w:t xml:space="preserve">for the difference </w:t>
      </w:r>
      <w:r w:rsidR="003A64B2" w:rsidRPr="00C72770">
        <w:rPr>
          <w:lang w:val="en-GB"/>
        </w:rPr>
        <w:t xml:space="preserve">in clinical efficacy </w:t>
      </w:r>
      <w:r w:rsidR="0056403E" w:rsidRPr="00C72770">
        <w:rPr>
          <w:lang w:val="en-GB"/>
        </w:rPr>
        <w:t>between PDC and singlet chemotherapy</w:t>
      </w:r>
      <w:r w:rsidR="003A64B2" w:rsidRPr="00C72770">
        <w:rPr>
          <w:lang w:val="en-GB"/>
        </w:rPr>
        <w:t xml:space="preserve"> </w:t>
      </w:r>
      <w:r w:rsidR="008A5473">
        <w:rPr>
          <w:lang w:val="en-GB"/>
        </w:rPr>
        <w:t>was</w:t>
      </w:r>
      <w:r w:rsidR="00D93C9F" w:rsidRPr="00C72770">
        <w:rPr>
          <w:lang w:val="en-GB"/>
        </w:rPr>
        <w:t xml:space="preserve"> </w:t>
      </w:r>
      <w:r w:rsidR="0056403E" w:rsidRPr="00C72770">
        <w:rPr>
          <w:lang w:val="en-GB"/>
        </w:rPr>
        <w:t xml:space="preserve">agreed </w:t>
      </w:r>
      <w:r w:rsidR="008A5473">
        <w:rPr>
          <w:lang w:val="en-GB"/>
        </w:rPr>
        <w:t xml:space="preserve">to be appropriate </w:t>
      </w:r>
      <w:r w:rsidR="0056403E" w:rsidRPr="00C72770">
        <w:rPr>
          <w:lang w:val="en-GB"/>
        </w:rPr>
        <w:t xml:space="preserve">at </w:t>
      </w:r>
      <w:r w:rsidR="008A5473">
        <w:rPr>
          <w:lang w:val="en-GB"/>
        </w:rPr>
        <w:t xml:space="preserve">the </w:t>
      </w:r>
      <w:r w:rsidR="0056403E" w:rsidRPr="00C72770">
        <w:rPr>
          <w:lang w:val="en-GB"/>
        </w:rPr>
        <w:t xml:space="preserve">technical engagement </w:t>
      </w:r>
      <w:r w:rsidR="008A5473">
        <w:rPr>
          <w:lang w:val="en-GB"/>
        </w:rPr>
        <w:t>stage</w:t>
      </w:r>
      <w:r w:rsidR="003A64B2" w:rsidRPr="00C72770">
        <w:rPr>
          <w:lang w:val="en-GB"/>
        </w:rPr>
        <w:t xml:space="preserve">. </w:t>
      </w:r>
      <w:r w:rsidR="00D93C9F" w:rsidRPr="00C72770">
        <w:rPr>
          <w:lang w:val="en-GB"/>
        </w:rPr>
        <w:t xml:space="preserve">The committee </w:t>
      </w:r>
      <w:r w:rsidR="0056403E" w:rsidRPr="00C72770">
        <w:rPr>
          <w:lang w:val="en-GB"/>
        </w:rPr>
        <w:t>agreed that the</w:t>
      </w:r>
      <w:r w:rsidR="002C712D">
        <w:rPr>
          <w:lang w:val="en-GB"/>
        </w:rPr>
        <w:t xml:space="preserve"> treatment history</w:t>
      </w:r>
      <w:r w:rsidR="0056403E" w:rsidRPr="00C72770">
        <w:rPr>
          <w:lang w:val="en-GB"/>
        </w:rPr>
        <w:t xml:space="preserve"> differences between the </w:t>
      </w:r>
      <w:r w:rsidR="00E113A2">
        <w:rPr>
          <w:lang w:val="en-GB"/>
        </w:rPr>
        <w:t xml:space="preserve">trial populations </w:t>
      </w:r>
      <w:r w:rsidR="002C712D">
        <w:rPr>
          <w:lang w:val="en-GB"/>
        </w:rPr>
        <w:t>used for PDC efficacy in the model (</w:t>
      </w:r>
      <w:r w:rsidR="002C712D" w:rsidRPr="002C712D">
        <w:rPr>
          <w:lang w:val="en-GB"/>
        </w:rPr>
        <w:t xml:space="preserve">ALUR and ASCEND-5 </w:t>
      </w:r>
      <w:r w:rsidR="002C712D">
        <w:rPr>
          <w:lang w:val="en-GB"/>
        </w:rPr>
        <w:t>for progression-free survival and</w:t>
      </w:r>
      <w:r w:rsidR="0056403E" w:rsidRPr="00C72770">
        <w:rPr>
          <w:lang w:val="en-GB"/>
        </w:rPr>
        <w:t xml:space="preserve"> PROFILE</w:t>
      </w:r>
      <w:r w:rsidR="008A5473">
        <w:rPr>
          <w:lang w:val="en-GB"/>
        </w:rPr>
        <w:t> </w:t>
      </w:r>
      <w:r w:rsidR="0056403E" w:rsidRPr="00C72770">
        <w:rPr>
          <w:lang w:val="en-GB"/>
        </w:rPr>
        <w:t>1001</w:t>
      </w:r>
      <w:r w:rsidR="00E113A2">
        <w:rPr>
          <w:lang w:val="en-GB"/>
        </w:rPr>
        <w:t xml:space="preserve"> and </w:t>
      </w:r>
      <w:r w:rsidR="0056403E" w:rsidRPr="00C72770">
        <w:rPr>
          <w:lang w:val="en-GB"/>
        </w:rPr>
        <w:t>PROFILE</w:t>
      </w:r>
      <w:r w:rsidR="008A5473">
        <w:rPr>
          <w:lang w:val="en-GB"/>
        </w:rPr>
        <w:t> </w:t>
      </w:r>
      <w:r w:rsidR="0056403E" w:rsidRPr="00C72770">
        <w:rPr>
          <w:lang w:val="en-GB"/>
        </w:rPr>
        <w:t xml:space="preserve">1005 </w:t>
      </w:r>
      <w:r w:rsidR="002C712D">
        <w:rPr>
          <w:lang w:val="en-GB"/>
        </w:rPr>
        <w:t xml:space="preserve">for overall survival) </w:t>
      </w:r>
      <w:r w:rsidR="00394E3C">
        <w:rPr>
          <w:lang w:val="en-GB"/>
        </w:rPr>
        <w:t>and</w:t>
      </w:r>
      <w:r w:rsidR="00346BD8" w:rsidRPr="00C72770">
        <w:rPr>
          <w:lang w:val="en-GB"/>
        </w:rPr>
        <w:t xml:space="preserve"> </w:t>
      </w:r>
      <w:r w:rsidR="002C712D">
        <w:rPr>
          <w:lang w:val="en-GB"/>
        </w:rPr>
        <w:t>th</w:t>
      </w:r>
      <w:r w:rsidR="00394E3C">
        <w:rPr>
          <w:lang w:val="en-GB"/>
        </w:rPr>
        <w:t>ose</w:t>
      </w:r>
      <w:r w:rsidR="002C712D">
        <w:rPr>
          <w:lang w:val="en-GB"/>
        </w:rPr>
        <w:t xml:space="preserve"> of </w:t>
      </w:r>
      <w:r w:rsidR="0056403E" w:rsidRPr="00C72770">
        <w:rPr>
          <w:lang w:val="en-GB"/>
        </w:rPr>
        <w:t xml:space="preserve">cohort EXP-3B:5 from </w:t>
      </w:r>
      <w:r w:rsidR="00394E3C">
        <w:rPr>
          <w:lang w:val="en-GB"/>
        </w:rPr>
        <w:t>s</w:t>
      </w:r>
      <w:r w:rsidR="0056403E" w:rsidRPr="00C72770">
        <w:rPr>
          <w:lang w:val="en-GB"/>
        </w:rPr>
        <w:t>tudy</w:t>
      </w:r>
      <w:r w:rsidR="008A5473">
        <w:rPr>
          <w:lang w:val="en-GB"/>
        </w:rPr>
        <w:t> </w:t>
      </w:r>
      <w:r w:rsidR="0056403E" w:rsidRPr="00C72770">
        <w:rPr>
          <w:lang w:val="en-GB"/>
        </w:rPr>
        <w:t xml:space="preserve">1001 </w:t>
      </w:r>
      <w:r w:rsidR="00DF5A11" w:rsidRPr="00C72770">
        <w:rPr>
          <w:lang w:val="en-GB"/>
        </w:rPr>
        <w:t>mean</w:t>
      </w:r>
      <w:r w:rsidR="00E113A2">
        <w:rPr>
          <w:lang w:val="en-GB"/>
        </w:rPr>
        <w:t>t</w:t>
      </w:r>
      <w:r w:rsidR="00DF5A11" w:rsidRPr="00C72770">
        <w:rPr>
          <w:lang w:val="en-GB"/>
        </w:rPr>
        <w:t xml:space="preserve"> that the </w:t>
      </w:r>
      <w:r w:rsidR="00E76F44">
        <w:rPr>
          <w:lang w:val="en-GB"/>
        </w:rPr>
        <w:t xml:space="preserve">clinical effectiveness </w:t>
      </w:r>
      <w:r w:rsidR="00DF5A11" w:rsidRPr="00C72770">
        <w:rPr>
          <w:lang w:val="en-GB"/>
        </w:rPr>
        <w:t xml:space="preserve">evidence for the PDC arm of the model </w:t>
      </w:r>
      <w:r w:rsidR="00E113A2">
        <w:rPr>
          <w:lang w:val="en-GB"/>
        </w:rPr>
        <w:t>wa</w:t>
      </w:r>
      <w:r w:rsidR="00DF5A11" w:rsidRPr="00C72770">
        <w:rPr>
          <w:lang w:val="en-GB"/>
        </w:rPr>
        <w:t>s uncertain.</w:t>
      </w:r>
    </w:p>
    <w:p w14:paraId="0D6DA9B9" w14:textId="760E09DB" w:rsidR="004233CD" w:rsidRPr="00C72770" w:rsidRDefault="004233CD" w:rsidP="004233CD">
      <w:pPr>
        <w:pStyle w:val="Heading3"/>
      </w:pPr>
      <w:r w:rsidRPr="00C72770">
        <w:t xml:space="preserve">Population adjustment for ABCP </w:t>
      </w:r>
      <w:r w:rsidR="005C5532" w:rsidRPr="00C72770">
        <w:t>overall survival</w:t>
      </w:r>
      <w:r w:rsidRPr="00C72770">
        <w:t xml:space="preserve"> is appropriate</w:t>
      </w:r>
    </w:p>
    <w:p w14:paraId="70944542" w14:textId="1B88DABB" w:rsidR="003A5518" w:rsidRPr="00C9203C" w:rsidRDefault="009F0023" w:rsidP="002C712D">
      <w:pPr>
        <w:pStyle w:val="Numberedlevel2text"/>
        <w:spacing w:after="0"/>
        <w:rPr>
          <w:lang w:val="en-GB"/>
        </w:rPr>
      </w:pPr>
      <w:r>
        <w:t>To compare lorlatinib</w:t>
      </w:r>
      <w:r w:rsidR="00827515" w:rsidRPr="00DA5AE6">
        <w:t xml:space="preserve"> with ABCP, </w:t>
      </w:r>
      <w:r w:rsidRPr="009F0023">
        <w:t>the IMpower150 trial was used to create an unanchored, unadjusted comparison</w:t>
      </w:r>
      <w:r w:rsidR="00B22CD3">
        <w:rPr>
          <w:lang w:val="en-US"/>
        </w:rPr>
        <w:t xml:space="preserve"> with lorlatinib</w:t>
      </w:r>
      <w:r w:rsidRPr="009F0023">
        <w:t xml:space="preserve">. </w:t>
      </w:r>
      <w:r w:rsidR="00B91B28" w:rsidRPr="00B91B28">
        <w:rPr>
          <w:lang w:val="en-GB"/>
        </w:rPr>
        <w:t xml:space="preserve">A mixed subgroup including patients with </w:t>
      </w:r>
      <w:r w:rsidR="004E4683" w:rsidRPr="004E4683">
        <w:rPr>
          <w:lang w:val="en-GB"/>
        </w:rPr>
        <w:t>epidermal growth factor receptor (EGFR)</w:t>
      </w:r>
      <w:r w:rsidR="00B91B28">
        <w:rPr>
          <w:lang w:val="en-GB"/>
        </w:rPr>
        <w:t>-positive</w:t>
      </w:r>
      <w:r w:rsidR="00B91B28" w:rsidRPr="00B91B28">
        <w:rPr>
          <w:lang w:val="en-GB"/>
        </w:rPr>
        <w:t xml:space="preserve"> and ALK</w:t>
      </w:r>
      <w:r w:rsidR="00B91B28">
        <w:rPr>
          <w:lang w:val="en-GB"/>
        </w:rPr>
        <w:t>-positive</w:t>
      </w:r>
      <w:r w:rsidR="00B91B28" w:rsidRPr="00B91B28">
        <w:rPr>
          <w:lang w:val="en-GB"/>
        </w:rPr>
        <w:t xml:space="preserve"> NSCLC was </w:t>
      </w:r>
      <w:r w:rsidRPr="009F0023">
        <w:rPr>
          <w:lang w:val="en-GB"/>
        </w:rPr>
        <w:t xml:space="preserve">the only evidence available </w:t>
      </w:r>
      <w:r w:rsidR="00DB460E">
        <w:rPr>
          <w:lang w:val="en-GB"/>
        </w:rPr>
        <w:t>on</w:t>
      </w:r>
      <w:r w:rsidRPr="009F0023">
        <w:rPr>
          <w:lang w:val="en-GB"/>
        </w:rPr>
        <w:t xml:space="preserve"> us</w:t>
      </w:r>
      <w:r w:rsidR="00DB460E">
        <w:rPr>
          <w:lang w:val="en-GB"/>
        </w:rPr>
        <w:t>ing</w:t>
      </w:r>
      <w:r w:rsidRPr="009F0023">
        <w:rPr>
          <w:lang w:val="en-GB"/>
        </w:rPr>
        <w:t xml:space="preserve"> ABCP in ALK-positive </w:t>
      </w:r>
      <w:r w:rsidR="00394E3C">
        <w:rPr>
          <w:lang w:val="en-GB"/>
        </w:rPr>
        <w:t>NSCLC</w:t>
      </w:r>
      <w:r w:rsidR="00C14FC2">
        <w:rPr>
          <w:lang w:val="en-GB"/>
        </w:rPr>
        <w:t>. T</w:t>
      </w:r>
      <w:r w:rsidR="00827515" w:rsidRPr="009F0023">
        <w:rPr>
          <w:lang w:val="en-GB"/>
        </w:rPr>
        <w:t>he company applied a population adjustment to reflect th</w:t>
      </w:r>
      <w:r w:rsidR="00827515" w:rsidRPr="003E2347">
        <w:rPr>
          <w:lang w:val="en-GB"/>
        </w:rPr>
        <w:t xml:space="preserve">at </w:t>
      </w:r>
      <w:r w:rsidR="00FC56D7" w:rsidRPr="003E2347">
        <w:rPr>
          <w:lang w:val="en-GB"/>
        </w:rPr>
        <w:t>most</w:t>
      </w:r>
      <w:r w:rsidR="00827515" w:rsidRPr="003E2347">
        <w:rPr>
          <w:lang w:val="en-GB"/>
        </w:rPr>
        <w:t xml:space="preserve"> of the relevant subgroup from I</w:t>
      </w:r>
      <w:r w:rsidR="00DB460E">
        <w:rPr>
          <w:lang w:val="en-GB"/>
        </w:rPr>
        <w:t>M</w:t>
      </w:r>
      <w:r w:rsidR="00827515" w:rsidRPr="003E2347">
        <w:rPr>
          <w:lang w:val="en-GB"/>
        </w:rPr>
        <w:t xml:space="preserve">power150 </w:t>
      </w:r>
      <w:r w:rsidR="00827515" w:rsidRPr="009F0023">
        <w:rPr>
          <w:lang w:val="en-GB"/>
        </w:rPr>
        <w:t xml:space="preserve">had </w:t>
      </w:r>
      <w:r w:rsidR="004E4683">
        <w:rPr>
          <w:lang w:val="en-GB"/>
        </w:rPr>
        <w:t>EGFR-</w:t>
      </w:r>
      <w:r w:rsidR="00827515" w:rsidRPr="009F0023">
        <w:rPr>
          <w:lang w:val="en-GB"/>
        </w:rPr>
        <w:t>positive NSCLC (n=30) rathe</w:t>
      </w:r>
      <w:r w:rsidR="00C37A33" w:rsidRPr="009F0023">
        <w:rPr>
          <w:lang w:val="en-GB"/>
        </w:rPr>
        <w:t>r</w:t>
      </w:r>
      <w:r w:rsidR="00827515" w:rsidRPr="009F0023">
        <w:rPr>
          <w:lang w:val="en-GB"/>
        </w:rPr>
        <w:t xml:space="preserve"> than ALK-positive disease (n=11). The company</w:t>
      </w:r>
      <w:r w:rsidR="00827515" w:rsidRPr="003E2347">
        <w:rPr>
          <w:lang w:val="en-GB"/>
        </w:rPr>
        <w:t xml:space="preserve"> claim</w:t>
      </w:r>
      <w:r w:rsidR="00FC56D7" w:rsidRPr="003E2347">
        <w:rPr>
          <w:lang w:val="en-GB"/>
        </w:rPr>
        <w:t>ed</w:t>
      </w:r>
      <w:r w:rsidR="00827515" w:rsidRPr="003E2347">
        <w:rPr>
          <w:lang w:val="en-GB"/>
        </w:rPr>
        <w:t xml:space="preserve"> that the prognosis for ALK-positive NSCLC </w:t>
      </w:r>
      <w:r w:rsidR="00FC56D7" w:rsidRPr="003E2347">
        <w:rPr>
          <w:lang w:val="en-GB"/>
        </w:rPr>
        <w:t>wa</w:t>
      </w:r>
      <w:r w:rsidR="00827515" w:rsidRPr="003E2347">
        <w:rPr>
          <w:lang w:val="en-GB"/>
        </w:rPr>
        <w:t>s poorer than for EGFR-positive disease</w:t>
      </w:r>
      <w:r w:rsidR="00E11CEE">
        <w:rPr>
          <w:lang w:val="en-GB"/>
        </w:rPr>
        <w:t>,</w:t>
      </w:r>
      <w:r w:rsidR="00FC56D7" w:rsidRPr="003E2347">
        <w:rPr>
          <w:lang w:val="en-GB"/>
        </w:rPr>
        <w:t xml:space="preserve"> </w:t>
      </w:r>
      <w:r w:rsidR="00E11CEE">
        <w:rPr>
          <w:lang w:val="en-GB"/>
        </w:rPr>
        <w:t>s</w:t>
      </w:r>
      <w:r w:rsidR="00827515" w:rsidRPr="003E2347">
        <w:rPr>
          <w:lang w:val="en-GB"/>
        </w:rPr>
        <w:t>o a failure to adjust would bias the results against lorlatinib.</w:t>
      </w:r>
      <w:r w:rsidR="0096417B" w:rsidRPr="009F0023">
        <w:rPr>
          <w:bCs w:val="0"/>
          <w:iCs w:val="0"/>
        </w:rPr>
        <w:t xml:space="preserve"> The committee </w:t>
      </w:r>
      <w:r w:rsidR="004138E8">
        <w:rPr>
          <w:bCs w:val="0"/>
          <w:iCs w:val="0"/>
          <w:lang w:val="en-US"/>
        </w:rPr>
        <w:t>heard</w:t>
      </w:r>
      <w:r w:rsidR="004138E8" w:rsidRPr="009F0023">
        <w:rPr>
          <w:bCs w:val="0"/>
          <w:iCs w:val="0"/>
        </w:rPr>
        <w:t xml:space="preserve"> </w:t>
      </w:r>
      <w:r w:rsidR="0096417B" w:rsidRPr="009F0023">
        <w:rPr>
          <w:bCs w:val="0"/>
          <w:iCs w:val="0"/>
        </w:rPr>
        <w:t xml:space="preserve">that </w:t>
      </w:r>
      <w:r w:rsidR="004138E8">
        <w:rPr>
          <w:bCs w:val="0"/>
          <w:iCs w:val="0"/>
          <w:lang w:val="en-US"/>
        </w:rPr>
        <w:t>there was a lack of</w:t>
      </w:r>
      <w:r w:rsidR="0096417B" w:rsidRPr="009F0023">
        <w:rPr>
          <w:bCs w:val="0"/>
          <w:iCs w:val="0"/>
        </w:rPr>
        <w:t xml:space="preserve"> </w:t>
      </w:r>
      <w:r w:rsidR="00B22CD3">
        <w:rPr>
          <w:bCs w:val="0"/>
          <w:iCs w:val="0"/>
          <w:lang w:val="en-US"/>
        </w:rPr>
        <w:t>robust</w:t>
      </w:r>
      <w:r w:rsidR="0001731F">
        <w:rPr>
          <w:bCs w:val="0"/>
          <w:iCs w:val="0"/>
          <w:lang w:val="en-US"/>
        </w:rPr>
        <w:t xml:space="preserve"> </w:t>
      </w:r>
      <w:r w:rsidR="0096417B" w:rsidRPr="009F0023">
        <w:rPr>
          <w:bCs w:val="0"/>
          <w:iCs w:val="0"/>
        </w:rPr>
        <w:t xml:space="preserve">evidence </w:t>
      </w:r>
      <w:r w:rsidR="00FC56D7" w:rsidRPr="009F0023">
        <w:rPr>
          <w:bCs w:val="0"/>
          <w:iCs w:val="0"/>
        </w:rPr>
        <w:t>to support</w:t>
      </w:r>
      <w:r w:rsidR="0096417B" w:rsidRPr="009F0023">
        <w:rPr>
          <w:bCs w:val="0"/>
          <w:iCs w:val="0"/>
        </w:rPr>
        <w:t xml:space="preserve"> the company</w:t>
      </w:r>
      <w:r w:rsidR="00FC56D7" w:rsidRPr="009F0023">
        <w:rPr>
          <w:bCs w:val="0"/>
          <w:iCs w:val="0"/>
        </w:rPr>
        <w:t>’s claim. T</w:t>
      </w:r>
      <w:r w:rsidR="005B560A" w:rsidRPr="009F0023">
        <w:rPr>
          <w:bCs w:val="0"/>
          <w:iCs w:val="0"/>
        </w:rPr>
        <w:t>o do th</w:t>
      </w:r>
      <w:r w:rsidR="00FC56D7" w:rsidRPr="009F0023">
        <w:rPr>
          <w:bCs w:val="0"/>
          <w:iCs w:val="0"/>
        </w:rPr>
        <w:t>e adjustment</w:t>
      </w:r>
      <w:r w:rsidR="005B560A" w:rsidRPr="009F0023">
        <w:rPr>
          <w:bCs w:val="0"/>
          <w:iCs w:val="0"/>
        </w:rPr>
        <w:t xml:space="preserve">, the company compared response to chemotherapy </w:t>
      </w:r>
      <w:r w:rsidR="00DA5AE6" w:rsidRPr="009F0023">
        <w:rPr>
          <w:bCs w:val="0"/>
          <w:iCs w:val="0"/>
        </w:rPr>
        <w:t>in</w:t>
      </w:r>
      <w:r w:rsidR="005B560A" w:rsidRPr="009F0023">
        <w:rPr>
          <w:bCs w:val="0"/>
          <w:iCs w:val="0"/>
        </w:rPr>
        <w:t xml:space="preserve"> </w:t>
      </w:r>
      <w:r w:rsidR="006F48A7">
        <w:rPr>
          <w:bCs w:val="0"/>
          <w:iCs w:val="0"/>
          <w:lang w:val="en-US"/>
        </w:rPr>
        <w:t xml:space="preserve">patients with </w:t>
      </w:r>
      <w:r w:rsidR="005B560A" w:rsidRPr="009F0023">
        <w:rPr>
          <w:bCs w:val="0"/>
          <w:iCs w:val="0"/>
        </w:rPr>
        <w:t xml:space="preserve">EGFR-positive </w:t>
      </w:r>
      <w:r w:rsidR="006F48A7">
        <w:rPr>
          <w:bCs w:val="0"/>
          <w:iCs w:val="0"/>
          <w:lang w:val="en-US"/>
        </w:rPr>
        <w:t>disease</w:t>
      </w:r>
      <w:r w:rsidR="005B560A" w:rsidRPr="009F0023">
        <w:rPr>
          <w:bCs w:val="0"/>
          <w:iCs w:val="0"/>
        </w:rPr>
        <w:t xml:space="preserve"> (using data from the IMPRESS study</w:t>
      </w:r>
      <w:r w:rsidR="00763F9B">
        <w:rPr>
          <w:bCs w:val="0"/>
          <w:iCs w:val="0"/>
          <w:lang w:val="en-US"/>
        </w:rPr>
        <w:t xml:space="preserve"> compar</w:t>
      </w:r>
      <w:r w:rsidR="006F48A7">
        <w:rPr>
          <w:bCs w:val="0"/>
          <w:iCs w:val="0"/>
          <w:lang w:val="en-US"/>
        </w:rPr>
        <w:t>ing</w:t>
      </w:r>
      <w:r w:rsidR="00763F9B">
        <w:rPr>
          <w:bCs w:val="0"/>
          <w:iCs w:val="0"/>
          <w:lang w:val="en-US"/>
        </w:rPr>
        <w:t xml:space="preserve"> continued treatment with gefitinib plus chemotherapy with placebo plus chemotherapy after first</w:t>
      </w:r>
      <w:r w:rsidR="00394E3C">
        <w:rPr>
          <w:bCs w:val="0"/>
          <w:iCs w:val="0"/>
          <w:lang w:val="en-US"/>
        </w:rPr>
        <w:t>-</w:t>
      </w:r>
      <w:r w:rsidR="00763F9B">
        <w:rPr>
          <w:bCs w:val="0"/>
          <w:iCs w:val="0"/>
          <w:lang w:val="en-US"/>
        </w:rPr>
        <w:t>line gefitinib in people with EGFR-positive NSCLC</w:t>
      </w:r>
      <w:r w:rsidR="005B560A" w:rsidRPr="009F0023">
        <w:rPr>
          <w:bCs w:val="0"/>
          <w:iCs w:val="0"/>
        </w:rPr>
        <w:t xml:space="preserve">) </w:t>
      </w:r>
      <w:r w:rsidR="00FC56D7" w:rsidRPr="009F0023">
        <w:rPr>
          <w:bCs w:val="0"/>
          <w:iCs w:val="0"/>
        </w:rPr>
        <w:t>with</w:t>
      </w:r>
      <w:r w:rsidR="005B560A" w:rsidRPr="009F0023">
        <w:rPr>
          <w:bCs w:val="0"/>
          <w:iCs w:val="0"/>
        </w:rPr>
        <w:t xml:space="preserve"> response to chemotherapy in patients </w:t>
      </w:r>
      <w:r w:rsidR="00D361B4">
        <w:rPr>
          <w:bCs w:val="0"/>
          <w:iCs w:val="0"/>
          <w:lang w:val="en-US"/>
        </w:rPr>
        <w:t xml:space="preserve">with </w:t>
      </w:r>
      <w:r w:rsidR="00D361B4" w:rsidRPr="009F0023">
        <w:rPr>
          <w:bCs w:val="0"/>
          <w:iCs w:val="0"/>
        </w:rPr>
        <w:t xml:space="preserve">ALK-positive </w:t>
      </w:r>
      <w:r w:rsidR="00D361B4">
        <w:rPr>
          <w:bCs w:val="0"/>
          <w:iCs w:val="0"/>
          <w:lang w:val="en-US"/>
        </w:rPr>
        <w:t xml:space="preserve">NSCLC </w:t>
      </w:r>
      <w:r w:rsidR="005B560A" w:rsidRPr="009F0023">
        <w:rPr>
          <w:bCs w:val="0"/>
          <w:iCs w:val="0"/>
        </w:rPr>
        <w:t>(using data from ALUR</w:t>
      </w:r>
      <w:r w:rsidR="00630AC1" w:rsidRPr="009F0023">
        <w:rPr>
          <w:bCs w:val="0"/>
          <w:iCs w:val="0"/>
        </w:rPr>
        <w:t xml:space="preserve"> </w:t>
      </w:r>
      <w:r w:rsidR="00314C74" w:rsidRPr="009F0023">
        <w:rPr>
          <w:bCs w:val="0"/>
          <w:iCs w:val="0"/>
        </w:rPr>
        <w:t>and</w:t>
      </w:r>
      <w:r w:rsidR="00630AC1" w:rsidRPr="009F0023">
        <w:rPr>
          <w:bCs w:val="0"/>
          <w:iCs w:val="0"/>
        </w:rPr>
        <w:t xml:space="preserve"> </w:t>
      </w:r>
      <w:r w:rsidR="005B560A" w:rsidRPr="009F0023">
        <w:rPr>
          <w:bCs w:val="0"/>
          <w:iCs w:val="0"/>
        </w:rPr>
        <w:t xml:space="preserve">ASCEND-5 for </w:t>
      </w:r>
      <w:r w:rsidR="00630AC1" w:rsidRPr="009F0023">
        <w:rPr>
          <w:bCs w:val="0"/>
          <w:iCs w:val="0"/>
        </w:rPr>
        <w:t xml:space="preserve">progression-free survival </w:t>
      </w:r>
      <w:r w:rsidR="005B560A" w:rsidRPr="009F0023">
        <w:rPr>
          <w:bCs w:val="0"/>
          <w:iCs w:val="0"/>
        </w:rPr>
        <w:t xml:space="preserve">and </w:t>
      </w:r>
      <w:r w:rsidR="00630AC1" w:rsidRPr="009F0023">
        <w:rPr>
          <w:bCs w:val="0"/>
          <w:iCs w:val="0"/>
        </w:rPr>
        <w:t xml:space="preserve">from </w:t>
      </w:r>
      <w:r w:rsidR="005B560A" w:rsidRPr="009F0023">
        <w:rPr>
          <w:bCs w:val="0"/>
          <w:iCs w:val="0"/>
        </w:rPr>
        <w:t>PROFILE</w:t>
      </w:r>
      <w:r w:rsidR="00630AC1" w:rsidRPr="009F0023">
        <w:rPr>
          <w:bCs w:val="0"/>
          <w:iCs w:val="0"/>
        </w:rPr>
        <w:t> </w:t>
      </w:r>
      <w:r w:rsidR="005B560A" w:rsidRPr="009F0023">
        <w:rPr>
          <w:bCs w:val="0"/>
          <w:iCs w:val="0"/>
        </w:rPr>
        <w:t>1001</w:t>
      </w:r>
      <w:r w:rsidR="00630AC1" w:rsidRPr="009F0023">
        <w:rPr>
          <w:bCs w:val="0"/>
          <w:iCs w:val="0"/>
        </w:rPr>
        <w:t xml:space="preserve"> </w:t>
      </w:r>
      <w:r w:rsidR="00314C74" w:rsidRPr="009F0023">
        <w:rPr>
          <w:bCs w:val="0"/>
          <w:iCs w:val="0"/>
        </w:rPr>
        <w:t xml:space="preserve">and </w:t>
      </w:r>
      <w:r w:rsidR="005B560A" w:rsidRPr="009F0023">
        <w:rPr>
          <w:bCs w:val="0"/>
          <w:iCs w:val="0"/>
        </w:rPr>
        <w:t>PROFILE</w:t>
      </w:r>
      <w:r w:rsidR="00630AC1" w:rsidRPr="009F0023">
        <w:rPr>
          <w:bCs w:val="0"/>
          <w:iCs w:val="0"/>
        </w:rPr>
        <w:t> </w:t>
      </w:r>
      <w:r w:rsidR="005B560A" w:rsidRPr="009F0023">
        <w:rPr>
          <w:bCs w:val="0"/>
          <w:iCs w:val="0"/>
        </w:rPr>
        <w:t xml:space="preserve">1005 for </w:t>
      </w:r>
      <w:r w:rsidR="00630AC1" w:rsidRPr="009F0023">
        <w:rPr>
          <w:bCs w:val="0"/>
          <w:iCs w:val="0"/>
        </w:rPr>
        <w:t>overall survival</w:t>
      </w:r>
      <w:r w:rsidR="005B560A" w:rsidRPr="009F0023">
        <w:rPr>
          <w:bCs w:val="0"/>
          <w:iCs w:val="0"/>
        </w:rPr>
        <w:t xml:space="preserve">). </w:t>
      </w:r>
      <w:r w:rsidR="00646DCB" w:rsidRPr="009F0023">
        <w:rPr>
          <w:bCs w:val="0"/>
          <w:iCs w:val="0"/>
        </w:rPr>
        <w:t xml:space="preserve">This provided </w:t>
      </w:r>
      <w:r w:rsidR="00630AC1" w:rsidRPr="009F0023">
        <w:rPr>
          <w:bCs w:val="0"/>
          <w:iCs w:val="0"/>
        </w:rPr>
        <w:t>hazard ratios</w:t>
      </w:r>
      <w:r w:rsidR="00DA5AE6" w:rsidRPr="009F0023">
        <w:rPr>
          <w:bCs w:val="0"/>
          <w:iCs w:val="0"/>
        </w:rPr>
        <w:t>,</w:t>
      </w:r>
      <w:r w:rsidR="00630AC1" w:rsidRPr="009F0023">
        <w:rPr>
          <w:bCs w:val="0"/>
          <w:iCs w:val="0"/>
        </w:rPr>
        <w:t xml:space="preserve"> </w:t>
      </w:r>
      <w:r w:rsidR="00646DCB" w:rsidRPr="009F0023">
        <w:rPr>
          <w:bCs w:val="0"/>
          <w:iCs w:val="0"/>
        </w:rPr>
        <w:t>which were then applied to the fitted log-</w:t>
      </w:r>
      <w:r w:rsidR="00646DCB" w:rsidRPr="009F0023">
        <w:rPr>
          <w:bCs w:val="0"/>
          <w:iCs w:val="0"/>
        </w:rPr>
        <w:lastRenderedPageBreak/>
        <w:t>logistic and exponential curves in the mixed EGFR-positive</w:t>
      </w:r>
      <w:r w:rsidR="00630AC1" w:rsidRPr="009F0023">
        <w:rPr>
          <w:bCs w:val="0"/>
          <w:iCs w:val="0"/>
        </w:rPr>
        <w:t xml:space="preserve"> and </w:t>
      </w:r>
      <w:r w:rsidR="00646DCB" w:rsidRPr="009F0023">
        <w:rPr>
          <w:bCs w:val="0"/>
          <w:iCs w:val="0"/>
        </w:rPr>
        <w:t xml:space="preserve">ALK-positive cohort to derive curves for an ALK-positive only cohort. </w:t>
      </w:r>
      <w:r w:rsidR="00827515" w:rsidRPr="009F0023">
        <w:rPr>
          <w:bCs w:val="0"/>
          <w:iCs w:val="0"/>
        </w:rPr>
        <w:t xml:space="preserve">The ERG </w:t>
      </w:r>
      <w:r w:rsidR="004138E8">
        <w:rPr>
          <w:bCs w:val="0"/>
          <w:iCs w:val="0"/>
          <w:lang w:val="en-US"/>
        </w:rPr>
        <w:t>stated</w:t>
      </w:r>
      <w:r w:rsidR="004138E8" w:rsidRPr="009F0023">
        <w:rPr>
          <w:bCs w:val="0"/>
          <w:iCs w:val="0"/>
        </w:rPr>
        <w:t xml:space="preserve"> </w:t>
      </w:r>
      <w:r w:rsidR="00827515" w:rsidRPr="009F0023">
        <w:rPr>
          <w:bCs w:val="0"/>
          <w:iCs w:val="0"/>
        </w:rPr>
        <w:t>that the</w:t>
      </w:r>
      <w:r w:rsidR="00646DCB" w:rsidRPr="009F0023">
        <w:rPr>
          <w:bCs w:val="0"/>
          <w:iCs w:val="0"/>
        </w:rPr>
        <w:t xml:space="preserve">re </w:t>
      </w:r>
      <w:r w:rsidR="00630AC1" w:rsidRPr="009F0023">
        <w:rPr>
          <w:bCs w:val="0"/>
          <w:iCs w:val="0"/>
        </w:rPr>
        <w:t>was</w:t>
      </w:r>
      <w:r w:rsidR="00646DCB" w:rsidRPr="009F0023">
        <w:rPr>
          <w:bCs w:val="0"/>
          <w:iCs w:val="0"/>
        </w:rPr>
        <w:t xml:space="preserve"> not </w:t>
      </w:r>
      <w:r w:rsidR="00630AC1" w:rsidRPr="009F0023">
        <w:rPr>
          <w:bCs w:val="0"/>
          <w:iCs w:val="0"/>
        </w:rPr>
        <w:t xml:space="preserve">enough </w:t>
      </w:r>
      <w:r w:rsidR="00827515" w:rsidRPr="009F0023">
        <w:rPr>
          <w:bCs w:val="0"/>
          <w:iCs w:val="0"/>
        </w:rPr>
        <w:t xml:space="preserve">evidence to </w:t>
      </w:r>
      <w:r w:rsidR="00646DCB" w:rsidRPr="009F0023">
        <w:rPr>
          <w:bCs w:val="0"/>
          <w:iCs w:val="0"/>
        </w:rPr>
        <w:t>provide validity for the extent of this adjustment</w:t>
      </w:r>
      <w:r w:rsidR="00A07A8D">
        <w:rPr>
          <w:bCs w:val="0"/>
          <w:iCs w:val="0"/>
          <w:lang w:val="en-US"/>
        </w:rPr>
        <w:t>,</w:t>
      </w:r>
      <w:r w:rsidR="00646DCB" w:rsidRPr="009F0023">
        <w:rPr>
          <w:bCs w:val="0"/>
          <w:iCs w:val="0"/>
        </w:rPr>
        <w:t xml:space="preserve"> which shifts both the </w:t>
      </w:r>
      <w:r w:rsidR="00630AC1" w:rsidRPr="009F0023">
        <w:rPr>
          <w:bCs w:val="0"/>
          <w:iCs w:val="0"/>
        </w:rPr>
        <w:t xml:space="preserve">progression-free survival </w:t>
      </w:r>
      <w:r w:rsidR="00646DCB" w:rsidRPr="009F0023">
        <w:rPr>
          <w:bCs w:val="0"/>
          <w:iCs w:val="0"/>
        </w:rPr>
        <w:t xml:space="preserve">and </w:t>
      </w:r>
      <w:r w:rsidR="00630AC1" w:rsidRPr="009F0023">
        <w:rPr>
          <w:bCs w:val="0"/>
          <w:iCs w:val="0"/>
        </w:rPr>
        <w:t xml:space="preserve">overall survival </w:t>
      </w:r>
      <w:r w:rsidR="00646DCB" w:rsidRPr="009F0023">
        <w:rPr>
          <w:bCs w:val="0"/>
          <w:iCs w:val="0"/>
        </w:rPr>
        <w:t>in favour of lorlatinib</w:t>
      </w:r>
      <w:r w:rsidR="00827515" w:rsidRPr="009F0023">
        <w:rPr>
          <w:bCs w:val="0"/>
          <w:iCs w:val="0"/>
        </w:rPr>
        <w:t xml:space="preserve">. </w:t>
      </w:r>
      <w:r w:rsidR="00855FF6" w:rsidRPr="00DA5AE6">
        <w:rPr>
          <w:lang w:val="en-GB"/>
        </w:rPr>
        <w:t>As a result</w:t>
      </w:r>
      <w:r w:rsidR="00646DCB" w:rsidRPr="00DA5AE6">
        <w:rPr>
          <w:lang w:val="en-GB"/>
        </w:rPr>
        <w:t>, w</w:t>
      </w:r>
      <w:r w:rsidR="00827515" w:rsidRPr="00DC70C2">
        <w:rPr>
          <w:lang w:val="en-GB"/>
        </w:rPr>
        <w:t xml:space="preserve">ith the </w:t>
      </w:r>
      <w:r w:rsidR="00394E3C">
        <w:rPr>
          <w:rFonts w:cs="Arial"/>
          <w:lang w:val="en-GB"/>
        </w:rPr>
        <w:t>−</w:t>
      </w:r>
      <w:r w:rsidR="00BA5775" w:rsidRPr="00851560">
        <w:rPr>
          <w:lang w:val="en-GB"/>
        </w:rPr>
        <w:t>20%</w:t>
      </w:r>
      <w:r w:rsidR="00827515" w:rsidRPr="00851560">
        <w:rPr>
          <w:lang w:val="en-GB"/>
        </w:rPr>
        <w:t xml:space="preserve"> </w:t>
      </w:r>
      <w:r w:rsidR="000209FB" w:rsidRPr="00DC70C2">
        <w:rPr>
          <w:lang w:val="en-GB"/>
        </w:rPr>
        <w:t xml:space="preserve">hazard ratio </w:t>
      </w:r>
      <w:r w:rsidR="00827515" w:rsidRPr="00851560">
        <w:rPr>
          <w:lang w:val="en-GB"/>
        </w:rPr>
        <w:t>adjustment m</w:t>
      </w:r>
      <w:r w:rsidR="00827515" w:rsidRPr="00C9203C">
        <w:rPr>
          <w:lang w:val="en-GB"/>
        </w:rPr>
        <w:t xml:space="preserve">ade to the PDC arm data </w:t>
      </w:r>
      <w:r w:rsidR="00064666" w:rsidRPr="00925E27">
        <w:rPr>
          <w:lang w:val="en-GB"/>
        </w:rPr>
        <w:t xml:space="preserve">after the </w:t>
      </w:r>
      <w:r w:rsidR="00827515" w:rsidRPr="00E103C0">
        <w:rPr>
          <w:lang w:val="en-GB"/>
        </w:rPr>
        <w:t xml:space="preserve">technical engagement </w:t>
      </w:r>
      <w:r w:rsidR="00064666" w:rsidRPr="00E103C0">
        <w:rPr>
          <w:lang w:val="en-GB"/>
        </w:rPr>
        <w:t xml:space="preserve">stage </w:t>
      </w:r>
      <w:r w:rsidR="00827515" w:rsidRPr="00E103C0">
        <w:rPr>
          <w:lang w:val="en-GB"/>
        </w:rPr>
        <w:t>(</w:t>
      </w:r>
      <w:r w:rsidR="00064666" w:rsidRPr="00552D0F">
        <w:rPr>
          <w:lang w:val="en-GB"/>
        </w:rPr>
        <w:t xml:space="preserve">see </w:t>
      </w:r>
      <w:r w:rsidR="00827515" w:rsidRPr="005C3356">
        <w:rPr>
          <w:lang w:val="en-GB"/>
        </w:rPr>
        <w:t>section</w:t>
      </w:r>
      <w:r w:rsidR="00394E3C">
        <w:rPr>
          <w:lang w:val="en-GB"/>
        </w:rPr>
        <w:t> </w:t>
      </w:r>
      <w:r w:rsidR="002C712D">
        <w:rPr>
          <w:lang w:val="en-GB"/>
        </w:rPr>
        <w:t>3.4</w:t>
      </w:r>
      <w:r w:rsidR="00827515" w:rsidRPr="005C3356">
        <w:rPr>
          <w:lang w:val="en-GB"/>
        </w:rPr>
        <w:t xml:space="preserve">), the ERG explained that </w:t>
      </w:r>
      <w:r w:rsidR="000301CB" w:rsidRPr="00EB3220">
        <w:rPr>
          <w:lang w:val="en-GB"/>
        </w:rPr>
        <w:t xml:space="preserve">the </w:t>
      </w:r>
      <w:r w:rsidR="00064666" w:rsidRPr="00B317E6">
        <w:rPr>
          <w:lang w:val="en-GB"/>
        </w:rPr>
        <w:t>overall survival</w:t>
      </w:r>
      <w:r w:rsidR="00064666" w:rsidRPr="00BD12DE">
        <w:rPr>
          <w:lang w:val="en-GB"/>
        </w:rPr>
        <w:t xml:space="preserve"> </w:t>
      </w:r>
      <w:r w:rsidR="000301CB" w:rsidRPr="00F51A96">
        <w:rPr>
          <w:lang w:val="en-GB"/>
        </w:rPr>
        <w:t xml:space="preserve">curve for ABCP was now almost identical to the curve for PDC in the model, and </w:t>
      </w:r>
      <w:r w:rsidR="000301CB" w:rsidRPr="003F7A94">
        <w:rPr>
          <w:lang w:val="en-GB"/>
        </w:rPr>
        <w:t xml:space="preserve">this </w:t>
      </w:r>
      <w:r w:rsidR="00646DCB" w:rsidRPr="009134F4">
        <w:rPr>
          <w:lang w:val="en-GB"/>
        </w:rPr>
        <w:t>lack</w:t>
      </w:r>
      <w:r w:rsidR="00064666" w:rsidRPr="009134F4">
        <w:rPr>
          <w:lang w:val="en-GB"/>
        </w:rPr>
        <w:t>ed</w:t>
      </w:r>
      <w:r w:rsidR="000301CB" w:rsidRPr="00594AEB">
        <w:rPr>
          <w:lang w:val="en-GB"/>
        </w:rPr>
        <w:t xml:space="preserve"> clinical </w:t>
      </w:r>
      <w:r w:rsidR="000301CB" w:rsidRPr="008B2E3A">
        <w:rPr>
          <w:lang w:val="en-GB"/>
        </w:rPr>
        <w:t>plausib</w:t>
      </w:r>
      <w:r w:rsidR="00646DCB" w:rsidRPr="008B2E3A">
        <w:rPr>
          <w:lang w:val="en-GB"/>
        </w:rPr>
        <w:t>ility</w:t>
      </w:r>
      <w:r w:rsidR="000301CB" w:rsidRPr="00A5083B">
        <w:rPr>
          <w:lang w:val="en-GB"/>
        </w:rPr>
        <w:t xml:space="preserve">. </w:t>
      </w:r>
      <w:r w:rsidR="00043E9A" w:rsidRPr="00A5083B">
        <w:rPr>
          <w:lang w:val="en-GB"/>
        </w:rPr>
        <w:t>The co</w:t>
      </w:r>
      <w:r w:rsidR="00043E9A" w:rsidRPr="007A0EC4">
        <w:rPr>
          <w:lang w:val="en-GB"/>
        </w:rPr>
        <w:t xml:space="preserve">mpany and experts agreed that ABCP would be expected to </w:t>
      </w:r>
      <w:r w:rsidR="00064666" w:rsidRPr="007A0EC4">
        <w:rPr>
          <w:lang w:val="en-GB"/>
        </w:rPr>
        <w:t>be more effective than</w:t>
      </w:r>
      <w:r w:rsidR="00064666" w:rsidRPr="00E03410">
        <w:rPr>
          <w:lang w:val="en-GB"/>
        </w:rPr>
        <w:t xml:space="preserve"> </w:t>
      </w:r>
      <w:r w:rsidR="00043E9A" w:rsidRPr="00E03410">
        <w:rPr>
          <w:lang w:val="en-GB"/>
        </w:rPr>
        <w:t xml:space="preserve">PDC, especially in patients without brain metastases. </w:t>
      </w:r>
      <w:r w:rsidR="000301CB" w:rsidRPr="00E03410">
        <w:rPr>
          <w:lang w:val="en-GB"/>
        </w:rPr>
        <w:t>To correct this, the ERG suggested reduc</w:t>
      </w:r>
      <w:r w:rsidR="00064666" w:rsidRPr="00E03410">
        <w:rPr>
          <w:lang w:val="en-GB"/>
        </w:rPr>
        <w:t>ing</w:t>
      </w:r>
      <w:r w:rsidR="000301CB" w:rsidRPr="00E03410">
        <w:rPr>
          <w:lang w:val="en-GB"/>
        </w:rPr>
        <w:t xml:space="preserve"> the company’s log </w:t>
      </w:r>
      <w:r w:rsidR="00064666" w:rsidRPr="0006437E">
        <w:rPr>
          <w:lang w:val="en-GB"/>
        </w:rPr>
        <w:t xml:space="preserve">hazard ratio </w:t>
      </w:r>
      <w:r w:rsidR="000301CB" w:rsidRPr="0006437E">
        <w:rPr>
          <w:lang w:val="en-GB"/>
        </w:rPr>
        <w:t xml:space="preserve">adjustment to the ABCP curve for </w:t>
      </w:r>
      <w:r w:rsidR="00064666" w:rsidRPr="0006437E">
        <w:rPr>
          <w:lang w:val="en-GB"/>
        </w:rPr>
        <w:t xml:space="preserve">overall survival by 25% </w:t>
      </w:r>
      <w:r w:rsidR="009D35E3" w:rsidRPr="00C9203C">
        <w:rPr>
          <w:lang w:val="en-GB"/>
        </w:rPr>
        <w:t>to</w:t>
      </w:r>
      <w:r w:rsidR="000301CB" w:rsidRPr="00C9203C">
        <w:rPr>
          <w:lang w:val="en-GB"/>
        </w:rPr>
        <w:t xml:space="preserve"> improve clinical plausibility relative to </w:t>
      </w:r>
      <w:r w:rsidR="00314C74">
        <w:rPr>
          <w:lang w:val="en-GB"/>
        </w:rPr>
        <w:t xml:space="preserve">the overall survival curve for </w:t>
      </w:r>
      <w:r w:rsidR="000301CB" w:rsidRPr="00C9203C">
        <w:rPr>
          <w:lang w:val="en-GB"/>
        </w:rPr>
        <w:t>PDC</w:t>
      </w:r>
      <w:r w:rsidR="000301CB" w:rsidRPr="004E4959">
        <w:rPr>
          <w:lang w:val="en-GB"/>
        </w:rPr>
        <w:t xml:space="preserve">. </w:t>
      </w:r>
      <w:r w:rsidR="00C84AD6">
        <w:rPr>
          <w:lang w:val="en-GB"/>
        </w:rPr>
        <w:t>The exact hazard ratios were considered academic in confidence by the company and cannot be reported here</w:t>
      </w:r>
      <w:r w:rsidR="00C84AD6" w:rsidRPr="00C72770">
        <w:rPr>
          <w:lang w:val="en-GB"/>
        </w:rPr>
        <w:t xml:space="preserve">. </w:t>
      </w:r>
      <w:r w:rsidR="000301CB" w:rsidRPr="004E4959">
        <w:rPr>
          <w:lang w:val="en-GB"/>
        </w:rPr>
        <w:t>The committee agreed with the ERG that</w:t>
      </w:r>
      <w:r w:rsidR="001E2E79" w:rsidRPr="00925E27">
        <w:rPr>
          <w:lang w:val="en-GB"/>
        </w:rPr>
        <w:t xml:space="preserve"> the company’s </w:t>
      </w:r>
      <w:r w:rsidR="009D35E3" w:rsidRPr="00925E27">
        <w:rPr>
          <w:lang w:val="en-GB"/>
        </w:rPr>
        <w:t xml:space="preserve">log </w:t>
      </w:r>
      <w:r w:rsidR="00A07A8D">
        <w:rPr>
          <w:lang w:val="en-GB"/>
        </w:rPr>
        <w:t>hazard ratio</w:t>
      </w:r>
      <w:r w:rsidR="00A07A8D" w:rsidRPr="00E103C0">
        <w:rPr>
          <w:lang w:val="en-GB"/>
        </w:rPr>
        <w:t xml:space="preserve"> </w:t>
      </w:r>
      <w:r w:rsidR="001E2E79" w:rsidRPr="00E103C0">
        <w:rPr>
          <w:lang w:val="en-GB"/>
        </w:rPr>
        <w:t xml:space="preserve">adjustment of the ABCP curve </w:t>
      </w:r>
      <w:r w:rsidR="00064666" w:rsidRPr="00E103C0">
        <w:rPr>
          <w:lang w:val="en-GB"/>
        </w:rPr>
        <w:t>wa</w:t>
      </w:r>
      <w:r w:rsidR="001E2E79" w:rsidRPr="00552D0F">
        <w:rPr>
          <w:lang w:val="en-GB"/>
        </w:rPr>
        <w:t>s uncertain and that</w:t>
      </w:r>
      <w:r w:rsidR="000301CB" w:rsidRPr="005C3356">
        <w:rPr>
          <w:lang w:val="en-GB"/>
        </w:rPr>
        <w:t xml:space="preserve"> th</w:t>
      </w:r>
      <w:r w:rsidR="001E2E79" w:rsidRPr="00EB3220">
        <w:rPr>
          <w:lang w:val="en-GB"/>
        </w:rPr>
        <w:t>e</w:t>
      </w:r>
      <w:r w:rsidR="000301CB" w:rsidRPr="00B317E6">
        <w:rPr>
          <w:lang w:val="en-GB"/>
        </w:rPr>
        <w:t xml:space="preserve"> </w:t>
      </w:r>
      <w:r w:rsidR="009D35E3" w:rsidRPr="00B317E6">
        <w:rPr>
          <w:lang w:val="en-GB"/>
        </w:rPr>
        <w:t xml:space="preserve">ERG’s </w:t>
      </w:r>
      <w:bookmarkStart w:id="3" w:name="_Hlk29574983"/>
      <w:r w:rsidR="000301CB" w:rsidRPr="00BD12DE">
        <w:rPr>
          <w:lang w:val="en-GB"/>
        </w:rPr>
        <w:t xml:space="preserve">25% </w:t>
      </w:r>
      <w:r w:rsidR="009D35E3" w:rsidRPr="00F51A96">
        <w:rPr>
          <w:lang w:val="en-GB"/>
        </w:rPr>
        <w:t xml:space="preserve">reduction </w:t>
      </w:r>
      <w:r w:rsidR="00646DCB" w:rsidRPr="003F7A94">
        <w:rPr>
          <w:lang w:val="en-GB"/>
        </w:rPr>
        <w:t>to</w:t>
      </w:r>
      <w:r w:rsidR="009D35E3" w:rsidRPr="009134F4">
        <w:rPr>
          <w:lang w:val="en-GB"/>
        </w:rPr>
        <w:t xml:space="preserve"> </w:t>
      </w:r>
      <w:r w:rsidR="00646DCB" w:rsidRPr="009134F4">
        <w:rPr>
          <w:lang w:val="en-GB"/>
        </w:rPr>
        <w:t>this</w:t>
      </w:r>
      <w:r w:rsidR="000301CB" w:rsidRPr="00594AEB">
        <w:rPr>
          <w:lang w:val="en-GB"/>
        </w:rPr>
        <w:t xml:space="preserve"> adjustment </w:t>
      </w:r>
      <w:r w:rsidR="0031309A" w:rsidRPr="008B2E3A">
        <w:rPr>
          <w:lang w:val="en-GB"/>
        </w:rPr>
        <w:t xml:space="preserve">seemed </w:t>
      </w:r>
      <w:r w:rsidR="00C9203C">
        <w:rPr>
          <w:lang w:val="en-GB"/>
        </w:rPr>
        <w:t>more</w:t>
      </w:r>
      <w:r w:rsidR="001E2E79" w:rsidRPr="00C9203C">
        <w:rPr>
          <w:lang w:val="en-GB"/>
        </w:rPr>
        <w:t xml:space="preserve"> </w:t>
      </w:r>
      <w:r w:rsidR="009D35E3" w:rsidRPr="00C9203C">
        <w:rPr>
          <w:lang w:val="en-GB"/>
        </w:rPr>
        <w:t>clinical</w:t>
      </w:r>
      <w:r w:rsidR="00C9203C">
        <w:rPr>
          <w:lang w:val="en-GB"/>
        </w:rPr>
        <w:t>ly</w:t>
      </w:r>
      <w:r w:rsidR="009D35E3" w:rsidRPr="00C9203C">
        <w:rPr>
          <w:lang w:val="en-GB"/>
        </w:rPr>
        <w:t xml:space="preserve"> </w:t>
      </w:r>
      <w:r w:rsidR="001E2E79" w:rsidRPr="00C9203C">
        <w:rPr>
          <w:lang w:val="en-GB"/>
        </w:rPr>
        <w:t>plausib</w:t>
      </w:r>
      <w:r w:rsidR="00C9203C">
        <w:rPr>
          <w:lang w:val="en-GB"/>
        </w:rPr>
        <w:t>le</w:t>
      </w:r>
      <w:r w:rsidR="001E2E79" w:rsidRPr="00C9203C">
        <w:rPr>
          <w:lang w:val="en-GB"/>
        </w:rPr>
        <w:t xml:space="preserve"> </w:t>
      </w:r>
      <w:r w:rsidR="00C9203C">
        <w:rPr>
          <w:lang w:val="en-GB"/>
        </w:rPr>
        <w:t>for</w:t>
      </w:r>
      <w:r w:rsidR="000301CB" w:rsidRPr="00C9203C">
        <w:rPr>
          <w:lang w:val="en-GB"/>
        </w:rPr>
        <w:t xml:space="preserve"> ABCP </w:t>
      </w:r>
      <w:r w:rsidR="00064666" w:rsidRPr="00C9203C">
        <w:rPr>
          <w:lang w:val="en-GB"/>
        </w:rPr>
        <w:t xml:space="preserve">overall survival </w:t>
      </w:r>
      <w:r w:rsidR="00A104E5" w:rsidRPr="00C9203C">
        <w:rPr>
          <w:lang w:val="en-GB"/>
        </w:rPr>
        <w:t xml:space="preserve">relative to PDC </w:t>
      </w:r>
      <w:bookmarkEnd w:id="3"/>
      <w:r w:rsidR="00064666" w:rsidRPr="00C9203C">
        <w:rPr>
          <w:lang w:val="en-GB"/>
        </w:rPr>
        <w:t xml:space="preserve">overall survival </w:t>
      </w:r>
      <w:r w:rsidR="00A104E5" w:rsidRPr="00C9203C">
        <w:rPr>
          <w:lang w:val="en-GB"/>
        </w:rPr>
        <w:t>in the model</w:t>
      </w:r>
      <w:r w:rsidR="000301CB" w:rsidRPr="00C9203C">
        <w:rPr>
          <w:lang w:val="en-GB"/>
        </w:rPr>
        <w:t>.</w:t>
      </w:r>
    </w:p>
    <w:p w14:paraId="07B9928A" w14:textId="2BC1290B" w:rsidR="00946995" w:rsidRPr="00C72770" w:rsidRDefault="00946995" w:rsidP="00946995">
      <w:pPr>
        <w:pStyle w:val="Heading2"/>
      </w:pPr>
      <w:r w:rsidRPr="00C72770">
        <w:t>Overall survival</w:t>
      </w:r>
    </w:p>
    <w:p w14:paraId="2C505986" w14:textId="2EF9C18C" w:rsidR="00946995" w:rsidRPr="00C72770" w:rsidRDefault="00946995" w:rsidP="00946995">
      <w:pPr>
        <w:pStyle w:val="Heading3"/>
      </w:pPr>
      <w:r w:rsidRPr="00C72770">
        <w:t>10</w:t>
      </w:r>
      <w:r w:rsidR="007E3954" w:rsidRPr="00C72770">
        <w:t>-</w:t>
      </w:r>
      <w:r w:rsidRPr="00C72770">
        <w:t>year survival in this population is uncertain</w:t>
      </w:r>
    </w:p>
    <w:p w14:paraId="372484FE" w14:textId="0654C705" w:rsidR="00946995" w:rsidRPr="00C72770" w:rsidRDefault="007E3954" w:rsidP="00946995">
      <w:pPr>
        <w:pStyle w:val="Numberedlevel2text"/>
        <w:rPr>
          <w:lang w:val="en-GB"/>
        </w:rPr>
      </w:pPr>
      <w:r w:rsidRPr="00C72770">
        <w:rPr>
          <w:lang w:val="en-GB"/>
        </w:rPr>
        <w:t xml:space="preserve">To derive long-term </w:t>
      </w:r>
      <w:r w:rsidR="0035062F">
        <w:rPr>
          <w:lang w:val="en-GB"/>
        </w:rPr>
        <w:t>overall survival</w:t>
      </w:r>
      <w:r w:rsidR="0035062F" w:rsidRPr="00C72770">
        <w:rPr>
          <w:lang w:val="en-GB"/>
        </w:rPr>
        <w:t xml:space="preserve"> </w:t>
      </w:r>
      <w:r w:rsidRPr="00C72770">
        <w:rPr>
          <w:lang w:val="en-GB"/>
        </w:rPr>
        <w:t xml:space="preserve">for lorlatinib, parametric curves were fitted to the lorlatinib </w:t>
      </w:r>
      <w:r w:rsidR="0035062F">
        <w:rPr>
          <w:lang w:val="en-GB"/>
        </w:rPr>
        <w:t>overall survival</w:t>
      </w:r>
      <w:r w:rsidR="0035062F" w:rsidRPr="00C72770">
        <w:rPr>
          <w:lang w:val="en-GB"/>
        </w:rPr>
        <w:t xml:space="preserve"> </w:t>
      </w:r>
      <w:r w:rsidRPr="00C72770">
        <w:rPr>
          <w:lang w:val="en-GB"/>
        </w:rPr>
        <w:t xml:space="preserve">data taken from the EXP-3B:5 cohort from </w:t>
      </w:r>
      <w:r w:rsidR="0079498D">
        <w:rPr>
          <w:lang w:val="en-GB"/>
        </w:rPr>
        <w:t>s</w:t>
      </w:r>
      <w:r w:rsidRPr="00C72770">
        <w:rPr>
          <w:lang w:val="en-GB"/>
        </w:rPr>
        <w:t>tudy</w:t>
      </w:r>
      <w:r w:rsidR="004E4959">
        <w:rPr>
          <w:lang w:val="en-GB"/>
        </w:rPr>
        <w:t> </w:t>
      </w:r>
      <w:r w:rsidRPr="00C72770">
        <w:rPr>
          <w:lang w:val="en-GB"/>
        </w:rPr>
        <w:t xml:space="preserve">1001. </w:t>
      </w:r>
      <w:r w:rsidR="0035062F">
        <w:rPr>
          <w:lang w:val="en-GB"/>
        </w:rPr>
        <w:t>T</w:t>
      </w:r>
      <w:r w:rsidRPr="00C72770">
        <w:rPr>
          <w:lang w:val="en-GB"/>
        </w:rPr>
        <w:t>he exponential curve had the best</w:t>
      </w:r>
      <w:r w:rsidR="00814389">
        <w:rPr>
          <w:lang w:val="en-GB"/>
        </w:rPr>
        <w:t xml:space="preserve"> statistical</w:t>
      </w:r>
      <w:r w:rsidRPr="00C72770">
        <w:rPr>
          <w:lang w:val="en-GB"/>
        </w:rPr>
        <w:t xml:space="preserve"> fit, </w:t>
      </w:r>
      <w:r w:rsidR="0035062F">
        <w:rPr>
          <w:lang w:val="en-GB"/>
        </w:rPr>
        <w:t xml:space="preserve">but </w:t>
      </w:r>
      <w:r w:rsidRPr="00C72770">
        <w:rPr>
          <w:lang w:val="en-GB"/>
        </w:rPr>
        <w:t>the generalised gamma curve was selected as a compromise between the exponential curve and the log</w:t>
      </w:r>
      <w:r w:rsidR="0031309A" w:rsidRPr="00C72770">
        <w:rPr>
          <w:lang w:val="en-GB"/>
        </w:rPr>
        <w:noBreakHyphen/>
      </w:r>
      <w:r w:rsidRPr="00C72770">
        <w:rPr>
          <w:lang w:val="en-GB"/>
        </w:rPr>
        <w:t>normal curve preferred by the company’s clinical experts</w:t>
      </w:r>
      <w:r w:rsidR="00677B69">
        <w:rPr>
          <w:lang w:val="en-GB"/>
        </w:rPr>
        <w:t xml:space="preserve"> based on the 10-year survival predictions</w:t>
      </w:r>
      <w:r w:rsidR="00E65687">
        <w:rPr>
          <w:lang w:val="en-GB"/>
        </w:rPr>
        <w:t>. T</w:t>
      </w:r>
      <w:r w:rsidR="00677B69">
        <w:rPr>
          <w:lang w:val="en-GB"/>
        </w:rPr>
        <w:t xml:space="preserve">he exact </w:t>
      </w:r>
      <w:r w:rsidR="00E65687">
        <w:rPr>
          <w:lang w:val="en-GB"/>
        </w:rPr>
        <w:t xml:space="preserve">overall survival </w:t>
      </w:r>
      <w:r w:rsidR="00677B69">
        <w:rPr>
          <w:lang w:val="en-GB"/>
        </w:rPr>
        <w:t xml:space="preserve">values </w:t>
      </w:r>
      <w:r w:rsidR="0079498D">
        <w:rPr>
          <w:lang w:val="en-GB"/>
        </w:rPr>
        <w:t>were</w:t>
      </w:r>
      <w:r w:rsidR="00677B69">
        <w:rPr>
          <w:lang w:val="en-GB"/>
        </w:rPr>
        <w:t xml:space="preserve"> </w:t>
      </w:r>
      <w:r w:rsidR="001729F8">
        <w:rPr>
          <w:lang w:val="en-GB"/>
        </w:rPr>
        <w:t xml:space="preserve">considered </w:t>
      </w:r>
      <w:r w:rsidR="00677B69">
        <w:rPr>
          <w:lang w:val="en-GB"/>
        </w:rPr>
        <w:t xml:space="preserve">academic in confidence by the company and </w:t>
      </w:r>
      <w:r w:rsidR="00126D25">
        <w:rPr>
          <w:lang w:val="en-GB"/>
        </w:rPr>
        <w:t>can</w:t>
      </w:r>
      <w:r w:rsidR="00677B69">
        <w:rPr>
          <w:lang w:val="en-GB"/>
        </w:rPr>
        <w:t>not be reported here</w:t>
      </w:r>
      <w:r w:rsidRPr="00C72770">
        <w:rPr>
          <w:lang w:val="en-GB"/>
        </w:rPr>
        <w:t>.</w:t>
      </w:r>
      <w:r w:rsidR="00B0364C" w:rsidRPr="00C72770">
        <w:rPr>
          <w:lang w:val="en-GB"/>
        </w:rPr>
        <w:t xml:space="preserve"> The clinical expert consulted by the ERG considered that </w:t>
      </w:r>
      <w:r w:rsidR="00B0364C" w:rsidRPr="00D00F1F">
        <w:rPr>
          <w:lang w:val="en-GB"/>
        </w:rPr>
        <w:t>10</w:t>
      </w:r>
      <w:r w:rsidR="00B0364C" w:rsidRPr="00C72770">
        <w:rPr>
          <w:lang w:val="en-GB"/>
        </w:rPr>
        <w:t>% projected survival at 10</w:t>
      </w:r>
      <w:r w:rsidR="0035062F">
        <w:rPr>
          <w:lang w:val="en-GB"/>
        </w:rPr>
        <w:t> </w:t>
      </w:r>
      <w:r w:rsidR="00B0364C" w:rsidRPr="00C72770">
        <w:rPr>
          <w:lang w:val="en-GB"/>
        </w:rPr>
        <w:t xml:space="preserve">years would be too optimistic and </w:t>
      </w:r>
      <w:r w:rsidR="00B0364C" w:rsidRPr="00D00F1F">
        <w:rPr>
          <w:lang w:val="en-GB"/>
        </w:rPr>
        <w:t>2</w:t>
      </w:r>
      <w:r w:rsidR="00B0364C" w:rsidRPr="00C72770">
        <w:rPr>
          <w:lang w:val="en-GB"/>
        </w:rPr>
        <w:t>% would be more plausible. The clinical experts</w:t>
      </w:r>
      <w:r w:rsidR="00677B69">
        <w:rPr>
          <w:lang w:val="en-GB"/>
        </w:rPr>
        <w:t xml:space="preserve"> at the </w:t>
      </w:r>
      <w:r w:rsidR="00677B69">
        <w:rPr>
          <w:lang w:val="en-GB"/>
        </w:rPr>
        <w:lastRenderedPageBreak/>
        <w:t>meeting</w:t>
      </w:r>
      <w:r w:rsidR="00B0364C" w:rsidRPr="00C72770">
        <w:rPr>
          <w:lang w:val="en-GB"/>
        </w:rPr>
        <w:t xml:space="preserve"> confirmed that predicting 10</w:t>
      </w:r>
      <w:r w:rsidR="0031309A" w:rsidRPr="00C72770">
        <w:rPr>
          <w:lang w:val="en-GB"/>
        </w:rPr>
        <w:noBreakHyphen/>
      </w:r>
      <w:r w:rsidR="00B0364C" w:rsidRPr="00C72770">
        <w:rPr>
          <w:lang w:val="en-GB"/>
        </w:rPr>
        <w:t xml:space="preserve">year survival in small populations with a very high incidence of brain metastases </w:t>
      </w:r>
      <w:r w:rsidR="0035062F">
        <w:rPr>
          <w:lang w:val="en-GB"/>
        </w:rPr>
        <w:t>was</w:t>
      </w:r>
      <w:r w:rsidR="00B0364C" w:rsidRPr="00C72770">
        <w:rPr>
          <w:lang w:val="en-GB"/>
        </w:rPr>
        <w:t xml:space="preserve"> highly uncertain </w:t>
      </w:r>
      <w:r w:rsidR="0035062F">
        <w:rPr>
          <w:lang w:val="en-GB"/>
        </w:rPr>
        <w:t>because of</w:t>
      </w:r>
      <w:r w:rsidR="00B0364C" w:rsidRPr="00C72770">
        <w:rPr>
          <w:lang w:val="en-GB"/>
        </w:rPr>
        <w:t xml:space="preserve"> a lack of reliable evidence. </w:t>
      </w:r>
      <w:r w:rsidR="00CF7B57" w:rsidRPr="00C72770">
        <w:rPr>
          <w:lang w:val="en-GB"/>
        </w:rPr>
        <w:t xml:space="preserve">The committee heard that, in the absence of biomarkers for disease progression, brain metastases </w:t>
      </w:r>
      <w:r w:rsidR="0035062F">
        <w:rPr>
          <w:lang w:val="en-GB"/>
        </w:rPr>
        <w:t>were</w:t>
      </w:r>
      <w:r w:rsidR="0035062F" w:rsidRPr="00C72770">
        <w:rPr>
          <w:lang w:val="en-GB"/>
        </w:rPr>
        <w:t xml:space="preserve"> </w:t>
      </w:r>
      <w:r w:rsidR="00CF7B57" w:rsidRPr="00C72770">
        <w:rPr>
          <w:lang w:val="en-GB"/>
        </w:rPr>
        <w:t>the most reliable predictor of survival in patients with advanced ALK-positive NSCLC, and these patients w</w:t>
      </w:r>
      <w:r w:rsidR="00BF0217">
        <w:rPr>
          <w:lang w:val="en-GB"/>
        </w:rPr>
        <w:t>ould</w:t>
      </w:r>
      <w:r w:rsidR="00CF7B57" w:rsidRPr="00C72770">
        <w:rPr>
          <w:lang w:val="en-GB"/>
        </w:rPr>
        <w:t xml:space="preserve"> be expected to survive </w:t>
      </w:r>
      <w:r w:rsidR="00BF0217">
        <w:rPr>
          <w:lang w:val="en-GB"/>
        </w:rPr>
        <w:t xml:space="preserve">only </w:t>
      </w:r>
      <w:r w:rsidR="00CF7B57" w:rsidRPr="00C72770">
        <w:rPr>
          <w:lang w:val="en-GB"/>
        </w:rPr>
        <w:t xml:space="preserve">for a few months. </w:t>
      </w:r>
      <w:r w:rsidR="00B3344D" w:rsidRPr="00B3344D">
        <w:rPr>
          <w:lang w:val="en-GB"/>
        </w:rPr>
        <w:t xml:space="preserve">The committee noted that </w:t>
      </w:r>
      <w:r w:rsidR="003219F2">
        <w:rPr>
          <w:lang w:val="en-GB"/>
        </w:rPr>
        <w:t xml:space="preserve">66.9% of </w:t>
      </w:r>
      <w:r w:rsidR="00B3344D" w:rsidRPr="00B3344D">
        <w:rPr>
          <w:lang w:val="en-GB"/>
        </w:rPr>
        <w:t>the pooled cohort EXP-3B:5 from study</w:t>
      </w:r>
      <w:r w:rsidR="003219F2">
        <w:rPr>
          <w:lang w:val="en-GB"/>
        </w:rPr>
        <w:t> </w:t>
      </w:r>
      <w:r w:rsidR="00B3344D" w:rsidRPr="00B3344D">
        <w:rPr>
          <w:lang w:val="en-GB"/>
        </w:rPr>
        <w:t xml:space="preserve">1001 and </w:t>
      </w:r>
      <w:r w:rsidR="003219F2">
        <w:rPr>
          <w:lang w:val="en-GB"/>
        </w:rPr>
        <w:t xml:space="preserve">80.4% of </w:t>
      </w:r>
      <w:r w:rsidR="00B3344D" w:rsidRPr="00B3344D">
        <w:rPr>
          <w:lang w:val="en-GB"/>
        </w:rPr>
        <w:t>cohort EXP-5 (3 or more prior ALK TKI therapies with or without any number of prior chemotherapy regimens)</w:t>
      </w:r>
      <w:r w:rsidR="003219F2">
        <w:rPr>
          <w:lang w:val="en-GB"/>
        </w:rPr>
        <w:t xml:space="preserve"> </w:t>
      </w:r>
      <w:r w:rsidR="003219F2" w:rsidRPr="00B3344D">
        <w:rPr>
          <w:lang w:val="en-GB"/>
        </w:rPr>
        <w:t>had brain metastases at baseline</w:t>
      </w:r>
      <w:r w:rsidR="00B3344D" w:rsidRPr="00B3344D">
        <w:rPr>
          <w:lang w:val="en-GB"/>
        </w:rPr>
        <w:t xml:space="preserve">. </w:t>
      </w:r>
      <w:r w:rsidR="0048701D">
        <w:rPr>
          <w:lang w:val="en-GB"/>
        </w:rPr>
        <w:t>The</w:t>
      </w:r>
      <w:r w:rsidR="00CF7B57" w:rsidRPr="00C72770">
        <w:rPr>
          <w:lang w:val="en-GB"/>
        </w:rPr>
        <w:t xml:space="preserve"> clinical experts </w:t>
      </w:r>
      <w:r w:rsidR="006A18BB" w:rsidRPr="00C72770">
        <w:rPr>
          <w:lang w:val="en-GB"/>
        </w:rPr>
        <w:t xml:space="preserve">at the meeting </w:t>
      </w:r>
      <w:r w:rsidR="00CF7B57" w:rsidRPr="00C72770">
        <w:rPr>
          <w:lang w:val="en-GB"/>
        </w:rPr>
        <w:t xml:space="preserve">agreed that </w:t>
      </w:r>
      <w:r w:rsidR="00CF7B57" w:rsidRPr="00D00F1F">
        <w:rPr>
          <w:lang w:val="en-GB"/>
        </w:rPr>
        <w:t>10</w:t>
      </w:r>
      <w:r w:rsidR="00CF7B57" w:rsidRPr="00C72770">
        <w:rPr>
          <w:lang w:val="en-GB"/>
        </w:rPr>
        <w:t xml:space="preserve">% </w:t>
      </w:r>
      <w:r w:rsidR="0031309A" w:rsidRPr="00C72770">
        <w:rPr>
          <w:lang w:val="en-GB"/>
        </w:rPr>
        <w:t>projected survival at 10</w:t>
      </w:r>
      <w:r w:rsidR="0035062F">
        <w:rPr>
          <w:lang w:val="en-GB"/>
        </w:rPr>
        <w:t> </w:t>
      </w:r>
      <w:r w:rsidR="0031309A" w:rsidRPr="00C72770">
        <w:rPr>
          <w:lang w:val="en-GB"/>
        </w:rPr>
        <w:t xml:space="preserve">years for this population </w:t>
      </w:r>
      <w:r w:rsidR="00CF7B57" w:rsidRPr="00C72770">
        <w:rPr>
          <w:lang w:val="en-GB"/>
        </w:rPr>
        <w:t xml:space="preserve">was too high, </w:t>
      </w:r>
      <w:r w:rsidR="0031309A" w:rsidRPr="00C72770">
        <w:rPr>
          <w:lang w:val="en-GB"/>
        </w:rPr>
        <w:t xml:space="preserve">and </w:t>
      </w:r>
      <w:r w:rsidR="00CF7B57" w:rsidRPr="00C72770">
        <w:rPr>
          <w:lang w:val="en-GB"/>
        </w:rPr>
        <w:t xml:space="preserve">that lower values </w:t>
      </w:r>
      <w:r w:rsidR="00677B69">
        <w:rPr>
          <w:lang w:val="en-GB"/>
        </w:rPr>
        <w:t>would be</w:t>
      </w:r>
      <w:r w:rsidR="00677B69" w:rsidRPr="00C72770">
        <w:rPr>
          <w:lang w:val="en-GB"/>
        </w:rPr>
        <w:t xml:space="preserve"> </w:t>
      </w:r>
      <w:r w:rsidR="0031309A" w:rsidRPr="00C72770">
        <w:rPr>
          <w:lang w:val="en-GB"/>
        </w:rPr>
        <w:t xml:space="preserve">more </w:t>
      </w:r>
      <w:r w:rsidR="00CF7B57" w:rsidRPr="00C72770">
        <w:rPr>
          <w:lang w:val="en-GB"/>
        </w:rPr>
        <w:t xml:space="preserve">plausible. </w:t>
      </w:r>
      <w:r w:rsidR="008C274B" w:rsidRPr="00C72770">
        <w:rPr>
          <w:lang w:val="en-GB"/>
        </w:rPr>
        <w:t>The committee noted that the</w:t>
      </w:r>
      <w:r w:rsidR="005B0CA3">
        <w:rPr>
          <w:lang w:val="en-GB"/>
        </w:rPr>
        <w:t xml:space="preserve"> incremental cost-effectiveness ratio (</w:t>
      </w:r>
      <w:r w:rsidR="005B0CA3" w:rsidRPr="00C72770">
        <w:rPr>
          <w:lang w:val="en-GB"/>
        </w:rPr>
        <w:t>ICER</w:t>
      </w:r>
      <w:r w:rsidR="005B0CA3">
        <w:rPr>
          <w:lang w:val="en-GB"/>
        </w:rPr>
        <w:t>)</w:t>
      </w:r>
      <w:r w:rsidR="005B0CA3" w:rsidRPr="00C72770">
        <w:rPr>
          <w:lang w:val="en-GB"/>
        </w:rPr>
        <w:t xml:space="preserve"> </w:t>
      </w:r>
      <w:r w:rsidR="005B0CA3">
        <w:rPr>
          <w:lang w:val="en-GB"/>
        </w:rPr>
        <w:t>was sensitive to the choice of curve and that using the</w:t>
      </w:r>
      <w:r w:rsidR="008C274B" w:rsidRPr="00C72770">
        <w:rPr>
          <w:lang w:val="en-GB"/>
        </w:rPr>
        <w:t xml:space="preserve"> exponential curve </w:t>
      </w:r>
      <w:r w:rsidR="00754159">
        <w:rPr>
          <w:lang w:val="en-GB"/>
        </w:rPr>
        <w:t xml:space="preserve">substantially </w:t>
      </w:r>
      <w:r w:rsidR="007F51A2">
        <w:rPr>
          <w:lang w:val="en-GB"/>
        </w:rPr>
        <w:t xml:space="preserve">increased </w:t>
      </w:r>
      <w:r w:rsidR="008C274B" w:rsidRPr="00C72770">
        <w:rPr>
          <w:lang w:val="en-GB"/>
        </w:rPr>
        <w:t>the base</w:t>
      </w:r>
      <w:r w:rsidR="0035062F">
        <w:rPr>
          <w:lang w:val="en-GB"/>
        </w:rPr>
        <w:t>-</w:t>
      </w:r>
      <w:r w:rsidR="008C274B" w:rsidRPr="00C72770">
        <w:rPr>
          <w:lang w:val="en-GB"/>
        </w:rPr>
        <w:t xml:space="preserve">case </w:t>
      </w:r>
      <w:r w:rsidR="005B0CA3">
        <w:rPr>
          <w:lang w:val="en-GB"/>
        </w:rPr>
        <w:t xml:space="preserve">ICER </w:t>
      </w:r>
      <w:r w:rsidR="0031309A" w:rsidRPr="00C72770">
        <w:rPr>
          <w:lang w:val="en-GB"/>
        </w:rPr>
        <w:t>for lorlatinib compared with PDC</w:t>
      </w:r>
      <w:r w:rsidR="0035062F">
        <w:rPr>
          <w:lang w:val="en-GB"/>
        </w:rPr>
        <w:t>. It</w:t>
      </w:r>
      <w:r w:rsidR="006A18BB" w:rsidRPr="00C72770">
        <w:rPr>
          <w:lang w:val="en-GB"/>
        </w:rPr>
        <w:t xml:space="preserve"> </w:t>
      </w:r>
      <w:r w:rsidR="00CF7B57" w:rsidRPr="00C72770">
        <w:rPr>
          <w:lang w:val="en-GB"/>
        </w:rPr>
        <w:t xml:space="preserve">concluded that although the generalised gamma </w:t>
      </w:r>
      <w:r w:rsidR="0035062F">
        <w:rPr>
          <w:lang w:val="en-GB"/>
        </w:rPr>
        <w:t xml:space="preserve">curve </w:t>
      </w:r>
      <w:r w:rsidR="00CF7B57" w:rsidRPr="00C72770">
        <w:rPr>
          <w:lang w:val="en-GB"/>
        </w:rPr>
        <w:t xml:space="preserve">had been agreed at </w:t>
      </w:r>
      <w:r w:rsidR="00BF0217">
        <w:rPr>
          <w:lang w:val="en-GB"/>
        </w:rPr>
        <w:t xml:space="preserve">the </w:t>
      </w:r>
      <w:r w:rsidR="00CF7B57" w:rsidRPr="00C72770">
        <w:rPr>
          <w:lang w:val="en-GB"/>
        </w:rPr>
        <w:t>technical engagement</w:t>
      </w:r>
      <w:r w:rsidR="00BF0217">
        <w:rPr>
          <w:lang w:val="en-GB"/>
        </w:rPr>
        <w:t xml:space="preserve"> stage</w:t>
      </w:r>
      <w:r w:rsidR="00CF7B57" w:rsidRPr="00C72770">
        <w:rPr>
          <w:lang w:val="en-GB"/>
        </w:rPr>
        <w:t xml:space="preserve">, </w:t>
      </w:r>
      <w:r w:rsidR="008C274B" w:rsidRPr="00C72770">
        <w:rPr>
          <w:lang w:val="en-GB"/>
        </w:rPr>
        <w:t>projecti</w:t>
      </w:r>
      <w:r w:rsidR="007F51A2">
        <w:rPr>
          <w:lang w:val="en-GB"/>
        </w:rPr>
        <w:t>ng</w:t>
      </w:r>
      <w:r w:rsidR="008C274B" w:rsidRPr="00C72770">
        <w:rPr>
          <w:lang w:val="en-GB"/>
        </w:rPr>
        <w:t xml:space="preserve"> 10-year survival in this population remain</w:t>
      </w:r>
      <w:r w:rsidR="00BF0217">
        <w:rPr>
          <w:lang w:val="en-GB"/>
        </w:rPr>
        <w:t>ed</w:t>
      </w:r>
      <w:r w:rsidR="008C274B" w:rsidRPr="00C72770">
        <w:rPr>
          <w:lang w:val="en-GB"/>
        </w:rPr>
        <w:t xml:space="preserve"> highly uncertain</w:t>
      </w:r>
      <w:r w:rsidR="00677B69">
        <w:rPr>
          <w:lang w:val="en-GB"/>
        </w:rPr>
        <w:t xml:space="preserve"> and it would take this uncertainty into account in its decision</w:t>
      </w:r>
      <w:r w:rsidR="003C4418">
        <w:rPr>
          <w:lang w:val="en-GB"/>
        </w:rPr>
        <w:t xml:space="preserve"> </w:t>
      </w:r>
      <w:r w:rsidR="00677B69">
        <w:rPr>
          <w:lang w:val="en-GB"/>
        </w:rPr>
        <w:t>making</w:t>
      </w:r>
      <w:r w:rsidR="008C274B" w:rsidRPr="00C72770">
        <w:rPr>
          <w:lang w:val="en-GB"/>
        </w:rPr>
        <w:t>.</w:t>
      </w:r>
    </w:p>
    <w:p w14:paraId="209AA9AC" w14:textId="589B32B8" w:rsidR="009F3C9C" w:rsidRPr="00C72770" w:rsidRDefault="006B5C16" w:rsidP="006B5C16">
      <w:pPr>
        <w:pStyle w:val="Heading2"/>
      </w:pPr>
      <w:r w:rsidRPr="00C72770">
        <w:t>Indirect treatment comparison</w:t>
      </w:r>
      <w:r w:rsidR="005C3356">
        <w:t>s</w:t>
      </w:r>
    </w:p>
    <w:p w14:paraId="3EDC1917" w14:textId="54F5B1F5" w:rsidR="006B5C16" w:rsidRPr="00C72770" w:rsidRDefault="006B5C16" w:rsidP="006B5C16">
      <w:pPr>
        <w:pStyle w:val="Heading3"/>
      </w:pPr>
      <w:r w:rsidRPr="00C72770">
        <w:t xml:space="preserve">The results of the </w:t>
      </w:r>
      <w:r w:rsidR="00CD1A99" w:rsidRPr="00C72770">
        <w:t>indirect treatment comparison</w:t>
      </w:r>
      <w:r w:rsidR="005C3356">
        <w:t>s</w:t>
      </w:r>
      <w:r w:rsidRPr="00C72770">
        <w:t xml:space="preserve"> are uncertain</w:t>
      </w:r>
    </w:p>
    <w:p w14:paraId="648D6D8B" w14:textId="780383D8" w:rsidR="00E103C0" w:rsidRDefault="006B5C16" w:rsidP="00C80E5E">
      <w:pPr>
        <w:pStyle w:val="Numberedlevel2text"/>
        <w:rPr>
          <w:lang w:val="en-GB"/>
        </w:rPr>
      </w:pPr>
      <w:r w:rsidRPr="00C72770">
        <w:rPr>
          <w:lang w:val="en-GB"/>
        </w:rPr>
        <w:t xml:space="preserve">The company did an unanchored MAIC </w:t>
      </w:r>
      <w:r w:rsidR="00E103C0">
        <w:rPr>
          <w:lang w:val="en-GB"/>
        </w:rPr>
        <w:t>(</w:t>
      </w:r>
      <w:r w:rsidRPr="00C72770">
        <w:rPr>
          <w:lang w:val="en-GB"/>
        </w:rPr>
        <w:t>as recommended</w:t>
      </w:r>
      <w:r w:rsidR="006D26FD">
        <w:rPr>
          <w:lang w:val="en-GB"/>
        </w:rPr>
        <w:t xml:space="preserve"> </w:t>
      </w:r>
      <w:r w:rsidR="003B79B2">
        <w:rPr>
          <w:lang w:val="en-GB"/>
        </w:rPr>
        <w:t>in</w:t>
      </w:r>
      <w:r w:rsidRPr="00C72770">
        <w:rPr>
          <w:lang w:val="en-GB"/>
        </w:rPr>
        <w:t xml:space="preserve"> </w:t>
      </w:r>
      <w:r w:rsidR="00E103C0">
        <w:rPr>
          <w:lang w:val="en-GB"/>
        </w:rPr>
        <w:t xml:space="preserve">the </w:t>
      </w:r>
      <w:hyperlink r:id="rId12" w:history="1">
        <w:r w:rsidR="006D26FD" w:rsidRPr="006D26FD">
          <w:rPr>
            <w:rStyle w:val="Hyperlink"/>
            <w:lang w:val="en-GB"/>
          </w:rPr>
          <w:t>NICE Decision Support Unit technical support document 18</w:t>
        </w:r>
      </w:hyperlink>
      <w:r w:rsidR="006D26FD">
        <w:rPr>
          <w:lang w:val="en-GB"/>
        </w:rPr>
        <w:t>)</w:t>
      </w:r>
      <w:r w:rsidRPr="00C72770">
        <w:rPr>
          <w:lang w:val="en-GB"/>
        </w:rPr>
        <w:t>, to compare the single</w:t>
      </w:r>
      <w:r w:rsidR="006D26FD">
        <w:rPr>
          <w:lang w:val="en-GB"/>
        </w:rPr>
        <w:t>-</w:t>
      </w:r>
      <w:r w:rsidRPr="00C72770">
        <w:rPr>
          <w:lang w:val="en-GB"/>
        </w:rPr>
        <w:t xml:space="preserve">arm trial data for lorlatinib with trial data for PDC. </w:t>
      </w:r>
      <w:r w:rsidR="00ED22F8" w:rsidRPr="00C72770">
        <w:rPr>
          <w:lang w:val="en-GB"/>
        </w:rPr>
        <w:t>The com</w:t>
      </w:r>
      <w:r w:rsidR="006D26FD">
        <w:rPr>
          <w:lang w:val="en-GB"/>
        </w:rPr>
        <w:t>pany chose</w:t>
      </w:r>
      <w:r w:rsidR="00ED22F8" w:rsidRPr="00C72770">
        <w:rPr>
          <w:lang w:val="en-GB"/>
        </w:rPr>
        <w:t xml:space="preserve"> 4</w:t>
      </w:r>
      <w:r w:rsidR="0031309A" w:rsidRPr="00C72770">
        <w:rPr>
          <w:lang w:val="en-GB"/>
        </w:rPr>
        <w:t> </w:t>
      </w:r>
      <w:r w:rsidR="00ED22F8" w:rsidRPr="00C72770">
        <w:rPr>
          <w:lang w:val="en-GB"/>
        </w:rPr>
        <w:t>variables for matching:</w:t>
      </w:r>
    </w:p>
    <w:p w14:paraId="299B92A7" w14:textId="6624EA42" w:rsidR="00E103C0" w:rsidRDefault="00ED22F8" w:rsidP="00E103C0">
      <w:pPr>
        <w:pStyle w:val="Bulletindent1"/>
      </w:pPr>
      <w:r w:rsidRPr="00C72770">
        <w:t>Eastern Cooperative Oncology Group (ECOG) performance status (0</w:t>
      </w:r>
      <w:r w:rsidR="006D26FD">
        <w:t xml:space="preserve"> </w:t>
      </w:r>
      <w:r w:rsidR="008B0D24">
        <w:t xml:space="preserve">and </w:t>
      </w:r>
      <w:r w:rsidRPr="00C72770">
        <w:t xml:space="preserve">1 </w:t>
      </w:r>
      <w:r w:rsidR="00503301">
        <w:t>or</w:t>
      </w:r>
      <w:r w:rsidR="006D26FD" w:rsidRPr="00C72770">
        <w:t xml:space="preserve"> </w:t>
      </w:r>
      <w:r w:rsidR="00503301">
        <w:t>more</w:t>
      </w:r>
      <w:r w:rsidR="006D26FD">
        <w:t xml:space="preserve"> than </w:t>
      </w:r>
      <w:r w:rsidRPr="00C72770">
        <w:t>1)</w:t>
      </w:r>
    </w:p>
    <w:p w14:paraId="6334A0E0" w14:textId="42A9D108" w:rsidR="00E103C0" w:rsidRDefault="00ED22F8" w:rsidP="00E103C0">
      <w:pPr>
        <w:pStyle w:val="Bulletindent1"/>
      </w:pPr>
      <w:r w:rsidRPr="00C72770">
        <w:t xml:space="preserve">brain metastases (yes </w:t>
      </w:r>
      <w:r w:rsidR="006D26FD">
        <w:t>or</w:t>
      </w:r>
      <w:r w:rsidR="006D26FD" w:rsidRPr="00C72770">
        <w:t xml:space="preserve"> </w:t>
      </w:r>
      <w:r w:rsidRPr="00C72770">
        <w:t>no)</w:t>
      </w:r>
    </w:p>
    <w:p w14:paraId="1C12E465" w14:textId="2B4BFEF2" w:rsidR="00E103C0" w:rsidRDefault="00E103C0" w:rsidP="00E103C0">
      <w:pPr>
        <w:pStyle w:val="Bulletindent1"/>
      </w:pPr>
      <w:r>
        <w:t>family origin</w:t>
      </w:r>
      <w:r w:rsidR="00ED22F8" w:rsidRPr="00C72770">
        <w:t xml:space="preserve"> (Asian </w:t>
      </w:r>
      <w:r w:rsidR="006D26FD">
        <w:t>or</w:t>
      </w:r>
      <w:r w:rsidR="006D26FD" w:rsidRPr="00C72770">
        <w:t xml:space="preserve"> </w:t>
      </w:r>
      <w:r w:rsidR="00ED22F8" w:rsidRPr="00C72770">
        <w:t>non-Asian)</w:t>
      </w:r>
    </w:p>
    <w:p w14:paraId="01F5F355" w14:textId="5FB2BEA2" w:rsidR="00E103C0" w:rsidRDefault="008B0D24" w:rsidP="008B0D24">
      <w:pPr>
        <w:pStyle w:val="Bulletindent1last"/>
      </w:pPr>
      <w:r>
        <w:t xml:space="preserve">sex </w:t>
      </w:r>
      <w:r w:rsidR="00ED22F8" w:rsidRPr="00C72770">
        <w:t xml:space="preserve">(male </w:t>
      </w:r>
      <w:r w:rsidR="006D26FD">
        <w:t>or</w:t>
      </w:r>
      <w:r w:rsidR="00ED22F8" w:rsidRPr="00C72770">
        <w:t xml:space="preserve"> female).</w:t>
      </w:r>
    </w:p>
    <w:p w14:paraId="52C6AC11" w14:textId="5E05BE62" w:rsidR="00C80E5E" w:rsidRPr="00C72770" w:rsidRDefault="00ED22F8" w:rsidP="008B0D24">
      <w:pPr>
        <w:pStyle w:val="NICEnormalindented"/>
      </w:pPr>
      <w:r w:rsidRPr="00C72770">
        <w:lastRenderedPageBreak/>
        <w:t xml:space="preserve">The treatment </w:t>
      </w:r>
      <w:r w:rsidR="00C80E5E" w:rsidRPr="00C72770">
        <w:t>history</w:t>
      </w:r>
      <w:r w:rsidRPr="00C72770">
        <w:t xml:space="preserve"> of people in the</w:t>
      </w:r>
      <w:r w:rsidR="001D73FD" w:rsidRPr="00C72770">
        <w:t xml:space="preserve"> </w:t>
      </w:r>
      <w:r w:rsidR="003E2618" w:rsidRPr="00C72770">
        <w:t>ALUR</w:t>
      </w:r>
      <w:r w:rsidR="006D26FD">
        <w:t xml:space="preserve"> or </w:t>
      </w:r>
      <w:r w:rsidR="003E2618" w:rsidRPr="00C72770">
        <w:t>ASCEND-5 and PROFILE</w:t>
      </w:r>
      <w:r w:rsidR="006D26FD">
        <w:t> </w:t>
      </w:r>
      <w:r w:rsidR="003E2618" w:rsidRPr="00C72770">
        <w:t>1001</w:t>
      </w:r>
      <w:r w:rsidR="006D26FD">
        <w:t xml:space="preserve"> or </w:t>
      </w:r>
      <w:r w:rsidR="003E2618" w:rsidRPr="00C72770">
        <w:t>PROFILE</w:t>
      </w:r>
      <w:r w:rsidR="006D26FD">
        <w:t> </w:t>
      </w:r>
      <w:r w:rsidR="003E2618" w:rsidRPr="00C72770">
        <w:t xml:space="preserve">1005 trials </w:t>
      </w:r>
      <w:r w:rsidRPr="00C72770">
        <w:t>w</w:t>
      </w:r>
      <w:r w:rsidR="006D26FD">
        <w:t>as</w:t>
      </w:r>
      <w:r w:rsidRPr="00C72770">
        <w:t xml:space="preserve"> more </w:t>
      </w:r>
      <w:r w:rsidR="00C17060">
        <w:t>like</w:t>
      </w:r>
      <w:r w:rsidRPr="00C72770">
        <w:t xml:space="preserve"> </w:t>
      </w:r>
      <w:r w:rsidR="00C80E5E" w:rsidRPr="00C72770">
        <w:t>that</w:t>
      </w:r>
      <w:r w:rsidRPr="00C72770">
        <w:t xml:space="preserve"> of people in cohort EXP-2:3A from </w:t>
      </w:r>
      <w:r w:rsidR="00FD165F">
        <w:t>s</w:t>
      </w:r>
      <w:r w:rsidR="008B0D24" w:rsidRPr="00C72770">
        <w:t>tudy</w:t>
      </w:r>
      <w:r w:rsidR="008B0D24">
        <w:t> </w:t>
      </w:r>
      <w:r w:rsidRPr="00C72770">
        <w:t xml:space="preserve">1001 than to cohort EXP-3B:5, the target population in the company’s submission. The company </w:t>
      </w:r>
      <w:r w:rsidR="00017998" w:rsidRPr="00C72770">
        <w:t>explained</w:t>
      </w:r>
      <w:r w:rsidR="00C80E5E" w:rsidRPr="00C72770">
        <w:t xml:space="preserve"> to the committee that </w:t>
      </w:r>
      <w:r w:rsidR="00537215" w:rsidRPr="00C72770">
        <w:t xml:space="preserve">in addition to the MAIC </w:t>
      </w:r>
      <w:r w:rsidR="0070277B">
        <w:t>it</w:t>
      </w:r>
      <w:r w:rsidR="001D73FD" w:rsidRPr="00C72770">
        <w:t xml:space="preserve"> </w:t>
      </w:r>
      <w:r w:rsidR="008F0C88" w:rsidRPr="00C72770">
        <w:t>used</w:t>
      </w:r>
      <w:r w:rsidR="001D73FD" w:rsidRPr="00C72770">
        <w:t xml:space="preserve"> </w:t>
      </w:r>
      <w:r w:rsidR="00537215" w:rsidRPr="00C72770">
        <w:t>2</w:t>
      </w:r>
      <w:r w:rsidR="006D26FD">
        <w:t> </w:t>
      </w:r>
      <w:r w:rsidR="00537215" w:rsidRPr="00C72770">
        <w:t>further</w:t>
      </w:r>
      <w:r w:rsidR="001D73FD" w:rsidRPr="00C72770">
        <w:t xml:space="preserve"> approaches for the indirect treatment comparison</w:t>
      </w:r>
      <w:r w:rsidR="006D26FD">
        <w:t>,</w:t>
      </w:r>
      <w:r w:rsidR="008F0C88" w:rsidRPr="00C72770">
        <w:t xml:space="preserve"> </w:t>
      </w:r>
      <w:r w:rsidR="00537215" w:rsidRPr="00C72770">
        <w:t>giving</w:t>
      </w:r>
      <w:r w:rsidR="008F0C88" w:rsidRPr="00C72770">
        <w:t xml:space="preserve"> 6</w:t>
      </w:r>
      <w:r w:rsidR="006D26FD">
        <w:t> </w:t>
      </w:r>
      <w:r w:rsidR="008F0C88" w:rsidRPr="00C72770">
        <w:t>methods</w:t>
      </w:r>
      <w:r w:rsidR="00537215" w:rsidRPr="00C72770">
        <w:t xml:space="preserve"> in total</w:t>
      </w:r>
      <w:r w:rsidR="00C80E5E" w:rsidRPr="00C72770">
        <w:t>:</w:t>
      </w:r>
    </w:p>
    <w:p w14:paraId="4B10A299" w14:textId="27772141" w:rsidR="00C80E5E" w:rsidRPr="00C72770" w:rsidRDefault="00C80E5E" w:rsidP="008B0D24">
      <w:pPr>
        <w:pStyle w:val="Bulletindent1"/>
      </w:pPr>
      <w:r w:rsidRPr="00C72770">
        <w:t xml:space="preserve">hazard ratios estimated using a </w:t>
      </w:r>
      <w:r w:rsidR="00537215" w:rsidRPr="00C72770">
        <w:t>MAIC</w:t>
      </w:r>
      <w:r w:rsidR="008F0C88" w:rsidRPr="00C72770">
        <w:t xml:space="preserve"> with EXP-2:3A (method</w:t>
      </w:r>
      <w:r w:rsidR="006D26FD">
        <w:t> </w:t>
      </w:r>
      <w:r w:rsidR="008F0C88" w:rsidRPr="00C72770">
        <w:t>1) and EXP-3B:5 (method</w:t>
      </w:r>
      <w:r w:rsidR="006D26FD">
        <w:t> </w:t>
      </w:r>
      <w:r w:rsidR="008F0C88" w:rsidRPr="00C72770">
        <w:t>2</w:t>
      </w:r>
      <w:r w:rsidRPr="00C72770">
        <w:t>)</w:t>
      </w:r>
    </w:p>
    <w:p w14:paraId="7AF8D14C" w14:textId="1D65A0E7" w:rsidR="00C80E5E" w:rsidRPr="00C72770" w:rsidRDefault="002628E0" w:rsidP="008B0D24">
      <w:pPr>
        <w:pStyle w:val="Bulletindent1"/>
      </w:pPr>
      <w:r>
        <w:t>hazard ratio</w:t>
      </w:r>
      <w:r w:rsidRPr="00C72770">
        <w:t xml:space="preserve">s </w:t>
      </w:r>
      <w:r w:rsidR="00C80E5E" w:rsidRPr="00C72770">
        <w:t>estimated using an unadjusted indirect comparison</w:t>
      </w:r>
      <w:r w:rsidR="008F0C88" w:rsidRPr="00C72770">
        <w:t xml:space="preserve"> with EXP-2:3A (method</w:t>
      </w:r>
      <w:r>
        <w:t> </w:t>
      </w:r>
      <w:r w:rsidR="008F0C88" w:rsidRPr="00C72770">
        <w:t>3) and EXP-3B:5 (method</w:t>
      </w:r>
      <w:r>
        <w:t> </w:t>
      </w:r>
      <w:r w:rsidR="008F0C88" w:rsidRPr="00C72770">
        <w:t>4)</w:t>
      </w:r>
    </w:p>
    <w:p w14:paraId="599CE481" w14:textId="0321D189" w:rsidR="00C80E5E" w:rsidRPr="00C72770" w:rsidRDefault="00C80E5E" w:rsidP="007D5505">
      <w:pPr>
        <w:pStyle w:val="Bulletindent1last"/>
      </w:pPr>
      <w:r w:rsidRPr="00C72770">
        <w:t xml:space="preserve">direct estimation of </w:t>
      </w:r>
      <w:r w:rsidR="002628E0">
        <w:t>progression-free</w:t>
      </w:r>
      <w:r w:rsidR="002628E0" w:rsidRPr="00C72770">
        <w:t xml:space="preserve"> </w:t>
      </w:r>
      <w:r w:rsidRPr="00C72770">
        <w:t xml:space="preserve">and </w:t>
      </w:r>
      <w:r w:rsidR="002628E0">
        <w:t>overall survival</w:t>
      </w:r>
      <w:r w:rsidRPr="00C72770">
        <w:t xml:space="preserve"> by fitting parametric curves to chemotherapy data from the clinical studies</w:t>
      </w:r>
      <w:r w:rsidR="008F0C88" w:rsidRPr="00C72770">
        <w:t xml:space="preserve"> (method</w:t>
      </w:r>
      <w:r w:rsidR="002628E0">
        <w:t> </w:t>
      </w:r>
      <w:r w:rsidR="008F0C88" w:rsidRPr="00C72770">
        <w:t>5) and</w:t>
      </w:r>
      <w:r w:rsidR="007D5505">
        <w:t xml:space="preserve"> </w:t>
      </w:r>
      <w:r w:rsidR="0001368D" w:rsidRPr="00B4124F">
        <w:t xml:space="preserve">the same parametric curves </w:t>
      </w:r>
      <w:r w:rsidR="008F0C88" w:rsidRPr="00B4124F">
        <w:t xml:space="preserve">with </w:t>
      </w:r>
      <w:r w:rsidR="0046286C">
        <w:t xml:space="preserve">a </w:t>
      </w:r>
      <w:r w:rsidR="008F0C88" w:rsidRPr="00B4124F">
        <w:t xml:space="preserve">population adjustment </w:t>
      </w:r>
      <w:r w:rsidR="007D5505">
        <w:t>because</w:t>
      </w:r>
      <w:r w:rsidR="0001368D" w:rsidRPr="00B4124F">
        <w:t xml:space="preserve"> the populations </w:t>
      </w:r>
      <w:r w:rsidR="0046286C">
        <w:t xml:space="preserve">in these clinical studies had </w:t>
      </w:r>
      <w:r w:rsidR="0001368D" w:rsidRPr="00B4124F">
        <w:t xml:space="preserve">fewer prior treatments than the EXP-3B:5 cohort </w:t>
      </w:r>
      <w:r w:rsidR="008F0C88" w:rsidRPr="00B4124F">
        <w:t>(method</w:t>
      </w:r>
      <w:r w:rsidR="002628E0" w:rsidRPr="00B4124F">
        <w:t> </w:t>
      </w:r>
      <w:r w:rsidR="008F0C88" w:rsidRPr="00B4124F">
        <w:t>6</w:t>
      </w:r>
      <w:r w:rsidR="008F0C88" w:rsidRPr="00C72770">
        <w:t>)</w:t>
      </w:r>
      <w:r w:rsidRPr="00C72770">
        <w:t>.</w:t>
      </w:r>
    </w:p>
    <w:p w14:paraId="3C66F0E0" w14:textId="2EE8D0BA" w:rsidR="00F80C44" w:rsidRPr="00C72770" w:rsidRDefault="0001368D" w:rsidP="00C80E5E">
      <w:pPr>
        <w:pStyle w:val="Numberedlevel2text"/>
        <w:numPr>
          <w:ilvl w:val="0"/>
          <w:numId w:val="0"/>
        </w:numPr>
        <w:ind w:left="1134"/>
        <w:rPr>
          <w:lang w:val="en-GB"/>
        </w:rPr>
      </w:pPr>
      <w:r>
        <w:rPr>
          <w:lang w:val="en-GB"/>
        </w:rPr>
        <w:t xml:space="preserve">The committee noted that methods 3, 4 and 6 had been </w:t>
      </w:r>
      <w:r w:rsidR="009A6E8C">
        <w:rPr>
          <w:lang w:val="en-GB"/>
        </w:rPr>
        <w:t>dismissed</w:t>
      </w:r>
      <w:r>
        <w:rPr>
          <w:lang w:val="en-GB"/>
        </w:rPr>
        <w:t xml:space="preserve"> at the technical engagement stage. </w:t>
      </w:r>
      <w:r w:rsidR="00017998" w:rsidRPr="00C72770">
        <w:rPr>
          <w:lang w:val="en-GB"/>
        </w:rPr>
        <w:t>The company’s preference was for method</w:t>
      </w:r>
      <w:r w:rsidR="00525BE8">
        <w:rPr>
          <w:lang w:val="en-GB"/>
        </w:rPr>
        <w:t> </w:t>
      </w:r>
      <w:r w:rsidR="00017998" w:rsidRPr="00C72770">
        <w:rPr>
          <w:lang w:val="en-GB"/>
        </w:rPr>
        <w:t xml:space="preserve">5, </w:t>
      </w:r>
      <w:r w:rsidR="002628E0">
        <w:rPr>
          <w:lang w:val="en-GB"/>
        </w:rPr>
        <w:t>mainly</w:t>
      </w:r>
      <w:r w:rsidR="002628E0" w:rsidRPr="00C72770">
        <w:rPr>
          <w:lang w:val="en-GB"/>
        </w:rPr>
        <w:t xml:space="preserve"> </w:t>
      </w:r>
      <w:r w:rsidR="008F0C88" w:rsidRPr="00C72770">
        <w:rPr>
          <w:lang w:val="en-GB"/>
        </w:rPr>
        <w:t>because of concerns about whether the assumption of proportional hazards h</w:t>
      </w:r>
      <w:r w:rsidR="002628E0">
        <w:rPr>
          <w:lang w:val="en-GB"/>
        </w:rPr>
        <w:t>eld</w:t>
      </w:r>
      <w:r w:rsidR="008F0C88" w:rsidRPr="00C72770">
        <w:rPr>
          <w:lang w:val="en-GB"/>
        </w:rPr>
        <w:t xml:space="preserve"> for the duration of the model</w:t>
      </w:r>
      <w:r w:rsidR="00EA0446">
        <w:rPr>
          <w:lang w:val="en-GB"/>
        </w:rPr>
        <w:t xml:space="preserve"> with methods</w:t>
      </w:r>
      <w:r w:rsidR="00923A93">
        <w:rPr>
          <w:lang w:val="en-GB"/>
        </w:rPr>
        <w:t> </w:t>
      </w:r>
      <w:r w:rsidR="00EA0446">
        <w:rPr>
          <w:lang w:val="en-GB"/>
        </w:rPr>
        <w:t>1 and</w:t>
      </w:r>
      <w:r w:rsidR="00923A93">
        <w:rPr>
          <w:lang w:val="en-GB"/>
        </w:rPr>
        <w:t> </w:t>
      </w:r>
      <w:r w:rsidR="00EA0446">
        <w:rPr>
          <w:lang w:val="en-GB"/>
        </w:rPr>
        <w:t>2</w:t>
      </w:r>
      <w:r w:rsidR="00017998" w:rsidRPr="00C72770">
        <w:rPr>
          <w:lang w:val="en-GB"/>
        </w:rPr>
        <w:t xml:space="preserve">. </w:t>
      </w:r>
      <w:r w:rsidR="00F80C44" w:rsidRPr="00C72770">
        <w:rPr>
          <w:lang w:val="en-GB"/>
        </w:rPr>
        <w:t xml:space="preserve">The company </w:t>
      </w:r>
      <w:r w:rsidR="00763F9B">
        <w:rPr>
          <w:lang w:val="en-GB"/>
        </w:rPr>
        <w:t>said</w:t>
      </w:r>
      <w:r w:rsidR="00763F9B" w:rsidRPr="00C72770">
        <w:rPr>
          <w:lang w:val="en-GB"/>
        </w:rPr>
        <w:t xml:space="preserve"> </w:t>
      </w:r>
      <w:r w:rsidR="00F80C44" w:rsidRPr="00C72770">
        <w:rPr>
          <w:lang w:val="en-GB"/>
        </w:rPr>
        <w:t>that method</w:t>
      </w:r>
      <w:r w:rsidR="00A31963">
        <w:rPr>
          <w:lang w:val="en-GB"/>
        </w:rPr>
        <w:t>s</w:t>
      </w:r>
      <w:r w:rsidR="002628E0">
        <w:rPr>
          <w:lang w:val="en-GB"/>
        </w:rPr>
        <w:t> </w:t>
      </w:r>
      <w:r w:rsidR="00F80C44" w:rsidRPr="00C72770">
        <w:rPr>
          <w:lang w:val="en-GB"/>
        </w:rPr>
        <w:t>1</w:t>
      </w:r>
      <w:r w:rsidR="00537215" w:rsidRPr="00C72770">
        <w:rPr>
          <w:lang w:val="en-GB"/>
        </w:rPr>
        <w:t xml:space="preserve"> </w:t>
      </w:r>
      <w:r w:rsidR="00F80C44" w:rsidRPr="00C72770">
        <w:rPr>
          <w:lang w:val="en-GB"/>
        </w:rPr>
        <w:t>and</w:t>
      </w:r>
      <w:r w:rsidR="002628E0">
        <w:rPr>
          <w:lang w:val="en-GB"/>
        </w:rPr>
        <w:t> </w:t>
      </w:r>
      <w:r w:rsidR="00537215" w:rsidRPr="00C72770">
        <w:rPr>
          <w:lang w:val="en-GB"/>
        </w:rPr>
        <w:t>2</w:t>
      </w:r>
      <w:r w:rsidR="00F80C44" w:rsidRPr="00C72770">
        <w:rPr>
          <w:lang w:val="en-GB"/>
        </w:rPr>
        <w:t xml:space="preserve"> were </w:t>
      </w:r>
      <w:r w:rsidR="00537215" w:rsidRPr="00C72770">
        <w:rPr>
          <w:lang w:val="en-GB"/>
        </w:rPr>
        <w:t>also</w:t>
      </w:r>
      <w:r w:rsidR="00F80C44" w:rsidRPr="00C72770">
        <w:rPr>
          <w:lang w:val="en-GB"/>
        </w:rPr>
        <w:t xml:space="preserve"> plausible approaches. </w:t>
      </w:r>
      <w:r w:rsidR="00017998" w:rsidRPr="00C72770">
        <w:rPr>
          <w:lang w:val="en-GB"/>
        </w:rPr>
        <w:t xml:space="preserve">The ERG </w:t>
      </w:r>
      <w:r w:rsidR="00C60F08">
        <w:rPr>
          <w:lang w:val="en-GB"/>
        </w:rPr>
        <w:t>had concerns</w:t>
      </w:r>
      <w:r w:rsidR="00017998" w:rsidRPr="00C72770">
        <w:rPr>
          <w:lang w:val="en-GB"/>
        </w:rPr>
        <w:t xml:space="preserve"> about methods</w:t>
      </w:r>
      <w:r w:rsidR="00C60F08">
        <w:rPr>
          <w:lang w:val="en-GB"/>
        </w:rPr>
        <w:t> </w:t>
      </w:r>
      <w:r w:rsidR="006023EC" w:rsidRPr="00C72770">
        <w:rPr>
          <w:lang w:val="en-GB"/>
        </w:rPr>
        <w:t>1, 2 and 5,</w:t>
      </w:r>
      <w:r w:rsidR="00D806F2" w:rsidRPr="00C72770">
        <w:rPr>
          <w:lang w:val="en-GB"/>
        </w:rPr>
        <w:t xml:space="preserve"> but </w:t>
      </w:r>
      <w:r w:rsidR="006023EC" w:rsidRPr="00C72770">
        <w:rPr>
          <w:lang w:val="en-GB"/>
        </w:rPr>
        <w:t xml:space="preserve">considered </w:t>
      </w:r>
      <w:r w:rsidR="00D806F2" w:rsidRPr="00C72770">
        <w:rPr>
          <w:lang w:val="en-GB"/>
        </w:rPr>
        <w:t>that they were all plausible</w:t>
      </w:r>
      <w:r w:rsidR="00017998" w:rsidRPr="00C72770">
        <w:rPr>
          <w:lang w:val="en-GB"/>
        </w:rPr>
        <w:t>,</w:t>
      </w:r>
      <w:r w:rsidR="00D806F2" w:rsidRPr="00C72770">
        <w:rPr>
          <w:lang w:val="en-GB"/>
        </w:rPr>
        <w:t xml:space="preserve"> and</w:t>
      </w:r>
      <w:r w:rsidR="00017998" w:rsidRPr="00C72770">
        <w:rPr>
          <w:lang w:val="en-GB"/>
        </w:rPr>
        <w:t xml:space="preserve"> agreed that method</w:t>
      </w:r>
      <w:r w:rsidR="002628E0">
        <w:rPr>
          <w:lang w:val="en-GB"/>
        </w:rPr>
        <w:t> </w:t>
      </w:r>
      <w:r w:rsidR="00017998" w:rsidRPr="00C72770">
        <w:rPr>
          <w:lang w:val="en-GB"/>
        </w:rPr>
        <w:t xml:space="preserve">5 was preferred as the least problematic option. </w:t>
      </w:r>
      <w:r w:rsidR="00F80C44" w:rsidRPr="00C72770">
        <w:rPr>
          <w:lang w:val="en-GB"/>
        </w:rPr>
        <w:t xml:space="preserve">The committee agreed with the ERG </w:t>
      </w:r>
      <w:r w:rsidR="00D806F2" w:rsidRPr="00C72770">
        <w:rPr>
          <w:lang w:val="en-GB"/>
        </w:rPr>
        <w:t xml:space="preserve">that </w:t>
      </w:r>
      <w:r w:rsidR="00CF238A" w:rsidRPr="00C72770">
        <w:rPr>
          <w:lang w:val="en-GB"/>
        </w:rPr>
        <w:t xml:space="preserve">all </w:t>
      </w:r>
      <w:r w:rsidR="00D806F2" w:rsidRPr="00C72770">
        <w:rPr>
          <w:lang w:val="en-GB"/>
        </w:rPr>
        <w:t>th</w:t>
      </w:r>
      <w:r w:rsidR="00356D23" w:rsidRPr="00C72770">
        <w:rPr>
          <w:lang w:val="en-GB"/>
        </w:rPr>
        <w:t>e proposed</w:t>
      </w:r>
      <w:r w:rsidR="00D806F2" w:rsidRPr="00C72770">
        <w:rPr>
          <w:lang w:val="en-GB"/>
        </w:rPr>
        <w:t xml:space="preserve"> </w:t>
      </w:r>
      <w:r w:rsidR="00356D23" w:rsidRPr="00C72770">
        <w:rPr>
          <w:lang w:val="en-GB"/>
        </w:rPr>
        <w:t xml:space="preserve">indirect comparison </w:t>
      </w:r>
      <w:r w:rsidR="00C60F08">
        <w:rPr>
          <w:lang w:val="en-GB"/>
        </w:rPr>
        <w:t xml:space="preserve">methods </w:t>
      </w:r>
      <w:r w:rsidR="002628E0">
        <w:rPr>
          <w:lang w:val="en-GB"/>
        </w:rPr>
        <w:t>were</w:t>
      </w:r>
      <w:r w:rsidR="002628E0" w:rsidRPr="00C72770">
        <w:rPr>
          <w:lang w:val="en-GB"/>
        </w:rPr>
        <w:t xml:space="preserve"> </w:t>
      </w:r>
      <w:r w:rsidR="00D806F2" w:rsidRPr="00C72770">
        <w:rPr>
          <w:lang w:val="en-GB"/>
        </w:rPr>
        <w:t xml:space="preserve">highly uncertain, but </w:t>
      </w:r>
      <w:r w:rsidR="00936D07" w:rsidRPr="00C72770">
        <w:rPr>
          <w:lang w:val="en-GB"/>
        </w:rPr>
        <w:t>disagreed that method</w:t>
      </w:r>
      <w:r w:rsidR="00C60F08">
        <w:rPr>
          <w:lang w:val="en-GB"/>
        </w:rPr>
        <w:t>s</w:t>
      </w:r>
      <w:r w:rsidR="002628E0">
        <w:rPr>
          <w:lang w:val="en-GB"/>
        </w:rPr>
        <w:t> </w:t>
      </w:r>
      <w:r w:rsidR="00936D07" w:rsidRPr="00C72770">
        <w:rPr>
          <w:lang w:val="en-GB"/>
        </w:rPr>
        <w:t>1 and</w:t>
      </w:r>
      <w:r w:rsidR="002628E0">
        <w:rPr>
          <w:lang w:val="en-GB"/>
        </w:rPr>
        <w:t> </w:t>
      </w:r>
      <w:r w:rsidR="00936D07" w:rsidRPr="00C72770">
        <w:rPr>
          <w:lang w:val="en-GB"/>
        </w:rPr>
        <w:t xml:space="preserve">2 were </w:t>
      </w:r>
      <w:r w:rsidR="00CF238A" w:rsidRPr="00C72770">
        <w:rPr>
          <w:lang w:val="en-GB"/>
        </w:rPr>
        <w:t>reliable</w:t>
      </w:r>
      <w:r w:rsidR="006023EC" w:rsidRPr="00C72770">
        <w:rPr>
          <w:lang w:val="en-GB"/>
        </w:rPr>
        <w:t xml:space="preserve"> because of </w:t>
      </w:r>
      <w:r w:rsidR="00C17060">
        <w:rPr>
          <w:lang w:val="en-GB"/>
        </w:rPr>
        <w:t>how</w:t>
      </w:r>
      <w:r w:rsidR="006023EC" w:rsidRPr="00C72770">
        <w:rPr>
          <w:lang w:val="en-GB"/>
        </w:rPr>
        <w:t xml:space="preserve"> the company had </w:t>
      </w:r>
      <w:r w:rsidR="002628E0">
        <w:rPr>
          <w:lang w:val="en-GB"/>
        </w:rPr>
        <w:t>done</w:t>
      </w:r>
      <w:r w:rsidR="002628E0" w:rsidRPr="00C72770">
        <w:rPr>
          <w:lang w:val="en-GB"/>
        </w:rPr>
        <w:t xml:space="preserve"> </w:t>
      </w:r>
      <w:r w:rsidR="006023EC" w:rsidRPr="00C72770">
        <w:rPr>
          <w:lang w:val="en-GB"/>
        </w:rPr>
        <w:t>the MAIC</w:t>
      </w:r>
      <w:r w:rsidR="00936D07" w:rsidRPr="00C72770">
        <w:rPr>
          <w:lang w:val="en-GB"/>
        </w:rPr>
        <w:t xml:space="preserve">. </w:t>
      </w:r>
      <w:r w:rsidR="00472115" w:rsidRPr="00C72770">
        <w:rPr>
          <w:lang w:val="en-GB"/>
        </w:rPr>
        <w:t xml:space="preserve">The committee agreed that the company’s approach of weighting </w:t>
      </w:r>
      <w:r w:rsidR="00C60F08">
        <w:rPr>
          <w:lang w:val="en-GB"/>
        </w:rPr>
        <w:t>patients</w:t>
      </w:r>
      <w:r w:rsidR="00472115" w:rsidRPr="00C72770">
        <w:rPr>
          <w:lang w:val="en-GB"/>
        </w:rPr>
        <w:t xml:space="preserve"> in cohorts EXP-2:3A and EXP-3B:5 from </w:t>
      </w:r>
      <w:r w:rsidR="00923A93">
        <w:rPr>
          <w:lang w:val="en-GB"/>
        </w:rPr>
        <w:t>s</w:t>
      </w:r>
      <w:r w:rsidR="008B0D24" w:rsidRPr="00C72770">
        <w:rPr>
          <w:lang w:val="en-GB"/>
        </w:rPr>
        <w:t>tudy</w:t>
      </w:r>
      <w:r w:rsidR="008B0D24">
        <w:rPr>
          <w:lang w:val="en-GB"/>
        </w:rPr>
        <w:t> </w:t>
      </w:r>
      <w:r w:rsidR="00472115" w:rsidRPr="00C72770">
        <w:rPr>
          <w:lang w:val="en-GB"/>
        </w:rPr>
        <w:t xml:space="preserve">1001 to match the patient characteristics of the populations from the </w:t>
      </w:r>
      <w:bookmarkStart w:id="4" w:name="_Hlk29479051"/>
      <w:r w:rsidR="00472115" w:rsidRPr="00C72770">
        <w:rPr>
          <w:lang w:val="en-GB"/>
        </w:rPr>
        <w:t>ALUR</w:t>
      </w:r>
      <w:r w:rsidR="00E4791E">
        <w:rPr>
          <w:lang w:val="en-GB"/>
        </w:rPr>
        <w:t xml:space="preserve"> or </w:t>
      </w:r>
      <w:r w:rsidR="00472115" w:rsidRPr="00C72770">
        <w:rPr>
          <w:lang w:val="en-GB"/>
        </w:rPr>
        <w:t>ASCEND-5 and PROFILE</w:t>
      </w:r>
      <w:r w:rsidR="00E4791E">
        <w:rPr>
          <w:lang w:val="en-GB"/>
        </w:rPr>
        <w:t> </w:t>
      </w:r>
      <w:r w:rsidR="00472115" w:rsidRPr="00C72770">
        <w:rPr>
          <w:lang w:val="en-GB"/>
        </w:rPr>
        <w:t>1001</w:t>
      </w:r>
      <w:r w:rsidR="00E4791E">
        <w:rPr>
          <w:lang w:val="en-GB"/>
        </w:rPr>
        <w:t xml:space="preserve"> or </w:t>
      </w:r>
      <w:r w:rsidR="00472115" w:rsidRPr="00C72770">
        <w:rPr>
          <w:lang w:val="en-GB"/>
        </w:rPr>
        <w:t>PROFILE</w:t>
      </w:r>
      <w:r w:rsidR="00E4791E">
        <w:rPr>
          <w:lang w:val="en-GB"/>
        </w:rPr>
        <w:t> </w:t>
      </w:r>
      <w:r w:rsidR="00472115" w:rsidRPr="00C72770">
        <w:rPr>
          <w:lang w:val="en-GB"/>
        </w:rPr>
        <w:t xml:space="preserve">1005 </w:t>
      </w:r>
      <w:bookmarkEnd w:id="4"/>
      <w:r w:rsidR="00472115" w:rsidRPr="00C72770">
        <w:rPr>
          <w:lang w:val="en-GB"/>
        </w:rPr>
        <w:t>trials was correct</w:t>
      </w:r>
      <w:r w:rsidR="00E4791E">
        <w:rPr>
          <w:lang w:val="en-GB"/>
        </w:rPr>
        <w:t>. B</w:t>
      </w:r>
      <w:r w:rsidR="00472115" w:rsidRPr="00C72770">
        <w:rPr>
          <w:lang w:val="en-GB"/>
        </w:rPr>
        <w:t>ut</w:t>
      </w:r>
      <w:r w:rsidR="00CF238A" w:rsidRPr="00C72770">
        <w:rPr>
          <w:lang w:val="en-GB"/>
        </w:rPr>
        <w:t xml:space="preserve"> </w:t>
      </w:r>
      <w:r w:rsidR="00E4791E">
        <w:rPr>
          <w:lang w:val="en-GB"/>
        </w:rPr>
        <w:t xml:space="preserve">it </w:t>
      </w:r>
      <w:r w:rsidR="00C60F08">
        <w:rPr>
          <w:lang w:val="en-GB"/>
        </w:rPr>
        <w:t>was concerned</w:t>
      </w:r>
      <w:r w:rsidR="00CF238A" w:rsidRPr="00C72770">
        <w:rPr>
          <w:lang w:val="en-GB"/>
        </w:rPr>
        <w:t xml:space="preserve"> </w:t>
      </w:r>
      <w:r w:rsidR="00E4791E">
        <w:rPr>
          <w:lang w:val="en-GB"/>
        </w:rPr>
        <w:t>about</w:t>
      </w:r>
      <w:r w:rsidR="00E4791E" w:rsidRPr="00C72770">
        <w:rPr>
          <w:lang w:val="en-GB"/>
        </w:rPr>
        <w:t xml:space="preserve"> </w:t>
      </w:r>
      <w:r w:rsidR="009C27A7">
        <w:rPr>
          <w:lang w:val="en-GB"/>
        </w:rPr>
        <w:t>how</w:t>
      </w:r>
      <w:r w:rsidR="00CF238A" w:rsidRPr="00C72770">
        <w:rPr>
          <w:lang w:val="en-GB"/>
        </w:rPr>
        <w:t xml:space="preserve"> the MAIC had been implemented. The committee </w:t>
      </w:r>
      <w:r w:rsidR="00472115" w:rsidRPr="00C72770">
        <w:rPr>
          <w:lang w:val="en-GB"/>
        </w:rPr>
        <w:t xml:space="preserve">noted that matching </w:t>
      </w:r>
      <w:r w:rsidR="00552D0F">
        <w:rPr>
          <w:lang w:val="en-GB"/>
        </w:rPr>
        <w:t xml:space="preserve">the </w:t>
      </w:r>
      <w:r w:rsidR="00E4791E">
        <w:rPr>
          <w:lang w:val="en-GB"/>
        </w:rPr>
        <w:lastRenderedPageBreak/>
        <w:t>2 </w:t>
      </w:r>
      <w:r w:rsidR="00472115" w:rsidRPr="00C72770">
        <w:rPr>
          <w:lang w:val="en-GB"/>
        </w:rPr>
        <w:t xml:space="preserve">pooled cohorts </w:t>
      </w:r>
      <w:r w:rsidR="00CF238A" w:rsidRPr="00C72770">
        <w:rPr>
          <w:lang w:val="en-GB"/>
        </w:rPr>
        <w:t xml:space="preserve">from </w:t>
      </w:r>
      <w:r w:rsidR="00923A93">
        <w:rPr>
          <w:lang w:val="en-GB"/>
        </w:rPr>
        <w:t>s</w:t>
      </w:r>
      <w:r w:rsidR="00CF238A" w:rsidRPr="00C72770">
        <w:rPr>
          <w:lang w:val="en-GB"/>
        </w:rPr>
        <w:t>tudy</w:t>
      </w:r>
      <w:r w:rsidR="00552D0F">
        <w:rPr>
          <w:lang w:val="en-GB"/>
        </w:rPr>
        <w:t> </w:t>
      </w:r>
      <w:r w:rsidR="00CF238A" w:rsidRPr="00C72770">
        <w:rPr>
          <w:lang w:val="en-GB"/>
        </w:rPr>
        <w:t xml:space="preserve">1001 </w:t>
      </w:r>
      <w:r w:rsidR="00472115" w:rsidRPr="00C72770">
        <w:rPr>
          <w:lang w:val="en-GB"/>
        </w:rPr>
        <w:t xml:space="preserve">(EXP-2:3A and EXP-3B:5) to the same </w:t>
      </w:r>
      <w:r w:rsidR="00CF238A" w:rsidRPr="00C72770">
        <w:rPr>
          <w:lang w:val="en-GB"/>
        </w:rPr>
        <w:t xml:space="preserve">chemotherapy arm </w:t>
      </w:r>
      <w:r w:rsidR="00472115" w:rsidRPr="00C72770">
        <w:rPr>
          <w:lang w:val="en-GB"/>
        </w:rPr>
        <w:t xml:space="preserve">trial populations should </w:t>
      </w:r>
      <w:r w:rsidR="006023EC" w:rsidRPr="00C72770">
        <w:rPr>
          <w:lang w:val="en-GB"/>
        </w:rPr>
        <w:t xml:space="preserve">have </w:t>
      </w:r>
      <w:r w:rsidR="00472115" w:rsidRPr="00C72770">
        <w:rPr>
          <w:lang w:val="en-GB"/>
        </w:rPr>
        <w:t>result</w:t>
      </w:r>
      <w:r w:rsidR="006023EC" w:rsidRPr="00C72770">
        <w:rPr>
          <w:lang w:val="en-GB"/>
        </w:rPr>
        <w:t>ed</w:t>
      </w:r>
      <w:r w:rsidR="00472115" w:rsidRPr="00C72770">
        <w:rPr>
          <w:lang w:val="en-GB"/>
        </w:rPr>
        <w:t xml:space="preserve"> in very similar </w:t>
      </w:r>
      <w:r w:rsidR="00E4791E">
        <w:rPr>
          <w:lang w:val="en-GB"/>
        </w:rPr>
        <w:t>hazard ratios</w:t>
      </w:r>
      <w:r w:rsidR="00E4791E" w:rsidRPr="00C72770">
        <w:rPr>
          <w:lang w:val="en-GB"/>
        </w:rPr>
        <w:t xml:space="preserve"> </w:t>
      </w:r>
      <w:r w:rsidR="00472115" w:rsidRPr="00C72770">
        <w:rPr>
          <w:lang w:val="en-GB"/>
        </w:rPr>
        <w:t xml:space="preserve">being generated. </w:t>
      </w:r>
      <w:r w:rsidR="00E4791E">
        <w:rPr>
          <w:lang w:val="en-GB"/>
        </w:rPr>
        <w:t>P</w:t>
      </w:r>
      <w:r w:rsidR="00472115" w:rsidRPr="00C72770">
        <w:rPr>
          <w:lang w:val="en-GB"/>
        </w:rPr>
        <w:t>resent</w:t>
      </w:r>
      <w:r w:rsidR="00E4791E">
        <w:rPr>
          <w:lang w:val="en-GB"/>
        </w:rPr>
        <w:t>ing</w:t>
      </w:r>
      <w:r w:rsidR="00472115" w:rsidRPr="00C72770">
        <w:rPr>
          <w:lang w:val="en-GB"/>
        </w:rPr>
        <w:t xml:space="preserve"> </w:t>
      </w:r>
      <w:r w:rsidR="00E4791E">
        <w:rPr>
          <w:lang w:val="en-GB"/>
        </w:rPr>
        <w:t>hazard ratios that</w:t>
      </w:r>
      <w:r w:rsidR="00E4791E" w:rsidRPr="00C72770">
        <w:rPr>
          <w:lang w:val="en-GB"/>
        </w:rPr>
        <w:t xml:space="preserve"> </w:t>
      </w:r>
      <w:r w:rsidR="006023EC" w:rsidRPr="00C72770">
        <w:rPr>
          <w:lang w:val="en-GB"/>
        </w:rPr>
        <w:t>were not similar</w:t>
      </w:r>
      <w:r w:rsidR="00472115" w:rsidRPr="00C72770">
        <w:rPr>
          <w:lang w:val="en-GB"/>
        </w:rPr>
        <w:t xml:space="preserve"> (and </w:t>
      </w:r>
      <w:r w:rsidR="006023EC" w:rsidRPr="00C72770">
        <w:rPr>
          <w:lang w:val="en-GB"/>
        </w:rPr>
        <w:t>which resulted in large</w:t>
      </w:r>
      <w:r w:rsidR="00472115" w:rsidRPr="00C72770">
        <w:rPr>
          <w:lang w:val="en-GB"/>
        </w:rPr>
        <w:t xml:space="preserve"> </w:t>
      </w:r>
      <w:r w:rsidR="00CF238A" w:rsidRPr="00C72770">
        <w:rPr>
          <w:lang w:val="en-GB"/>
        </w:rPr>
        <w:t>ICER</w:t>
      </w:r>
      <w:r w:rsidR="006023EC" w:rsidRPr="00C72770">
        <w:rPr>
          <w:lang w:val="en-GB"/>
        </w:rPr>
        <w:t xml:space="preserve"> difference</w:t>
      </w:r>
      <w:r w:rsidR="00CF238A" w:rsidRPr="00C72770">
        <w:rPr>
          <w:lang w:val="en-GB"/>
        </w:rPr>
        <w:t>s</w:t>
      </w:r>
      <w:r w:rsidR="00472115" w:rsidRPr="00C72770">
        <w:rPr>
          <w:lang w:val="en-GB"/>
        </w:rPr>
        <w:t>) from the MAIC with EXP</w:t>
      </w:r>
      <w:r w:rsidR="00E4791E">
        <w:rPr>
          <w:lang w:val="en-GB"/>
        </w:rPr>
        <w:t>-</w:t>
      </w:r>
      <w:r w:rsidR="00472115" w:rsidRPr="00C72770">
        <w:rPr>
          <w:lang w:val="en-GB"/>
        </w:rPr>
        <w:t>2:3A (method</w:t>
      </w:r>
      <w:r w:rsidR="00E4791E">
        <w:rPr>
          <w:lang w:val="en-GB"/>
        </w:rPr>
        <w:t> </w:t>
      </w:r>
      <w:r w:rsidR="00472115" w:rsidRPr="00C72770">
        <w:rPr>
          <w:lang w:val="en-GB"/>
        </w:rPr>
        <w:t xml:space="preserve">1) </w:t>
      </w:r>
      <w:r w:rsidR="00CF238A" w:rsidRPr="00C72770">
        <w:rPr>
          <w:lang w:val="en-GB"/>
        </w:rPr>
        <w:t>compared with</w:t>
      </w:r>
      <w:r w:rsidR="00472115" w:rsidRPr="00C72770">
        <w:rPr>
          <w:lang w:val="en-GB"/>
        </w:rPr>
        <w:t xml:space="preserve"> the MAIC with EXP</w:t>
      </w:r>
      <w:r w:rsidR="00E4791E">
        <w:rPr>
          <w:lang w:val="en-GB"/>
        </w:rPr>
        <w:t>-</w:t>
      </w:r>
      <w:r w:rsidR="00472115" w:rsidRPr="00C72770">
        <w:rPr>
          <w:lang w:val="en-GB"/>
        </w:rPr>
        <w:t>3B:5 (method</w:t>
      </w:r>
      <w:r w:rsidR="00E4791E">
        <w:rPr>
          <w:lang w:val="en-GB"/>
        </w:rPr>
        <w:t> </w:t>
      </w:r>
      <w:r w:rsidR="00472115" w:rsidRPr="00C72770">
        <w:rPr>
          <w:lang w:val="en-GB"/>
        </w:rPr>
        <w:t xml:space="preserve">2) </w:t>
      </w:r>
      <w:r w:rsidR="00E4791E">
        <w:rPr>
          <w:lang w:val="en-GB"/>
        </w:rPr>
        <w:t>showed</w:t>
      </w:r>
      <w:r w:rsidR="00472115" w:rsidRPr="00C72770">
        <w:rPr>
          <w:lang w:val="en-GB"/>
        </w:rPr>
        <w:t xml:space="preserve"> that the </w:t>
      </w:r>
      <w:r w:rsidR="004357B8" w:rsidRPr="00C72770">
        <w:rPr>
          <w:lang w:val="en-GB"/>
        </w:rPr>
        <w:t xml:space="preserve">matching </w:t>
      </w:r>
      <w:r w:rsidR="00472115" w:rsidRPr="00C72770">
        <w:rPr>
          <w:lang w:val="en-GB"/>
        </w:rPr>
        <w:t>adjustments used in the MAIC had failed</w:t>
      </w:r>
      <w:r w:rsidR="00552D0F">
        <w:rPr>
          <w:lang w:val="en-GB"/>
        </w:rPr>
        <w:t xml:space="preserve">. </w:t>
      </w:r>
      <w:r w:rsidR="00552D0F" w:rsidRPr="00C72770">
        <w:rPr>
          <w:lang w:val="en-GB"/>
        </w:rPr>
        <w:t>Th</w:t>
      </w:r>
      <w:r w:rsidR="00552D0F">
        <w:rPr>
          <w:lang w:val="en-GB"/>
        </w:rPr>
        <w:t>is</w:t>
      </w:r>
      <w:r w:rsidR="00552D0F" w:rsidRPr="00C72770">
        <w:rPr>
          <w:lang w:val="en-GB"/>
        </w:rPr>
        <w:t xml:space="preserve"> </w:t>
      </w:r>
      <w:r w:rsidR="00552D0F">
        <w:rPr>
          <w:lang w:val="en-GB"/>
        </w:rPr>
        <w:t>wa</w:t>
      </w:r>
      <w:r w:rsidR="00552D0F" w:rsidRPr="00C72770">
        <w:rPr>
          <w:lang w:val="en-GB"/>
        </w:rPr>
        <w:t xml:space="preserve">s likely </w:t>
      </w:r>
      <w:r w:rsidR="00552D0F">
        <w:rPr>
          <w:lang w:val="en-GB"/>
        </w:rPr>
        <w:t>to be because of</w:t>
      </w:r>
      <w:r w:rsidR="00552D0F" w:rsidRPr="00C72770">
        <w:rPr>
          <w:lang w:val="en-GB"/>
        </w:rPr>
        <w:t xml:space="preserve"> insufficient covariates being matched</w:t>
      </w:r>
      <w:r w:rsidR="00FB6B93">
        <w:rPr>
          <w:lang w:val="en-GB"/>
        </w:rPr>
        <w:t>.</w:t>
      </w:r>
      <w:r w:rsidR="008B0D24">
        <w:rPr>
          <w:lang w:val="en-GB"/>
        </w:rPr>
        <w:t xml:space="preserve"> </w:t>
      </w:r>
      <w:r w:rsidR="00FB6B93">
        <w:rPr>
          <w:lang w:val="en-GB"/>
        </w:rPr>
        <w:t>T</w:t>
      </w:r>
      <w:r w:rsidR="008B0D24" w:rsidRPr="00C72770">
        <w:rPr>
          <w:lang w:val="en-GB"/>
        </w:rPr>
        <w:t xml:space="preserve">he committee </w:t>
      </w:r>
      <w:r w:rsidR="00EA0446">
        <w:rPr>
          <w:lang w:val="en-GB"/>
        </w:rPr>
        <w:t>would have preferred</w:t>
      </w:r>
      <w:r w:rsidR="008B0D24" w:rsidRPr="00C72770">
        <w:rPr>
          <w:lang w:val="en-GB"/>
        </w:rPr>
        <w:t xml:space="preserve"> a sensitivity analysis around the choice of variables included in the MAIC</w:t>
      </w:r>
      <w:r w:rsidR="008B0D24">
        <w:rPr>
          <w:lang w:val="en-GB"/>
        </w:rPr>
        <w:t xml:space="preserve">. </w:t>
      </w:r>
      <w:r w:rsidR="00552D0F">
        <w:rPr>
          <w:lang w:val="en-GB"/>
        </w:rPr>
        <w:t>T</w:t>
      </w:r>
      <w:r w:rsidR="00472115" w:rsidRPr="00C72770">
        <w:rPr>
          <w:lang w:val="en-GB"/>
        </w:rPr>
        <w:t xml:space="preserve">he results </w:t>
      </w:r>
      <w:r w:rsidR="00F7530A">
        <w:rPr>
          <w:lang w:val="en-GB"/>
        </w:rPr>
        <w:t>that used</w:t>
      </w:r>
      <w:r w:rsidR="00586A04">
        <w:rPr>
          <w:lang w:val="en-GB"/>
        </w:rPr>
        <w:t xml:space="preserve"> methods</w:t>
      </w:r>
      <w:r w:rsidR="00020317">
        <w:rPr>
          <w:lang w:val="en-GB"/>
        </w:rPr>
        <w:t> </w:t>
      </w:r>
      <w:r w:rsidR="00586A04">
        <w:rPr>
          <w:lang w:val="en-GB"/>
        </w:rPr>
        <w:t>1 and</w:t>
      </w:r>
      <w:r w:rsidR="00020317">
        <w:rPr>
          <w:lang w:val="en-GB"/>
        </w:rPr>
        <w:t> </w:t>
      </w:r>
      <w:r w:rsidR="00586A04">
        <w:rPr>
          <w:lang w:val="en-GB"/>
        </w:rPr>
        <w:t xml:space="preserve">2 </w:t>
      </w:r>
      <w:r w:rsidR="00472115" w:rsidRPr="00C72770">
        <w:rPr>
          <w:lang w:val="en-GB"/>
        </w:rPr>
        <w:t xml:space="preserve">were </w:t>
      </w:r>
      <w:r w:rsidR="004357B8" w:rsidRPr="00C72770">
        <w:rPr>
          <w:lang w:val="en-GB"/>
        </w:rPr>
        <w:t xml:space="preserve">therefore </w:t>
      </w:r>
      <w:r w:rsidR="00472115" w:rsidRPr="00C72770">
        <w:rPr>
          <w:lang w:val="en-GB"/>
        </w:rPr>
        <w:t>unreliable and unsuitable for decision</w:t>
      </w:r>
      <w:r w:rsidR="00923A93">
        <w:rPr>
          <w:lang w:val="en-GB"/>
        </w:rPr>
        <w:t xml:space="preserve"> </w:t>
      </w:r>
      <w:r w:rsidR="00472115" w:rsidRPr="00C72770">
        <w:rPr>
          <w:lang w:val="en-GB"/>
        </w:rPr>
        <w:t>making.</w:t>
      </w:r>
      <w:r w:rsidR="004E02A9">
        <w:rPr>
          <w:lang w:val="en-GB"/>
        </w:rPr>
        <w:t xml:space="preserve"> </w:t>
      </w:r>
      <w:r w:rsidR="000A1578" w:rsidRPr="00C72770">
        <w:rPr>
          <w:lang w:val="en-GB"/>
        </w:rPr>
        <w:t xml:space="preserve">The committee </w:t>
      </w:r>
      <w:r w:rsidR="004357B8" w:rsidRPr="00C72770">
        <w:rPr>
          <w:lang w:val="en-GB"/>
        </w:rPr>
        <w:t xml:space="preserve">further discussed the </w:t>
      </w:r>
      <w:r w:rsidR="004E02A9">
        <w:rPr>
          <w:lang w:val="en-GB"/>
        </w:rPr>
        <w:t xml:space="preserve">company’s </w:t>
      </w:r>
      <w:r w:rsidR="004357B8" w:rsidRPr="00C72770">
        <w:rPr>
          <w:lang w:val="en-GB"/>
        </w:rPr>
        <w:t xml:space="preserve">rationale for </w:t>
      </w:r>
      <w:r w:rsidR="002E6F63">
        <w:rPr>
          <w:lang w:val="en-GB"/>
        </w:rPr>
        <w:t>do</w:t>
      </w:r>
      <w:r w:rsidR="002E6F63" w:rsidRPr="00C72770">
        <w:rPr>
          <w:lang w:val="en-GB"/>
        </w:rPr>
        <w:t xml:space="preserve">ing </w:t>
      </w:r>
      <w:r w:rsidR="004357B8" w:rsidRPr="00C72770">
        <w:rPr>
          <w:lang w:val="en-GB"/>
        </w:rPr>
        <w:t xml:space="preserve">the MAIC with both pooled cohorts. In general, the committee </w:t>
      </w:r>
      <w:r w:rsidR="000A1578" w:rsidRPr="00C72770">
        <w:rPr>
          <w:lang w:val="en-GB"/>
        </w:rPr>
        <w:t>felt that us</w:t>
      </w:r>
      <w:r w:rsidR="002E6F63">
        <w:rPr>
          <w:lang w:val="en-GB"/>
        </w:rPr>
        <w:t>ing</w:t>
      </w:r>
      <w:r w:rsidR="000A1578" w:rsidRPr="00C72770">
        <w:rPr>
          <w:lang w:val="en-GB"/>
        </w:rPr>
        <w:t xml:space="preserve"> cohort EXP-2:3A for matching with the </w:t>
      </w:r>
      <w:r w:rsidR="00946995" w:rsidRPr="00C72770">
        <w:rPr>
          <w:lang w:val="en-GB"/>
        </w:rPr>
        <w:t>chemotherapy arm</w:t>
      </w:r>
      <w:r w:rsidR="000A1578" w:rsidRPr="00C72770">
        <w:rPr>
          <w:lang w:val="en-GB"/>
        </w:rPr>
        <w:t xml:space="preserve"> populations was </w:t>
      </w:r>
      <w:r w:rsidR="009909B9" w:rsidRPr="00C72770">
        <w:rPr>
          <w:lang w:val="en-GB"/>
        </w:rPr>
        <w:t>not</w:t>
      </w:r>
      <w:r w:rsidR="000A1578" w:rsidRPr="00C72770">
        <w:rPr>
          <w:lang w:val="en-GB"/>
        </w:rPr>
        <w:t xml:space="preserve"> appropriate </w:t>
      </w:r>
      <w:r w:rsidR="002E6F63">
        <w:rPr>
          <w:lang w:val="en-GB"/>
        </w:rPr>
        <w:t>because</w:t>
      </w:r>
      <w:r w:rsidR="002E6F63" w:rsidRPr="00C72770">
        <w:rPr>
          <w:lang w:val="en-GB"/>
        </w:rPr>
        <w:t xml:space="preserve"> </w:t>
      </w:r>
      <w:r w:rsidR="000A1578" w:rsidRPr="00C72770">
        <w:rPr>
          <w:lang w:val="en-GB"/>
        </w:rPr>
        <w:t xml:space="preserve">this </w:t>
      </w:r>
      <w:r w:rsidR="00946995" w:rsidRPr="00C72770">
        <w:rPr>
          <w:lang w:val="en-GB"/>
        </w:rPr>
        <w:t xml:space="preserve">pooled </w:t>
      </w:r>
      <w:r w:rsidR="000A1578" w:rsidRPr="00C72770">
        <w:rPr>
          <w:lang w:val="en-GB"/>
        </w:rPr>
        <w:t>cohort ha</w:t>
      </w:r>
      <w:r w:rsidR="002E6F63">
        <w:rPr>
          <w:lang w:val="en-GB"/>
        </w:rPr>
        <w:t>d</w:t>
      </w:r>
      <w:r w:rsidR="000A1578" w:rsidRPr="00C72770">
        <w:rPr>
          <w:lang w:val="en-GB"/>
        </w:rPr>
        <w:t xml:space="preserve"> a different treatment history and considerably different baseline characteristics to cohort EXP-3B:5. The clinical experts confirmed that cohorts</w:t>
      </w:r>
      <w:r w:rsidR="002E6F63">
        <w:rPr>
          <w:lang w:val="en-GB"/>
        </w:rPr>
        <w:t> </w:t>
      </w:r>
      <w:r w:rsidR="000A1578" w:rsidRPr="00C72770">
        <w:rPr>
          <w:lang w:val="en-GB"/>
        </w:rPr>
        <w:t>4 and 5 ha</w:t>
      </w:r>
      <w:r w:rsidR="002E6F63">
        <w:rPr>
          <w:lang w:val="en-GB"/>
        </w:rPr>
        <w:t>d</w:t>
      </w:r>
      <w:r w:rsidR="000A1578" w:rsidRPr="00C72770">
        <w:rPr>
          <w:lang w:val="en-GB"/>
        </w:rPr>
        <w:t xml:space="preserve"> already </w:t>
      </w:r>
      <w:r w:rsidR="002E6F63">
        <w:rPr>
          <w:lang w:val="en-GB"/>
        </w:rPr>
        <w:t>had</w:t>
      </w:r>
      <w:r w:rsidR="000A1578" w:rsidRPr="00C72770">
        <w:rPr>
          <w:lang w:val="en-GB"/>
        </w:rPr>
        <w:t xml:space="preserve"> 2 or 3</w:t>
      </w:r>
      <w:r w:rsidR="00552D0F">
        <w:rPr>
          <w:lang w:val="en-GB"/>
        </w:rPr>
        <w:t> </w:t>
      </w:r>
      <w:r w:rsidR="000A1578" w:rsidRPr="00C72770">
        <w:rPr>
          <w:lang w:val="en-GB"/>
        </w:rPr>
        <w:t xml:space="preserve">lines of treatment and </w:t>
      </w:r>
      <w:r w:rsidR="00020317" w:rsidRPr="00C72770">
        <w:rPr>
          <w:lang w:val="en-GB"/>
        </w:rPr>
        <w:t>ha</w:t>
      </w:r>
      <w:r w:rsidR="00020317">
        <w:rPr>
          <w:lang w:val="en-GB"/>
        </w:rPr>
        <w:t>d</w:t>
      </w:r>
      <w:r w:rsidR="00020317" w:rsidRPr="00C72770">
        <w:rPr>
          <w:lang w:val="en-GB"/>
        </w:rPr>
        <w:t xml:space="preserve"> </w:t>
      </w:r>
      <w:r w:rsidR="000A1578" w:rsidRPr="00C72770">
        <w:rPr>
          <w:lang w:val="en-GB"/>
        </w:rPr>
        <w:t xml:space="preserve">considerably more brain metastases than cohort EXP-2:3A. </w:t>
      </w:r>
      <w:r w:rsidR="009909B9" w:rsidRPr="00C72770">
        <w:rPr>
          <w:lang w:val="en-GB"/>
        </w:rPr>
        <w:t>But t</w:t>
      </w:r>
      <w:r w:rsidR="004357B8" w:rsidRPr="00C72770">
        <w:rPr>
          <w:lang w:val="en-GB"/>
        </w:rPr>
        <w:t>he committee</w:t>
      </w:r>
      <w:r w:rsidR="009909B9" w:rsidRPr="00C72770">
        <w:rPr>
          <w:lang w:val="en-GB"/>
        </w:rPr>
        <w:t xml:space="preserve"> </w:t>
      </w:r>
      <w:r w:rsidR="004357B8" w:rsidRPr="00C72770">
        <w:rPr>
          <w:lang w:val="en-GB"/>
        </w:rPr>
        <w:t>acknowledged that</w:t>
      </w:r>
      <w:r w:rsidR="002E6F63">
        <w:rPr>
          <w:lang w:val="en-GB"/>
        </w:rPr>
        <w:t>,</w:t>
      </w:r>
      <w:r w:rsidR="004357B8" w:rsidRPr="00C72770">
        <w:rPr>
          <w:lang w:val="en-GB"/>
        </w:rPr>
        <w:t xml:space="preserve"> overall</w:t>
      </w:r>
      <w:r w:rsidR="002E6F63">
        <w:rPr>
          <w:lang w:val="en-GB"/>
        </w:rPr>
        <w:t>,</w:t>
      </w:r>
      <w:r w:rsidR="004357B8" w:rsidRPr="00C72770">
        <w:rPr>
          <w:lang w:val="en-GB"/>
        </w:rPr>
        <w:t xml:space="preserve"> this was much less importa</w:t>
      </w:r>
      <w:r w:rsidR="009909B9" w:rsidRPr="00C72770">
        <w:rPr>
          <w:lang w:val="en-GB"/>
        </w:rPr>
        <w:t>nt</w:t>
      </w:r>
      <w:r w:rsidR="004357B8" w:rsidRPr="00C72770">
        <w:rPr>
          <w:lang w:val="en-GB"/>
        </w:rPr>
        <w:t xml:space="preserve"> than </w:t>
      </w:r>
      <w:r w:rsidR="002E6F63">
        <w:rPr>
          <w:lang w:val="en-GB"/>
        </w:rPr>
        <w:t>its</w:t>
      </w:r>
      <w:r w:rsidR="002E6F63" w:rsidRPr="00C72770">
        <w:rPr>
          <w:lang w:val="en-GB"/>
        </w:rPr>
        <w:t xml:space="preserve"> </w:t>
      </w:r>
      <w:r w:rsidR="004357B8" w:rsidRPr="00C72770">
        <w:rPr>
          <w:lang w:val="en-GB"/>
        </w:rPr>
        <w:t>fundamental concern that the results of the MAIC were unreliable and could not be considered, leaving only method</w:t>
      </w:r>
      <w:r w:rsidR="002E6F63">
        <w:rPr>
          <w:lang w:val="en-GB"/>
        </w:rPr>
        <w:t> </w:t>
      </w:r>
      <w:r w:rsidR="004357B8" w:rsidRPr="00C72770">
        <w:rPr>
          <w:lang w:val="en-GB"/>
        </w:rPr>
        <w:t xml:space="preserve">5 for consideration. </w:t>
      </w:r>
      <w:r w:rsidR="00CD1A99" w:rsidRPr="00C72770">
        <w:rPr>
          <w:lang w:val="en-GB"/>
        </w:rPr>
        <w:t xml:space="preserve">The committee </w:t>
      </w:r>
      <w:r w:rsidR="00043E9A" w:rsidRPr="00C72770">
        <w:rPr>
          <w:lang w:val="en-GB"/>
        </w:rPr>
        <w:t xml:space="preserve">also </w:t>
      </w:r>
      <w:r w:rsidR="00CD1A99" w:rsidRPr="00C72770">
        <w:rPr>
          <w:lang w:val="en-GB"/>
        </w:rPr>
        <w:t xml:space="preserve">agreed that the results </w:t>
      </w:r>
      <w:r w:rsidR="00586A04">
        <w:rPr>
          <w:lang w:val="en-GB"/>
        </w:rPr>
        <w:t xml:space="preserve">of the indirect treatment comparison </w:t>
      </w:r>
      <w:r w:rsidR="00CD1A99" w:rsidRPr="00C72770">
        <w:rPr>
          <w:lang w:val="en-GB"/>
        </w:rPr>
        <w:t>from appl</w:t>
      </w:r>
      <w:r w:rsidR="005C3356">
        <w:rPr>
          <w:lang w:val="en-GB"/>
        </w:rPr>
        <w:t>ying</w:t>
      </w:r>
      <w:r w:rsidR="00CD1A99" w:rsidRPr="00C72770">
        <w:rPr>
          <w:lang w:val="en-GB"/>
        </w:rPr>
        <w:t xml:space="preserve"> independent curves </w:t>
      </w:r>
      <w:r w:rsidR="000C1AF1" w:rsidRPr="00C72770">
        <w:rPr>
          <w:lang w:val="en-GB"/>
        </w:rPr>
        <w:t>without population adjustment (method</w:t>
      </w:r>
      <w:r w:rsidR="002E6F63">
        <w:rPr>
          <w:lang w:val="en-GB"/>
        </w:rPr>
        <w:t> </w:t>
      </w:r>
      <w:r w:rsidR="000C1AF1" w:rsidRPr="00C72770">
        <w:rPr>
          <w:lang w:val="en-GB"/>
        </w:rPr>
        <w:t xml:space="preserve">5) </w:t>
      </w:r>
      <w:r w:rsidR="006E1BFB">
        <w:rPr>
          <w:lang w:val="en-GB"/>
        </w:rPr>
        <w:t>were</w:t>
      </w:r>
      <w:r w:rsidR="000C1AF1" w:rsidRPr="00C72770">
        <w:rPr>
          <w:lang w:val="en-GB"/>
        </w:rPr>
        <w:t xml:space="preserve"> highly uncertain.</w:t>
      </w:r>
    </w:p>
    <w:p w14:paraId="501F0D16" w14:textId="0DA8A984" w:rsidR="00431B7F" w:rsidRPr="00C72770" w:rsidRDefault="001D0AEE" w:rsidP="00431B7F">
      <w:pPr>
        <w:pStyle w:val="Heading2"/>
      </w:pPr>
      <w:r w:rsidRPr="00C72770">
        <w:t>Utility values in the economic model</w:t>
      </w:r>
    </w:p>
    <w:p w14:paraId="24F5BC6F" w14:textId="4F8CD7AB" w:rsidR="00431B7F" w:rsidRPr="00C72770" w:rsidRDefault="00961561" w:rsidP="00431B7F">
      <w:pPr>
        <w:pStyle w:val="Heading3"/>
      </w:pPr>
      <w:r w:rsidRPr="00C72770">
        <w:t xml:space="preserve">The committee prefers </w:t>
      </w:r>
      <w:r w:rsidR="00E745B8">
        <w:t xml:space="preserve">a utility of </w:t>
      </w:r>
      <w:r w:rsidRPr="00C72770">
        <w:t>0.65 for progression on treatment and 0.46 for progress</w:t>
      </w:r>
      <w:r w:rsidR="00E745B8">
        <w:t>ion</w:t>
      </w:r>
      <w:r w:rsidRPr="00C72770">
        <w:t xml:space="preserve"> off treatment in both arms</w:t>
      </w:r>
    </w:p>
    <w:p w14:paraId="035EF006" w14:textId="2983D56B" w:rsidR="008B3ACC" w:rsidRPr="00C72770" w:rsidRDefault="00DC77DD" w:rsidP="00431B7F">
      <w:pPr>
        <w:pStyle w:val="Numberedlevel2text"/>
        <w:rPr>
          <w:lang w:val="en-GB"/>
        </w:rPr>
      </w:pPr>
      <w:r>
        <w:rPr>
          <w:lang w:val="en-GB"/>
        </w:rPr>
        <w:t>T</w:t>
      </w:r>
      <w:r w:rsidR="00861D4F" w:rsidRPr="00C72770">
        <w:rPr>
          <w:lang w:val="en-GB"/>
        </w:rPr>
        <w:t xml:space="preserve">he company </w:t>
      </w:r>
      <w:r>
        <w:rPr>
          <w:lang w:val="en-GB"/>
        </w:rPr>
        <w:t>did a</w:t>
      </w:r>
      <w:r w:rsidR="00861D4F" w:rsidRPr="00C72770">
        <w:rPr>
          <w:lang w:val="en-GB"/>
        </w:rPr>
        <w:t xml:space="preserve"> systematic literature review </w:t>
      </w:r>
      <w:r>
        <w:rPr>
          <w:lang w:val="en-GB"/>
        </w:rPr>
        <w:t>to</w:t>
      </w:r>
      <w:r w:rsidR="00861D4F" w:rsidRPr="00C72770">
        <w:rPr>
          <w:lang w:val="en-GB"/>
        </w:rPr>
        <w:t xml:space="preserve"> identify relevant studies with published utility values for ALK</w:t>
      </w:r>
      <w:r w:rsidR="005B2D8F" w:rsidRPr="00C72770">
        <w:rPr>
          <w:lang w:val="en-GB"/>
        </w:rPr>
        <w:noBreakHyphen/>
      </w:r>
      <w:r w:rsidR="00861D4F" w:rsidRPr="00C72770">
        <w:rPr>
          <w:lang w:val="en-GB"/>
        </w:rPr>
        <w:t xml:space="preserve">positive NSCLC. The study by Labbé et al. </w:t>
      </w:r>
      <w:r w:rsidR="008B3ACC" w:rsidRPr="00C72770">
        <w:rPr>
          <w:lang w:val="en-GB"/>
        </w:rPr>
        <w:t xml:space="preserve">(2017) </w:t>
      </w:r>
      <w:r w:rsidR="00861D4F" w:rsidRPr="00C72770">
        <w:rPr>
          <w:lang w:val="en-GB"/>
        </w:rPr>
        <w:t xml:space="preserve">was the largest published source of NSCLC ALK-positive EQ-5D </w:t>
      </w:r>
      <w:r w:rsidR="00E745B8">
        <w:rPr>
          <w:lang w:val="en-GB"/>
        </w:rPr>
        <w:t xml:space="preserve">questionnaire </w:t>
      </w:r>
      <w:r w:rsidR="00861D4F" w:rsidRPr="00C72770">
        <w:rPr>
          <w:lang w:val="en-GB"/>
        </w:rPr>
        <w:t xml:space="preserve">utility values, and the company selected the value of 0.65 from the study for the progressed disease state in both arms. </w:t>
      </w:r>
      <w:r w:rsidR="00431B7F" w:rsidRPr="00C72770">
        <w:rPr>
          <w:lang w:val="en-GB"/>
        </w:rPr>
        <w:t xml:space="preserve">The </w:t>
      </w:r>
      <w:r w:rsidR="00431B7F" w:rsidRPr="00C72770">
        <w:rPr>
          <w:lang w:val="en-GB"/>
        </w:rPr>
        <w:lastRenderedPageBreak/>
        <w:t>ERG</w:t>
      </w:r>
      <w:r w:rsidR="00E745B8">
        <w:rPr>
          <w:lang w:val="en-GB"/>
        </w:rPr>
        <w:t xml:space="preserve"> was concerned</w:t>
      </w:r>
      <w:r w:rsidR="00431B7F" w:rsidRPr="00C72770">
        <w:rPr>
          <w:lang w:val="en-GB"/>
        </w:rPr>
        <w:t xml:space="preserve"> that </w:t>
      </w:r>
      <w:r w:rsidR="00861D4F" w:rsidRPr="00C72770">
        <w:rPr>
          <w:lang w:val="en-GB"/>
        </w:rPr>
        <w:t xml:space="preserve">this value was likely </w:t>
      </w:r>
      <w:r>
        <w:rPr>
          <w:lang w:val="en-GB"/>
        </w:rPr>
        <w:t xml:space="preserve">to </w:t>
      </w:r>
      <w:r w:rsidR="00861D4F" w:rsidRPr="00C72770">
        <w:rPr>
          <w:lang w:val="en-GB"/>
        </w:rPr>
        <w:t xml:space="preserve">represent the health state shortly </w:t>
      </w:r>
      <w:r w:rsidR="00A61E13">
        <w:rPr>
          <w:lang w:val="en-GB"/>
        </w:rPr>
        <w:t>after</w:t>
      </w:r>
      <w:r w:rsidR="00A61E13" w:rsidRPr="00C72770">
        <w:rPr>
          <w:lang w:val="en-GB"/>
        </w:rPr>
        <w:t xml:space="preserve"> </w:t>
      </w:r>
      <w:r w:rsidR="00861D4F" w:rsidRPr="00C72770">
        <w:rPr>
          <w:lang w:val="en-GB"/>
        </w:rPr>
        <w:t xml:space="preserve">progression rather than the whole progressed period and </w:t>
      </w:r>
      <w:r w:rsidR="00431B7F" w:rsidRPr="00C72770">
        <w:rPr>
          <w:lang w:val="en-GB"/>
        </w:rPr>
        <w:t xml:space="preserve">was </w:t>
      </w:r>
      <w:r w:rsidR="00861D4F" w:rsidRPr="00C72770">
        <w:rPr>
          <w:lang w:val="en-GB"/>
        </w:rPr>
        <w:t xml:space="preserve">therefore </w:t>
      </w:r>
      <w:r w:rsidR="00431B7F" w:rsidRPr="00C72770">
        <w:rPr>
          <w:lang w:val="en-GB"/>
        </w:rPr>
        <w:t xml:space="preserve">too high. </w:t>
      </w:r>
      <w:r w:rsidR="003B5ABD" w:rsidRPr="00C72770">
        <w:rPr>
          <w:lang w:val="en-GB"/>
        </w:rPr>
        <w:t xml:space="preserve">The committee </w:t>
      </w:r>
      <w:r w:rsidR="008B3ACC" w:rsidRPr="00C72770">
        <w:rPr>
          <w:lang w:val="en-GB"/>
        </w:rPr>
        <w:t>recalled</w:t>
      </w:r>
      <w:r w:rsidR="003B5ABD" w:rsidRPr="00C72770">
        <w:rPr>
          <w:lang w:val="en-GB"/>
        </w:rPr>
        <w:t xml:space="preserve"> </w:t>
      </w:r>
      <w:r w:rsidR="008B3ACC" w:rsidRPr="00C72770">
        <w:rPr>
          <w:lang w:val="en-GB"/>
        </w:rPr>
        <w:t xml:space="preserve">that the ERG preferred the values from Chouaid et al. (2013) for progressed disease after </w:t>
      </w:r>
      <w:r w:rsidR="00C72770">
        <w:rPr>
          <w:lang w:val="en-GB"/>
        </w:rPr>
        <w:t>second</w:t>
      </w:r>
      <w:r w:rsidR="00E745B8">
        <w:rPr>
          <w:lang w:val="en-GB"/>
        </w:rPr>
        <w:t>-</w:t>
      </w:r>
      <w:r w:rsidR="008B3ACC" w:rsidRPr="00C72770">
        <w:rPr>
          <w:lang w:val="en-GB"/>
        </w:rPr>
        <w:t xml:space="preserve">line </w:t>
      </w:r>
      <w:r w:rsidR="00E745B8">
        <w:rPr>
          <w:lang w:val="en-GB"/>
        </w:rPr>
        <w:t xml:space="preserve">treatment </w:t>
      </w:r>
      <w:r w:rsidR="008B3ACC" w:rsidRPr="00C72770">
        <w:rPr>
          <w:lang w:val="en-GB"/>
        </w:rPr>
        <w:t xml:space="preserve">(0.59) and after </w:t>
      </w:r>
      <w:r w:rsidR="00C72770">
        <w:rPr>
          <w:lang w:val="en-GB"/>
        </w:rPr>
        <w:t>third</w:t>
      </w:r>
      <w:r w:rsidR="00A61E13">
        <w:rPr>
          <w:lang w:val="en-GB"/>
        </w:rPr>
        <w:t xml:space="preserve"> or </w:t>
      </w:r>
      <w:r w:rsidR="00C72770">
        <w:rPr>
          <w:lang w:val="en-GB"/>
        </w:rPr>
        <w:t xml:space="preserve">fourth </w:t>
      </w:r>
      <w:r w:rsidR="008B3ACC" w:rsidRPr="00C72770">
        <w:rPr>
          <w:lang w:val="en-GB"/>
        </w:rPr>
        <w:t>lines of treatment (0.46).</w:t>
      </w:r>
      <w:r w:rsidR="00A61E13">
        <w:rPr>
          <w:lang w:val="en-GB"/>
        </w:rPr>
        <w:t xml:space="preserve"> </w:t>
      </w:r>
      <w:r w:rsidR="00AE26DB" w:rsidRPr="00C72770">
        <w:rPr>
          <w:lang w:val="en-GB"/>
        </w:rPr>
        <w:t>The clinical experts agreed that th</w:t>
      </w:r>
      <w:r w:rsidR="00AE26DB">
        <w:rPr>
          <w:lang w:val="en-GB"/>
        </w:rPr>
        <w:t xml:space="preserve">e population </w:t>
      </w:r>
      <w:r w:rsidR="00020317">
        <w:rPr>
          <w:lang w:val="en-GB"/>
        </w:rPr>
        <w:t>had</w:t>
      </w:r>
      <w:r w:rsidR="00AE26DB" w:rsidRPr="00C72770">
        <w:rPr>
          <w:lang w:val="en-GB"/>
        </w:rPr>
        <w:t xml:space="preserve"> </w:t>
      </w:r>
      <w:r w:rsidR="00020317">
        <w:rPr>
          <w:lang w:val="en-GB"/>
        </w:rPr>
        <w:t>many</w:t>
      </w:r>
      <w:r w:rsidR="00020317" w:rsidRPr="00C72770">
        <w:rPr>
          <w:lang w:val="en-GB"/>
        </w:rPr>
        <w:t xml:space="preserve"> </w:t>
      </w:r>
      <w:r w:rsidR="00AE26DB" w:rsidRPr="00C72770">
        <w:rPr>
          <w:lang w:val="en-GB"/>
        </w:rPr>
        <w:t>pre</w:t>
      </w:r>
      <w:r w:rsidR="00020317">
        <w:rPr>
          <w:lang w:val="en-GB"/>
        </w:rPr>
        <w:t xml:space="preserve">vious </w:t>
      </w:r>
      <w:r w:rsidR="00AE26DB" w:rsidRPr="00C72770">
        <w:rPr>
          <w:lang w:val="en-GB"/>
        </w:rPr>
        <w:t>treat</w:t>
      </w:r>
      <w:r w:rsidR="00020317">
        <w:rPr>
          <w:lang w:val="en-GB"/>
        </w:rPr>
        <w:t>ments,</w:t>
      </w:r>
      <w:r w:rsidR="00AE26DB" w:rsidRPr="00C72770">
        <w:rPr>
          <w:lang w:val="en-GB"/>
        </w:rPr>
        <w:t xml:space="preserve"> </w:t>
      </w:r>
      <w:r w:rsidR="005B5258">
        <w:rPr>
          <w:lang w:val="en-GB"/>
        </w:rPr>
        <w:t>and</w:t>
      </w:r>
      <w:r w:rsidR="00AE26DB" w:rsidRPr="00C72770">
        <w:rPr>
          <w:lang w:val="en-GB"/>
        </w:rPr>
        <w:t xml:space="preserve"> a very high incidence of brain metastases</w:t>
      </w:r>
      <w:r w:rsidR="00AE26DB">
        <w:rPr>
          <w:lang w:val="en-GB"/>
        </w:rPr>
        <w:t>. They</w:t>
      </w:r>
      <w:r w:rsidR="00AE26DB" w:rsidRPr="00C72770">
        <w:rPr>
          <w:lang w:val="en-GB"/>
        </w:rPr>
        <w:t xml:space="preserve"> s</w:t>
      </w:r>
      <w:r w:rsidR="00AE26DB">
        <w:rPr>
          <w:lang w:val="en-GB"/>
        </w:rPr>
        <w:t>aid</w:t>
      </w:r>
      <w:r w:rsidR="00AE26DB" w:rsidRPr="00C72770">
        <w:rPr>
          <w:lang w:val="en-GB"/>
        </w:rPr>
        <w:t xml:space="preserve"> that the best evidence for quality of life in this population </w:t>
      </w:r>
      <w:r w:rsidR="00AE26DB">
        <w:rPr>
          <w:lang w:val="en-GB"/>
        </w:rPr>
        <w:t>wa</w:t>
      </w:r>
      <w:r w:rsidR="00AE26DB" w:rsidRPr="00C72770">
        <w:rPr>
          <w:lang w:val="en-GB"/>
        </w:rPr>
        <w:t>s from the QUARTZ study</w:t>
      </w:r>
      <w:r w:rsidR="00EA0446">
        <w:rPr>
          <w:lang w:val="en-GB"/>
        </w:rPr>
        <w:t xml:space="preserve">, which </w:t>
      </w:r>
      <w:r w:rsidR="00DC333B">
        <w:rPr>
          <w:lang w:val="en-GB"/>
        </w:rPr>
        <w:t>looked at</w:t>
      </w:r>
      <w:r w:rsidR="00EA0446">
        <w:rPr>
          <w:lang w:val="en-GB"/>
        </w:rPr>
        <w:t xml:space="preserve"> the quality of life of patients </w:t>
      </w:r>
      <w:r w:rsidR="00BE018F">
        <w:rPr>
          <w:lang w:val="en-GB"/>
        </w:rPr>
        <w:t>after</w:t>
      </w:r>
      <w:r w:rsidR="00EA0446">
        <w:rPr>
          <w:lang w:val="en-GB"/>
        </w:rPr>
        <w:t xml:space="preserve"> treatment for brain metastases</w:t>
      </w:r>
      <w:r w:rsidR="00AE26DB">
        <w:rPr>
          <w:lang w:val="en-GB"/>
        </w:rPr>
        <w:t>. B</w:t>
      </w:r>
      <w:r w:rsidR="00AE26DB" w:rsidRPr="00C72770">
        <w:rPr>
          <w:lang w:val="en-GB"/>
        </w:rPr>
        <w:t xml:space="preserve">ut the population in </w:t>
      </w:r>
      <w:r w:rsidR="00AE26DB">
        <w:rPr>
          <w:lang w:val="en-GB"/>
        </w:rPr>
        <w:t>QUARTZ</w:t>
      </w:r>
      <w:r w:rsidR="00AE26DB" w:rsidRPr="00C72770">
        <w:rPr>
          <w:lang w:val="en-GB"/>
        </w:rPr>
        <w:t xml:space="preserve"> was considerably less well than </w:t>
      </w:r>
      <w:r w:rsidR="00AE26DB">
        <w:rPr>
          <w:lang w:val="en-GB"/>
        </w:rPr>
        <w:t>the population</w:t>
      </w:r>
      <w:r w:rsidR="00AE26DB" w:rsidRPr="00C72770">
        <w:rPr>
          <w:lang w:val="en-GB"/>
        </w:rPr>
        <w:t xml:space="preserve"> in </w:t>
      </w:r>
      <w:r w:rsidR="00020317">
        <w:rPr>
          <w:lang w:val="en-GB"/>
        </w:rPr>
        <w:t>s</w:t>
      </w:r>
      <w:r w:rsidR="00AE26DB" w:rsidRPr="00C72770">
        <w:rPr>
          <w:lang w:val="en-GB"/>
        </w:rPr>
        <w:t>tudy</w:t>
      </w:r>
      <w:r w:rsidR="00AE26DB">
        <w:rPr>
          <w:lang w:val="en-GB"/>
        </w:rPr>
        <w:t> </w:t>
      </w:r>
      <w:r w:rsidR="00AE26DB" w:rsidRPr="00C72770">
        <w:rPr>
          <w:lang w:val="en-GB"/>
        </w:rPr>
        <w:t xml:space="preserve">1001 </w:t>
      </w:r>
      <w:r w:rsidR="00AE26DB">
        <w:rPr>
          <w:lang w:val="en-GB"/>
        </w:rPr>
        <w:t>and had</w:t>
      </w:r>
      <w:r w:rsidR="00AE26DB" w:rsidRPr="00C72770">
        <w:rPr>
          <w:lang w:val="en-GB"/>
        </w:rPr>
        <w:t xml:space="preserve"> higher levels of comorbidity. </w:t>
      </w:r>
      <w:r w:rsidR="00AE26DB">
        <w:rPr>
          <w:lang w:val="en-GB"/>
        </w:rPr>
        <w:t>So</w:t>
      </w:r>
      <w:r w:rsidR="00AE26DB" w:rsidRPr="00C72770">
        <w:rPr>
          <w:lang w:val="en-GB"/>
        </w:rPr>
        <w:t xml:space="preserve"> the value of 0.46 was </w:t>
      </w:r>
      <w:r w:rsidR="00AE26DB">
        <w:rPr>
          <w:lang w:val="en-GB"/>
        </w:rPr>
        <w:t>agreed</w:t>
      </w:r>
      <w:r w:rsidR="00AE26DB" w:rsidRPr="00C72770">
        <w:rPr>
          <w:lang w:val="en-GB"/>
        </w:rPr>
        <w:t xml:space="preserve"> to be too low for progressed disease in the current appraisal. </w:t>
      </w:r>
      <w:r w:rsidR="00A61E13">
        <w:rPr>
          <w:lang w:val="en-GB"/>
        </w:rPr>
        <w:t>T</w:t>
      </w:r>
      <w:r w:rsidR="008B3ACC" w:rsidRPr="00C72770">
        <w:rPr>
          <w:lang w:val="en-GB"/>
        </w:rPr>
        <w:t>he committee asked the clinical experts which of the 3</w:t>
      </w:r>
      <w:r w:rsidR="00A61E13">
        <w:rPr>
          <w:lang w:val="en-GB"/>
        </w:rPr>
        <w:t> </w:t>
      </w:r>
      <w:r w:rsidR="008B3ACC" w:rsidRPr="00C72770">
        <w:rPr>
          <w:lang w:val="en-GB"/>
        </w:rPr>
        <w:t>options</w:t>
      </w:r>
      <w:r w:rsidR="00A61E13">
        <w:rPr>
          <w:lang w:val="en-GB"/>
        </w:rPr>
        <w:t xml:space="preserve"> were most clinically plausible</w:t>
      </w:r>
      <w:r w:rsidR="008B3ACC" w:rsidRPr="00C72770">
        <w:rPr>
          <w:lang w:val="en-GB"/>
        </w:rPr>
        <w:t>:</w:t>
      </w:r>
    </w:p>
    <w:p w14:paraId="33E4D284" w14:textId="78E7BD02" w:rsidR="008B3ACC" w:rsidRPr="00C72770" w:rsidRDefault="00A61E13" w:rsidP="00AE26DB">
      <w:pPr>
        <w:pStyle w:val="Bulletindent1"/>
      </w:pPr>
      <w:r>
        <w:t>a</w:t>
      </w:r>
      <w:r w:rsidR="008B3ACC" w:rsidRPr="00C72770">
        <w:t xml:space="preserve"> progressed health state utility value of 0.59</w:t>
      </w:r>
    </w:p>
    <w:p w14:paraId="6C6CEE30" w14:textId="5910DF3A" w:rsidR="008B3ACC" w:rsidRPr="00C72770" w:rsidRDefault="00A61E13" w:rsidP="00AE26DB">
      <w:pPr>
        <w:pStyle w:val="Bulletindent1"/>
      </w:pPr>
      <w:r>
        <w:t>a</w:t>
      </w:r>
      <w:r w:rsidR="008B3ACC" w:rsidRPr="00C72770">
        <w:t xml:space="preserve"> value of 0.65 for lorlatinib patients in progression on treatment and 0.59 for progressed</w:t>
      </w:r>
      <w:r w:rsidR="00336D43">
        <w:t xml:space="preserve"> disease</w:t>
      </w:r>
      <w:r w:rsidR="008B3ACC" w:rsidRPr="00C72770">
        <w:t xml:space="preserve"> and off treatment in both arms</w:t>
      </w:r>
    </w:p>
    <w:p w14:paraId="29FA9848" w14:textId="736A1030" w:rsidR="008B3ACC" w:rsidRPr="00C72770" w:rsidRDefault="00A61E13" w:rsidP="00AE26DB">
      <w:pPr>
        <w:pStyle w:val="Bulletindent1last"/>
      </w:pPr>
      <w:r>
        <w:t>a</w:t>
      </w:r>
      <w:r w:rsidR="008B3ACC" w:rsidRPr="00C72770">
        <w:t xml:space="preserve"> value of 0.65 for lorlatinib patients in progression on treatment and 0.46 for progressed </w:t>
      </w:r>
      <w:r w:rsidR="00336D43">
        <w:t>disease</w:t>
      </w:r>
      <w:r w:rsidR="00EB3220">
        <w:t xml:space="preserve"> </w:t>
      </w:r>
      <w:r w:rsidR="008B3ACC" w:rsidRPr="00C72770">
        <w:t>and off treatment in both arms</w:t>
      </w:r>
      <w:r>
        <w:t>.</w:t>
      </w:r>
    </w:p>
    <w:p w14:paraId="0E2BF8EE" w14:textId="7598FAD2" w:rsidR="004B7D57" w:rsidRPr="00C72770" w:rsidRDefault="00912098" w:rsidP="00D271E2">
      <w:pPr>
        <w:pStyle w:val="Numberedlevel2text"/>
        <w:numPr>
          <w:ilvl w:val="0"/>
          <w:numId w:val="0"/>
        </w:numPr>
        <w:ind w:left="1134"/>
        <w:rPr>
          <w:lang w:val="en-GB"/>
        </w:rPr>
      </w:pPr>
      <w:r w:rsidRPr="00C72770">
        <w:rPr>
          <w:lang w:val="en-GB"/>
        </w:rPr>
        <w:t xml:space="preserve">The committee heard that </w:t>
      </w:r>
      <w:r w:rsidR="002F26BC">
        <w:rPr>
          <w:lang w:val="en-GB"/>
        </w:rPr>
        <w:t xml:space="preserve">because </w:t>
      </w:r>
      <w:r w:rsidRPr="00C72770">
        <w:rPr>
          <w:lang w:val="en-GB"/>
        </w:rPr>
        <w:t xml:space="preserve">the </w:t>
      </w:r>
      <w:r w:rsidR="002F26BC">
        <w:rPr>
          <w:lang w:val="en-GB"/>
        </w:rPr>
        <w:t xml:space="preserve">disease and how it affects people varies, </w:t>
      </w:r>
      <w:r w:rsidRPr="00C72770">
        <w:rPr>
          <w:lang w:val="en-GB"/>
        </w:rPr>
        <w:t xml:space="preserve">both 0.46 and 0.59 </w:t>
      </w:r>
      <w:r w:rsidR="008E0603">
        <w:rPr>
          <w:lang w:val="en-GB"/>
        </w:rPr>
        <w:t>were</w:t>
      </w:r>
      <w:r w:rsidRPr="00C72770">
        <w:rPr>
          <w:lang w:val="en-GB"/>
        </w:rPr>
        <w:t xml:space="preserve"> plausible as averages across the progressed disease </w:t>
      </w:r>
      <w:r w:rsidR="00AE26DB">
        <w:rPr>
          <w:lang w:val="en-GB"/>
        </w:rPr>
        <w:t>and off</w:t>
      </w:r>
      <w:r w:rsidR="00F7530A">
        <w:rPr>
          <w:lang w:val="en-GB"/>
        </w:rPr>
        <w:t>-</w:t>
      </w:r>
      <w:r w:rsidR="00AE26DB">
        <w:rPr>
          <w:lang w:val="en-GB"/>
        </w:rPr>
        <w:t xml:space="preserve">treatment </w:t>
      </w:r>
      <w:r w:rsidRPr="00C72770">
        <w:rPr>
          <w:lang w:val="en-GB"/>
        </w:rPr>
        <w:t xml:space="preserve">health state. One clinical expert </w:t>
      </w:r>
      <w:r w:rsidR="00EF0657" w:rsidRPr="00C72770">
        <w:rPr>
          <w:lang w:val="en-GB"/>
        </w:rPr>
        <w:t>strong</w:t>
      </w:r>
      <w:r w:rsidR="00A61E13">
        <w:rPr>
          <w:lang w:val="en-GB"/>
        </w:rPr>
        <w:t>ly</w:t>
      </w:r>
      <w:r w:rsidR="00EF0657" w:rsidRPr="00C72770">
        <w:rPr>
          <w:lang w:val="en-GB"/>
        </w:rPr>
        <w:t xml:space="preserve"> support</w:t>
      </w:r>
      <w:r w:rsidR="00A61E13">
        <w:rPr>
          <w:lang w:val="en-GB"/>
        </w:rPr>
        <w:t>ed</w:t>
      </w:r>
      <w:r w:rsidRPr="00C72770">
        <w:rPr>
          <w:lang w:val="en-GB"/>
        </w:rPr>
        <w:t xml:space="preserve"> a </w:t>
      </w:r>
      <w:r w:rsidR="00A61E13">
        <w:rPr>
          <w:lang w:val="en-GB"/>
        </w:rPr>
        <w:t>2</w:t>
      </w:r>
      <w:r w:rsidRPr="00C72770">
        <w:rPr>
          <w:lang w:val="en-GB"/>
        </w:rPr>
        <w:t xml:space="preserve">-part utility value for progressed disease, on the basis that disease progression does not </w:t>
      </w:r>
      <w:r w:rsidR="005100F9" w:rsidRPr="00C72770">
        <w:rPr>
          <w:lang w:val="en-GB"/>
        </w:rPr>
        <w:t xml:space="preserve">immediately </w:t>
      </w:r>
      <w:r w:rsidRPr="00C72770">
        <w:rPr>
          <w:lang w:val="en-GB"/>
        </w:rPr>
        <w:t xml:space="preserve">correspond to an increase in </w:t>
      </w:r>
      <w:r w:rsidR="00A61E13">
        <w:rPr>
          <w:lang w:val="en-GB"/>
        </w:rPr>
        <w:t xml:space="preserve">a patient’s </w:t>
      </w:r>
      <w:r w:rsidRPr="00C72770">
        <w:rPr>
          <w:lang w:val="en-GB"/>
        </w:rPr>
        <w:t>symptom burden</w:t>
      </w:r>
      <w:r w:rsidR="00A61E13">
        <w:rPr>
          <w:lang w:val="en-GB"/>
        </w:rPr>
        <w:t>. But they were</w:t>
      </w:r>
      <w:r w:rsidR="00EF0657" w:rsidRPr="00C72770">
        <w:rPr>
          <w:lang w:val="en-GB"/>
        </w:rPr>
        <w:t xml:space="preserve"> uncertain whether </w:t>
      </w:r>
      <w:r w:rsidR="00EB3220">
        <w:rPr>
          <w:lang w:val="en-GB"/>
        </w:rPr>
        <w:t>the second value</w:t>
      </w:r>
      <w:r w:rsidR="00EF0657" w:rsidRPr="00C72770">
        <w:rPr>
          <w:lang w:val="en-GB"/>
        </w:rPr>
        <w:t xml:space="preserve"> should be 0.59 or 0.46. The committee asked the </w:t>
      </w:r>
      <w:r w:rsidR="004B0280">
        <w:rPr>
          <w:lang w:val="en-GB"/>
        </w:rPr>
        <w:t xml:space="preserve">clinical and patient </w:t>
      </w:r>
      <w:r w:rsidR="00EF0657" w:rsidRPr="00C72770">
        <w:rPr>
          <w:lang w:val="en-GB"/>
        </w:rPr>
        <w:t xml:space="preserve">experts </w:t>
      </w:r>
      <w:r w:rsidR="000411E2">
        <w:rPr>
          <w:lang w:val="en-GB"/>
        </w:rPr>
        <w:t xml:space="preserve">how </w:t>
      </w:r>
      <w:r w:rsidR="00EF0657" w:rsidRPr="00C72770">
        <w:rPr>
          <w:lang w:val="en-GB"/>
        </w:rPr>
        <w:t xml:space="preserve">the </w:t>
      </w:r>
      <w:r w:rsidR="000411E2">
        <w:rPr>
          <w:lang w:val="en-GB"/>
        </w:rPr>
        <w:t xml:space="preserve">utility </w:t>
      </w:r>
      <w:r w:rsidR="00EF0657" w:rsidRPr="00C72770">
        <w:rPr>
          <w:lang w:val="en-GB"/>
        </w:rPr>
        <w:t xml:space="preserve">level </w:t>
      </w:r>
      <w:r w:rsidR="000411E2">
        <w:rPr>
          <w:lang w:val="en-GB"/>
        </w:rPr>
        <w:t>declines for</w:t>
      </w:r>
      <w:r w:rsidR="00EF0657" w:rsidRPr="00C72770">
        <w:rPr>
          <w:lang w:val="en-GB"/>
        </w:rPr>
        <w:t xml:space="preserve"> patients </w:t>
      </w:r>
      <w:r w:rsidR="000411E2">
        <w:rPr>
          <w:lang w:val="en-GB"/>
        </w:rPr>
        <w:t>after</w:t>
      </w:r>
      <w:r w:rsidR="00EF0657" w:rsidRPr="00C72770">
        <w:rPr>
          <w:lang w:val="en-GB"/>
        </w:rPr>
        <w:t xml:space="preserve"> symptomatic progression to understand wh</w:t>
      </w:r>
      <w:r w:rsidR="00B127B8">
        <w:rPr>
          <w:lang w:val="en-GB"/>
        </w:rPr>
        <w:t>ich value</w:t>
      </w:r>
      <w:r w:rsidR="00EF0657" w:rsidRPr="00C72770">
        <w:rPr>
          <w:lang w:val="en-GB"/>
        </w:rPr>
        <w:t xml:space="preserve"> would better reflect the average utility in progression off treatment with lorlatinib. The clinical experts agreed that some people, particularly with brain metastases, can deteriorate very quickly to a low level of utility with a very high symptom </w:t>
      </w:r>
      <w:r w:rsidR="00EF0657" w:rsidRPr="00C72770">
        <w:rPr>
          <w:lang w:val="en-GB"/>
        </w:rPr>
        <w:lastRenderedPageBreak/>
        <w:t xml:space="preserve">burden. </w:t>
      </w:r>
      <w:r w:rsidR="00961561" w:rsidRPr="00C72770">
        <w:rPr>
          <w:lang w:val="en-GB"/>
        </w:rPr>
        <w:t xml:space="preserve">On balance, given that patients had previously </w:t>
      </w:r>
      <w:r w:rsidR="000411E2">
        <w:rPr>
          <w:lang w:val="en-GB"/>
        </w:rPr>
        <w:t xml:space="preserve">had </w:t>
      </w:r>
      <w:r w:rsidR="00961561" w:rsidRPr="00C72770">
        <w:rPr>
          <w:lang w:val="en-GB"/>
        </w:rPr>
        <w:t>treat</w:t>
      </w:r>
      <w:r w:rsidR="000411E2">
        <w:rPr>
          <w:lang w:val="en-GB"/>
        </w:rPr>
        <w:t>ment</w:t>
      </w:r>
      <w:r w:rsidR="00961561" w:rsidRPr="00C72770">
        <w:rPr>
          <w:lang w:val="en-GB"/>
        </w:rPr>
        <w:t xml:space="preserve"> with surgery (56.1%) and radiotherapy (68.3%) and had a very high incidence of brain metastases (66.9%)</w:t>
      </w:r>
      <w:r w:rsidR="00EB3220">
        <w:rPr>
          <w:lang w:val="en-GB"/>
        </w:rPr>
        <w:t>,</w:t>
      </w:r>
      <w:r w:rsidR="00961561" w:rsidRPr="00C72770">
        <w:rPr>
          <w:lang w:val="en-GB"/>
        </w:rPr>
        <w:t xml:space="preserve"> the committee </w:t>
      </w:r>
      <w:r w:rsidR="00EB3220">
        <w:rPr>
          <w:lang w:val="en-GB"/>
        </w:rPr>
        <w:t>concluded</w:t>
      </w:r>
      <w:r w:rsidR="00EB3220" w:rsidRPr="00C72770">
        <w:rPr>
          <w:lang w:val="en-GB"/>
        </w:rPr>
        <w:t xml:space="preserve"> </w:t>
      </w:r>
      <w:r w:rsidR="00961561" w:rsidRPr="00C72770">
        <w:rPr>
          <w:lang w:val="en-GB"/>
        </w:rPr>
        <w:t xml:space="preserve">that </w:t>
      </w:r>
      <w:r w:rsidR="00EB3220">
        <w:rPr>
          <w:lang w:val="en-GB"/>
        </w:rPr>
        <w:t xml:space="preserve">the preferred utility values were </w:t>
      </w:r>
      <w:r w:rsidR="00961561" w:rsidRPr="00C72770">
        <w:rPr>
          <w:lang w:val="en-GB"/>
        </w:rPr>
        <w:t xml:space="preserve">0.65 for lorlatinib patients in progression on treatment and 0.46 for </w:t>
      </w:r>
      <w:r w:rsidR="000411E2">
        <w:rPr>
          <w:lang w:val="en-GB"/>
        </w:rPr>
        <w:t xml:space="preserve">patients who had </w:t>
      </w:r>
      <w:r w:rsidR="00961561" w:rsidRPr="00C72770">
        <w:rPr>
          <w:lang w:val="en-GB"/>
        </w:rPr>
        <w:t xml:space="preserve">progressed and </w:t>
      </w:r>
      <w:r w:rsidR="000411E2">
        <w:rPr>
          <w:lang w:val="en-GB"/>
        </w:rPr>
        <w:t xml:space="preserve">were </w:t>
      </w:r>
      <w:r w:rsidR="00961561" w:rsidRPr="00C72770">
        <w:rPr>
          <w:lang w:val="en-GB"/>
        </w:rPr>
        <w:t>off treatment in both arms.</w:t>
      </w:r>
    </w:p>
    <w:p w14:paraId="034417B8" w14:textId="394C99BE" w:rsidR="001E3F6C" w:rsidRPr="00C72770" w:rsidRDefault="001E3F6C" w:rsidP="001E3F6C">
      <w:pPr>
        <w:pStyle w:val="Heading2"/>
      </w:pPr>
      <w:r w:rsidRPr="00C72770">
        <w:t>Results of the cost-effectiveness analysis</w:t>
      </w:r>
    </w:p>
    <w:p w14:paraId="595E493F" w14:textId="54E54015" w:rsidR="00170CF5" w:rsidRPr="00C72770" w:rsidRDefault="00170CF5" w:rsidP="001E3F6C">
      <w:pPr>
        <w:pStyle w:val="Heading3"/>
      </w:pPr>
      <w:r w:rsidRPr="00C72770">
        <w:t xml:space="preserve">The </w:t>
      </w:r>
      <w:r w:rsidR="001658FC">
        <w:t xml:space="preserve">committee has preferred </w:t>
      </w:r>
      <w:r w:rsidRPr="00C72770">
        <w:t>assumptions for decision making</w:t>
      </w:r>
    </w:p>
    <w:p w14:paraId="7FEBE8A6" w14:textId="10D5477F" w:rsidR="008D5D0F" w:rsidRPr="00460335" w:rsidRDefault="00170CF5" w:rsidP="00325EB1">
      <w:pPr>
        <w:pStyle w:val="Numberedlevel2text"/>
        <w:spacing w:after="0"/>
        <w:rPr>
          <w:lang w:val="en-GB"/>
        </w:rPr>
      </w:pPr>
      <w:r w:rsidRPr="00460335">
        <w:rPr>
          <w:bCs w:val="0"/>
          <w:iCs w:val="0"/>
          <w:lang w:val="en-GB"/>
        </w:rPr>
        <w:t xml:space="preserve">The committee’s preferred </w:t>
      </w:r>
      <w:r w:rsidR="00AE2703" w:rsidRPr="00460335">
        <w:rPr>
          <w:bCs w:val="0"/>
          <w:iCs w:val="0"/>
          <w:lang w:val="en-GB"/>
        </w:rPr>
        <w:t>assumptions</w:t>
      </w:r>
      <w:r w:rsidRPr="00460335">
        <w:rPr>
          <w:bCs w:val="0"/>
          <w:iCs w:val="0"/>
          <w:lang w:val="en-GB"/>
        </w:rPr>
        <w:t xml:space="preserve"> for decision making</w:t>
      </w:r>
      <w:r w:rsidR="00460335" w:rsidRPr="00460335">
        <w:rPr>
          <w:bCs w:val="0"/>
          <w:iCs w:val="0"/>
          <w:lang w:val="en-GB"/>
        </w:rPr>
        <w:t xml:space="preserve"> for PDC</w:t>
      </w:r>
      <w:r w:rsidRPr="00460335">
        <w:rPr>
          <w:bCs w:val="0"/>
          <w:iCs w:val="0"/>
          <w:lang w:val="en-GB"/>
        </w:rPr>
        <w:t xml:space="preserve"> </w:t>
      </w:r>
      <w:r w:rsidR="00460335" w:rsidRPr="00B317E6">
        <w:rPr>
          <w:bCs w:val="0"/>
          <w:iCs w:val="0"/>
          <w:lang w:val="en-GB"/>
        </w:rPr>
        <w:t>were</w:t>
      </w:r>
      <w:r w:rsidRPr="00BD12DE">
        <w:rPr>
          <w:rFonts w:cs="Arial"/>
          <w:bCs w:val="0"/>
          <w:iCs w:val="0"/>
          <w:lang w:val="en-GB"/>
        </w:rPr>
        <w:t>:</w:t>
      </w:r>
    </w:p>
    <w:p w14:paraId="0897E315" w14:textId="08DB506A" w:rsidR="00043E9A" w:rsidRPr="00C72770" w:rsidRDefault="00A64D69" w:rsidP="00325EB1">
      <w:pPr>
        <w:pStyle w:val="Bulletindent1"/>
      </w:pPr>
      <w:bookmarkStart w:id="5" w:name="_Hlk29809302"/>
      <w:r>
        <w:t xml:space="preserve">lorlatinib treatment for </w:t>
      </w:r>
      <w:r w:rsidR="00043E9A" w:rsidRPr="00C72770">
        <w:t>3.5</w:t>
      </w:r>
      <w:r w:rsidR="00995E42">
        <w:t> </w:t>
      </w:r>
      <w:r w:rsidR="00043E9A" w:rsidRPr="00C72770">
        <w:t xml:space="preserve">months </w:t>
      </w:r>
      <w:r w:rsidR="00995E42">
        <w:t xml:space="preserve">after </w:t>
      </w:r>
      <w:r w:rsidR="00043E9A" w:rsidRPr="00C72770">
        <w:t>progression</w:t>
      </w:r>
    </w:p>
    <w:bookmarkEnd w:id="5"/>
    <w:p w14:paraId="6B38EDDC" w14:textId="25CC50C5" w:rsidR="0073453B" w:rsidRPr="00C72770" w:rsidRDefault="00995E42" w:rsidP="00325EB1">
      <w:pPr>
        <w:pStyle w:val="Bulletindent1"/>
      </w:pPr>
      <w:r>
        <w:t>hazard ratio</w:t>
      </w:r>
      <w:r w:rsidRPr="00C72770">
        <w:t xml:space="preserve"> </w:t>
      </w:r>
      <w:r w:rsidR="008D5D0F" w:rsidRPr="00C72770">
        <w:t xml:space="preserve">of 0.8 for the relative efficacy of PDC </w:t>
      </w:r>
      <w:r>
        <w:t>compared with</w:t>
      </w:r>
      <w:r w:rsidRPr="00C72770">
        <w:t xml:space="preserve"> </w:t>
      </w:r>
      <w:r w:rsidR="008D5D0F" w:rsidRPr="00C72770">
        <w:t>singlet chemotherapy</w:t>
      </w:r>
    </w:p>
    <w:p w14:paraId="36B89989" w14:textId="2A435149" w:rsidR="0073453B" w:rsidRPr="00C72770" w:rsidRDefault="0073453B" w:rsidP="00325EB1">
      <w:pPr>
        <w:pStyle w:val="Bulletindent1"/>
      </w:pPr>
      <w:r w:rsidRPr="00C72770">
        <w:t>MAIC method</w:t>
      </w:r>
      <w:r w:rsidR="00995E42">
        <w:t> </w:t>
      </w:r>
      <w:r w:rsidRPr="00C72770">
        <w:t>5</w:t>
      </w:r>
    </w:p>
    <w:p w14:paraId="3656B8B6" w14:textId="0EE0AB37" w:rsidR="0073453B" w:rsidRPr="00995E42" w:rsidRDefault="00995E42" w:rsidP="00F76859">
      <w:pPr>
        <w:pStyle w:val="Bulletindent1last"/>
      </w:pPr>
      <w:r>
        <w:t>p</w:t>
      </w:r>
      <w:r w:rsidR="004F27E1" w:rsidRPr="00995E42">
        <w:t xml:space="preserve">rogressed disease utility of 0.65 for lorlatinib patients on treatment and 0.46 for </w:t>
      </w:r>
      <w:r w:rsidR="00460335">
        <w:t>lorlatinib patients</w:t>
      </w:r>
      <w:r w:rsidR="004F27E1" w:rsidRPr="00995E42">
        <w:t xml:space="preserve"> off treatment</w:t>
      </w:r>
      <w:r w:rsidR="00325EB1">
        <w:t>,</w:t>
      </w:r>
      <w:r w:rsidR="004F27E1" w:rsidRPr="00995E42">
        <w:t xml:space="preserve"> in both arms</w:t>
      </w:r>
      <w:r>
        <w:t>.</w:t>
      </w:r>
    </w:p>
    <w:p w14:paraId="01C5C390" w14:textId="55B5B111" w:rsidR="008D5D0F" w:rsidRPr="00C72770" w:rsidRDefault="008D5D0F" w:rsidP="008D5D0F">
      <w:pPr>
        <w:pStyle w:val="Numberedlevel2text"/>
        <w:numPr>
          <w:ilvl w:val="0"/>
          <w:numId w:val="0"/>
        </w:numPr>
        <w:ind w:left="1134"/>
        <w:rPr>
          <w:lang w:val="en-GB"/>
        </w:rPr>
      </w:pPr>
      <w:r w:rsidRPr="00C72770">
        <w:rPr>
          <w:lang w:val="en-GB"/>
        </w:rPr>
        <w:t>For ABCP:</w:t>
      </w:r>
    </w:p>
    <w:p w14:paraId="6019C737" w14:textId="5D6D8090" w:rsidR="008D5D0F" w:rsidRPr="00C72770" w:rsidRDefault="0073453B" w:rsidP="00325EB1">
      <w:pPr>
        <w:pStyle w:val="Bulletindent1"/>
      </w:pPr>
      <w:r w:rsidRPr="00C72770">
        <w:t>company</w:t>
      </w:r>
      <w:r w:rsidR="00A64D69">
        <w:t>’s</w:t>
      </w:r>
      <w:r w:rsidRPr="00C72770">
        <w:t xml:space="preserve"> population adjustment of ABCP </w:t>
      </w:r>
      <w:r w:rsidR="00995E42">
        <w:t>overall survival</w:t>
      </w:r>
      <w:r w:rsidR="008D3FE3">
        <w:t xml:space="preserve"> </w:t>
      </w:r>
      <w:r w:rsidR="008D3FE3" w:rsidRPr="00C72770">
        <w:t>reduc</w:t>
      </w:r>
      <w:r w:rsidR="008D3FE3">
        <w:t>ed by</w:t>
      </w:r>
      <w:r w:rsidR="008D3FE3" w:rsidRPr="00C72770">
        <w:t xml:space="preserve"> 25%</w:t>
      </w:r>
    </w:p>
    <w:p w14:paraId="4AC4A6B2" w14:textId="4CEA08FA" w:rsidR="00043E9A" w:rsidRPr="00C72770" w:rsidRDefault="00A64D69" w:rsidP="00325EB1">
      <w:pPr>
        <w:pStyle w:val="Bulletindent1"/>
      </w:pPr>
      <w:r>
        <w:t xml:space="preserve">lorlatinib treatment for </w:t>
      </w:r>
      <w:r w:rsidR="00043E9A" w:rsidRPr="00C72770">
        <w:t>3.5</w:t>
      </w:r>
      <w:r w:rsidR="00995E42">
        <w:t> </w:t>
      </w:r>
      <w:r w:rsidR="00043E9A" w:rsidRPr="00C72770">
        <w:t xml:space="preserve">months </w:t>
      </w:r>
      <w:r w:rsidR="00995E42">
        <w:t xml:space="preserve">after </w:t>
      </w:r>
      <w:r w:rsidR="00043E9A" w:rsidRPr="00C72770">
        <w:t>progression</w:t>
      </w:r>
    </w:p>
    <w:p w14:paraId="3196E76B" w14:textId="26F48D62" w:rsidR="004F27E1" w:rsidRPr="00C72770" w:rsidRDefault="00995E42" w:rsidP="00325EB1">
      <w:pPr>
        <w:pStyle w:val="Bulletindent1last"/>
      </w:pPr>
      <w:r>
        <w:t>p</w:t>
      </w:r>
      <w:r w:rsidR="004F27E1" w:rsidRPr="00C72770">
        <w:t xml:space="preserve">rogressed disease utility of 0.65 for lorlatinib patients on treatment and 0.46 for </w:t>
      </w:r>
      <w:r w:rsidR="00460335">
        <w:t>lorlatinib</w:t>
      </w:r>
      <w:r w:rsidR="00460335" w:rsidRPr="00C72770">
        <w:t xml:space="preserve"> </w:t>
      </w:r>
      <w:r>
        <w:t xml:space="preserve">patients </w:t>
      </w:r>
      <w:r w:rsidR="004F27E1" w:rsidRPr="00C72770">
        <w:t>off treatment</w:t>
      </w:r>
      <w:r w:rsidR="00460335">
        <w:t>,</w:t>
      </w:r>
      <w:r w:rsidR="004F27E1" w:rsidRPr="00C72770">
        <w:t xml:space="preserve"> in both arms</w:t>
      </w:r>
      <w:r>
        <w:t>.</w:t>
      </w:r>
    </w:p>
    <w:p w14:paraId="50AC1263" w14:textId="493330F3" w:rsidR="001E3F6C" w:rsidRPr="00C72770" w:rsidRDefault="001E3F6C" w:rsidP="001E3F6C">
      <w:pPr>
        <w:pStyle w:val="Heading3"/>
      </w:pPr>
      <w:r w:rsidRPr="00C72770">
        <w:t xml:space="preserve">The </w:t>
      </w:r>
      <w:r w:rsidR="00170CF5" w:rsidRPr="00C72770">
        <w:t xml:space="preserve">range of </w:t>
      </w:r>
      <w:r w:rsidRPr="00C72770">
        <w:t xml:space="preserve">most plausible cost-effectiveness estimates for lorlatinib </w:t>
      </w:r>
      <w:r w:rsidR="00995E42">
        <w:t>is more than</w:t>
      </w:r>
      <w:r w:rsidRPr="00C72770">
        <w:t xml:space="preserve"> £50,000 per </w:t>
      </w:r>
      <w:r w:rsidR="00995E42">
        <w:t>QALY</w:t>
      </w:r>
      <w:r w:rsidRPr="00C72770">
        <w:t xml:space="preserve"> gained</w:t>
      </w:r>
    </w:p>
    <w:p w14:paraId="528474CD" w14:textId="3CB31F0B" w:rsidR="00AE2703" w:rsidRPr="00C72770" w:rsidRDefault="00AE2703" w:rsidP="00AE2703">
      <w:pPr>
        <w:pStyle w:val="Numberedlevel2text"/>
        <w:numPr>
          <w:ilvl w:val="1"/>
          <w:numId w:val="1"/>
        </w:numPr>
        <w:rPr>
          <w:lang w:val="en-GB"/>
        </w:rPr>
      </w:pPr>
      <w:r w:rsidRPr="00C72770">
        <w:rPr>
          <w:bCs w:val="0"/>
          <w:iCs w:val="0"/>
          <w:lang w:val="en-GB"/>
        </w:rPr>
        <w:t xml:space="preserve">Because lorlatinib and the comparators have commercial arrangements, the exact ICERs are confidential and cannot be reported here. </w:t>
      </w:r>
      <w:r w:rsidRPr="00C72770">
        <w:rPr>
          <w:lang w:val="en-GB"/>
        </w:rPr>
        <w:t xml:space="preserve">The committee noted that </w:t>
      </w:r>
      <w:r w:rsidR="001658FC">
        <w:rPr>
          <w:lang w:val="en-GB"/>
        </w:rPr>
        <w:t>its</w:t>
      </w:r>
      <w:r w:rsidRPr="00C72770">
        <w:rPr>
          <w:lang w:val="en-GB"/>
        </w:rPr>
        <w:t xml:space="preserve"> preferred assumptions produced a range of deterministic ICERs for lorlatinib compared </w:t>
      </w:r>
      <w:r w:rsidR="00995E42">
        <w:rPr>
          <w:lang w:val="en-GB"/>
        </w:rPr>
        <w:t>with</w:t>
      </w:r>
      <w:r w:rsidRPr="00C72770">
        <w:rPr>
          <w:lang w:val="en-GB"/>
        </w:rPr>
        <w:t xml:space="preserve"> PDC and ABCP which </w:t>
      </w:r>
      <w:r w:rsidR="00995E42">
        <w:rPr>
          <w:lang w:val="en-GB"/>
        </w:rPr>
        <w:t>were more than</w:t>
      </w:r>
      <w:r w:rsidR="00995E42" w:rsidRPr="00C72770">
        <w:rPr>
          <w:lang w:val="en-GB"/>
        </w:rPr>
        <w:t xml:space="preserve"> </w:t>
      </w:r>
      <w:r w:rsidRPr="00C72770">
        <w:rPr>
          <w:lang w:val="en-GB"/>
        </w:rPr>
        <w:t xml:space="preserve">£50,000 per </w:t>
      </w:r>
      <w:r w:rsidR="00995E42">
        <w:rPr>
          <w:lang w:val="en-GB"/>
        </w:rPr>
        <w:t>quality-adjusted life year (</w:t>
      </w:r>
      <w:r w:rsidRPr="00C72770">
        <w:rPr>
          <w:lang w:val="en-GB"/>
        </w:rPr>
        <w:t>QALY</w:t>
      </w:r>
      <w:r w:rsidR="00995E42">
        <w:rPr>
          <w:lang w:val="en-GB"/>
        </w:rPr>
        <w:t>)</w:t>
      </w:r>
      <w:r w:rsidRPr="00C72770">
        <w:rPr>
          <w:lang w:val="en-GB"/>
        </w:rPr>
        <w:t xml:space="preserve"> gained.</w:t>
      </w:r>
    </w:p>
    <w:p w14:paraId="49404BC3" w14:textId="42BEA256" w:rsidR="00643582" w:rsidRPr="00C72770" w:rsidRDefault="008609D7" w:rsidP="00643582">
      <w:pPr>
        <w:pStyle w:val="Heading2"/>
      </w:pPr>
      <w:r w:rsidRPr="00C72770">
        <w:lastRenderedPageBreak/>
        <w:t>End of life</w:t>
      </w:r>
    </w:p>
    <w:p w14:paraId="42A74385" w14:textId="530A4D3F" w:rsidR="00643582" w:rsidRPr="00C72770" w:rsidRDefault="008609D7" w:rsidP="0073007E">
      <w:pPr>
        <w:pStyle w:val="Heading3"/>
      </w:pPr>
      <w:bookmarkStart w:id="6" w:name="_Hlk29809873"/>
      <w:r w:rsidRPr="00C72770">
        <w:t>Lorlatinib meet</w:t>
      </w:r>
      <w:r w:rsidR="007F5CC5">
        <w:t>s</w:t>
      </w:r>
      <w:r w:rsidRPr="00C72770">
        <w:t xml:space="preserve"> the criteria to be considered a life-extending, end-of-life treatment compared with PDC and ABCP</w:t>
      </w:r>
    </w:p>
    <w:bookmarkEnd w:id="6"/>
    <w:p w14:paraId="0B3A53FF" w14:textId="53AA82F4" w:rsidR="008609D7" w:rsidRDefault="00643582" w:rsidP="00460335">
      <w:pPr>
        <w:pStyle w:val="Numberedlevel2text"/>
      </w:pPr>
      <w:r w:rsidRPr="00C72770">
        <w:rPr>
          <w:lang w:val="en-GB"/>
        </w:rPr>
        <w:t xml:space="preserve">The committee considered the advice about life-extending treatments for people with a short life expectancy in </w:t>
      </w:r>
      <w:hyperlink r:id="rId13" w:history="1">
        <w:r w:rsidRPr="007F5CC5">
          <w:rPr>
            <w:rStyle w:val="Hyperlink"/>
            <w:lang w:val="en-GB"/>
          </w:rPr>
          <w:t xml:space="preserve">NICE’s </w:t>
        </w:r>
        <w:r w:rsidR="00746B57" w:rsidRPr="001658FC">
          <w:rPr>
            <w:rStyle w:val="Hyperlink"/>
            <w:lang w:val="en-GB"/>
          </w:rPr>
          <w:t>guide to the methods of technology appraisal</w:t>
        </w:r>
      </w:hyperlink>
      <w:r w:rsidRPr="00C72770">
        <w:rPr>
          <w:lang w:val="en-GB"/>
        </w:rPr>
        <w:t>.</w:t>
      </w:r>
      <w:r w:rsidR="007F5CC5">
        <w:rPr>
          <w:lang w:val="en-GB"/>
        </w:rPr>
        <w:t xml:space="preserve"> </w:t>
      </w:r>
      <w:r w:rsidR="008609D7" w:rsidRPr="007F5CC5">
        <w:t xml:space="preserve">For PDC, average life expectancy </w:t>
      </w:r>
      <w:r w:rsidR="00BD12DE">
        <w:rPr>
          <w:lang w:val="en-US"/>
        </w:rPr>
        <w:t>was</w:t>
      </w:r>
      <w:r w:rsidR="008609D7" w:rsidRPr="007F5CC5">
        <w:t xml:space="preserve"> well below 2</w:t>
      </w:r>
      <w:r w:rsidR="007F5CC5">
        <w:rPr>
          <w:lang w:val="en-US"/>
        </w:rPr>
        <w:t> </w:t>
      </w:r>
      <w:r w:rsidR="008609D7" w:rsidRPr="007F5CC5">
        <w:t>years in the company</w:t>
      </w:r>
      <w:r w:rsidR="007F5CC5">
        <w:rPr>
          <w:lang w:val="en-US"/>
        </w:rPr>
        <w:t>’s</w:t>
      </w:r>
      <w:r w:rsidR="008609D7" w:rsidRPr="007F5CC5">
        <w:t xml:space="preserve"> base case and remain</w:t>
      </w:r>
      <w:r w:rsidR="00BD12DE">
        <w:rPr>
          <w:lang w:val="en-US"/>
        </w:rPr>
        <w:t>ed</w:t>
      </w:r>
      <w:r w:rsidR="008609D7" w:rsidRPr="007F5CC5">
        <w:t xml:space="preserve"> </w:t>
      </w:r>
      <w:r w:rsidR="001120C7">
        <w:rPr>
          <w:lang w:val="en-US"/>
        </w:rPr>
        <w:t>under</w:t>
      </w:r>
      <w:r w:rsidR="001120C7" w:rsidRPr="007F5CC5">
        <w:t xml:space="preserve"> </w:t>
      </w:r>
      <w:r w:rsidR="001120C7">
        <w:rPr>
          <w:lang w:val="en-US"/>
        </w:rPr>
        <w:t>2 years</w:t>
      </w:r>
      <w:r w:rsidR="001120C7" w:rsidRPr="007F5CC5">
        <w:t xml:space="preserve"> </w:t>
      </w:r>
      <w:r w:rsidR="008609D7" w:rsidRPr="007F5CC5">
        <w:t xml:space="preserve">across the scenarios assessed. Despite the limitations in the comparative evidence base, it </w:t>
      </w:r>
      <w:r w:rsidR="00030D1A">
        <w:rPr>
          <w:lang w:val="en-US"/>
        </w:rPr>
        <w:t>was</w:t>
      </w:r>
      <w:r w:rsidR="00030D1A" w:rsidRPr="007F5CC5">
        <w:t xml:space="preserve"> </w:t>
      </w:r>
      <w:r w:rsidR="008609D7" w:rsidRPr="007F5CC5">
        <w:t xml:space="preserve">plausible that </w:t>
      </w:r>
      <w:r w:rsidR="00FE63E3">
        <w:rPr>
          <w:lang w:val="en-US"/>
        </w:rPr>
        <w:t xml:space="preserve">lorlatinib </w:t>
      </w:r>
      <w:r w:rsidR="008609D7" w:rsidRPr="007F5CC5">
        <w:t>treatment w</w:t>
      </w:r>
      <w:r w:rsidR="00BD12DE">
        <w:rPr>
          <w:lang w:val="en-US"/>
        </w:rPr>
        <w:t>ould</w:t>
      </w:r>
      <w:r w:rsidR="008609D7" w:rsidRPr="007F5CC5">
        <w:t xml:space="preserve"> result in a gain in life expectancy of more than </w:t>
      </w:r>
      <w:r w:rsidR="007F5CC5">
        <w:rPr>
          <w:lang w:val="en-US"/>
        </w:rPr>
        <w:t>3 </w:t>
      </w:r>
      <w:r w:rsidR="008609D7" w:rsidRPr="007F5CC5">
        <w:t>months</w:t>
      </w:r>
      <w:r w:rsidR="00C050C7">
        <w:rPr>
          <w:lang w:val="en-US"/>
        </w:rPr>
        <w:t xml:space="preserve"> compared with PDC</w:t>
      </w:r>
      <w:r w:rsidR="008609D7" w:rsidRPr="007F5CC5">
        <w:t xml:space="preserve">. </w:t>
      </w:r>
      <w:r w:rsidR="00C050C7">
        <w:rPr>
          <w:lang w:val="en-US"/>
        </w:rPr>
        <w:t>A</w:t>
      </w:r>
      <w:r w:rsidR="008609D7" w:rsidRPr="007F5CC5">
        <w:t xml:space="preserve">lthough there </w:t>
      </w:r>
      <w:r w:rsidR="00030D1A">
        <w:rPr>
          <w:lang w:val="en-US"/>
        </w:rPr>
        <w:t>was</w:t>
      </w:r>
      <w:r w:rsidR="00030D1A" w:rsidRPr="007F5CC5">
        <w:t xml:space="preserve"> </w:t>
      </w:r>
      <w:r w:rsidR="008609D7" w:rsidRPr="007F5CC5">
        <w:t>some uncertainty around</w:t>
      </w:r>
      <w:r w:rsidR="00C050C7">
        <w:rPr>
          <w:lang w:val="en-US"/>
        </w:rPr>
        <w:t xml:space="preserve"> the</w:t>
      </w:r>
      <w:r w:rsidR="008609D7" w:rsidRPr="007F5CC5">
        <w:t xml:space="preserve"> </w:t>
      </w:r>
      <w:r w:rsidR="00C050C7" w:rsidRPr="007F5CC5">
        <w:t xml:space="preserve">average life expectancy </w:t>
      </w:r>
      <w:r w:rsidR="004D307C">
        <w:rPr>
          <w:lang w:val="en-US"/>
        </w:rPr>
        <w:t>with</w:t>
      </w:r>
      <w:r w:rsidR="00C050C7" w:rsidRPr="007F5CC5">
        <w:t xml:space="preserve"> </w:t>
      </w:r>
      <w:r w:rsidR="00C050C7">
        <w:rPr>
          <w:lang w:val="en-US"/>
        </w:rPr>
        <w:t xml:space="preserve">ABCP </w:t>
      </w:r>
      <w:r w:rsidR="00C050C7" w:rsidRPr="007F5CC5">
        <w:t xml:space="preserve">treatment </w:t>
      </w:r>
      <w:r w:rsidR="007F5CC5">
        <w:rPr>
          <w:lang w:val="en-US"/>
        </w:rPr>
        <w:t>because of</w:t>
      </w:r>
      <w:r w:rsidR="008609D7" w:rsidRPr="007F5CC5">
        <w:t xml:space="preserve"> the population adjustment applied </w:t>
      </w:r>
      <w:r w:rsidR="007F5CC5">
        <w:rPr>
          <w:lang w:val="en-US"/>
        </w:rPr>
        <w:t xml:space="preserve">by the company </w:t>
      </w:r>
      <w:r w:rsidR="008609D7" w:rsidRPr="007F5CC5">
        <w:t>to the fitted curve,</w:t>
      </w:r>
      <w:r w:rsidR="00C050C7">
        <w:rPr>
          <w:lang w:val="en-US"/>
        </w:rPr>
        <w:t xml:space="preserve"> this was also expected to be less than 2 years. </w:t>
      </w:r>
      <w:r w:rsidR="004D307C">
        <w:rPr>
          <w:lang w:val="en-US"/>
        </w:rPr>
        <w:t>Also</w:t>
      </w:r>
      <w:r w:rsidR="00C050C7">
        <w:rPr>
          <w:lang w:val="en-US"/>
        </w:rPr>
        <w:t>,</w:t>
      </w:r>
      <w:r w:rsidR="008609D7" w:rsidRPr="007F5CC5">
        <w:t xml:space="preserve"> life expectancy with ABCP remain</w:t>
      </w:r>
      <w:r w:rsidR="007F5CC5">
        <w:rPr>
          <w:lang w:val="en-US"/>
        </w:rPr>
        <w:t>ed</w:t>
      </w:r>
      <w:r w:rsidR="008609D7" w:rsidRPr="007F5CC5">
        <w:t xml:space="preserve"> </w:t>
      </w:r>
      <w:r w:rsidR="001120C7">
        <w:rPr>
          <w:lang w:val="en-US"/>
        </w:rPr>
        <w:t>under</w:t>
      </w:r>
      <w:r w:rsidR="008609D7" w:rsidRPr="007F5CC5">
        <w:t xml:space="preserve"> 2</w:t>
      </w:r>
      <w:r w:rsidR="007F5CC5">
        <w:rPr>
          <w:lang w:val="en-US"/>
        </w:rPr>
        <w:t> </w:t>
      </w:r>
      <w:r w:rsidR="008609D7" w:rsidRPr="007F5CC5">
        <w:t xml:space="preserve">years when the log </w:t>
      </w:r>
      <w:r w:rsidR="00BD12DE">
        <w:rPr>
          <w:lang w:val="en-US"/>
        </w:rPr>
        <w:t>hazard ratio</w:t>
      </w:r>
      <w:r w:rsidR="00BD12DE" w:rsidRPr="007F5CC5">
        <w:t xml:space="preserve"> </w:t>
      </w:r>
      <w:r w:rsidR="008609D7" w:rsidRPr="007F5CC5">
        <w:t xml:space="preserve">for the population adjustment of overall survival </w:t>
      </w:r>
      <w:r w:rsidR="00030D1A">
        <w:rPr>
          <w:lang w:val="en-US"/>
        </w:rPr>
        <w:t>was</w:t>
      </w:r>
      <w:r w:rsidR="00030D1A" w:rsidRPr="007F5CC5">
        <w:t xml:space="preserve"> </w:t>
      </w:r>
      <w:r w:rsidR="008609D7" w:rsidRPr="007F5CC5">
        <w:t xml:space="preserve">reduced by 25%, as agreed by </w:t>
      </w:r>
      <w:r w:rsidR="006E2820">
        <w:rPr>
          <w:lang w:val="en-US"/>
        </w:rPr>
        <w:t xml:space="preserve">the </w:t>
      </w:r>
      <w:r w:rsidR="008609D7" w:rsidRPr="007F5CC5">
        <w:t xml:space="preserve">committee. The survival gains </w:t>
      </w:r>
      <w:r w:rsidR="00C050C7">
        <w:rPr>
          <w:lang w:val="en-US"/>
        </w:rPr>
        <w:t xml:space="preserve">for lorlatinib compared with ABCP </w:t>
      </w:r>
      <w:r w:rsidR="008609D7" w:rsidRPr="007F5CC5">
        <w:t>remain</w:t>
      </w:r>
      <w:r w:rsidR="001120C7">
        <w:rPr>
          <w:lang w:val="en-US"/>
        </w:rPr>
        <w:t>ed</w:t>
      </w:r>
      <w:r w:rsidR="008609D7" w:rsidRPr="007F5CC5">
        <w:t xml:space="preserve"> above 3</w:t>
      </w:r>
      <w:r w:rsidR="007F5CC5">
        <w:rPr>
          <w:lang w:val="en-US"/>
        </w:rPr>
        <w:t> </w:t>
      </w:r>
      <w:r w:rsidR="008609D7" w:rsidRPr="007F5CC5">
        <w:t>months across all scenarios assessed. The committee concluded that lorlatinib me</w:t>
      </w:r>
      <w:r w:rsidR="007F5CC5">
        <w:rPr>
          <w:lang w:val="en-US"/>
        </w:rPr>
        <w:t>t</w:t>
      </w:r>
      <w:r w:rsidR="008609D7" w:rsidRPr="007F5CC5">
        <w:t xml:space="preserve"> the criteria to be considered a life-extending, end-of-life treatment when compared with both PDC and ABCP.</w:t>
      </w:r>
    </w:p>
    <w:p w14:paraId="782638ED" w14:textId="77777777" w:rsidR="001658FC" w:rsidRPr="00C72770" w:rsidRDefault="001658FC" w:rsidP="001658FC">
      <w:pPr>
        <w:pStyle w:val="Heading3"/>
      </w:pPr>
      <w:r w:rsidRPr="00C72770">
        <w:t>Lorlatinib is not recommended for routine commissioning</w:t>
      </w:r>
    </w:p>
    <w:p w14:paraId="7D4917E2" w14:textId="610738D5" w:rsidR="001658FC" w:rsidRPr="004F1686" w:rsidRDefault="007A42A0" w:rsidP="0003433B">
      <w:pPr>
        <w:pStyle w:val="Numberedlevel2text"/>
      </w:pPr>
      <w:r>
        <w:rPr>
          <w:lang w:val="en-GB"/>
        </w:rPr>
        <w:t>T</w:t>
      </w:r>
      <w:r w:rsidR="001658FC" w:rsidRPr="00C72770">
        <w:rPr>
          <w:lang w:val="en-GB"/>
        </w:rPr>
        <w:t xml:space="preserve">he committee acknowledged the need for treatment options for people with previously treated ALK-positive advanced </w:t>
      </w:r>
      <w:r w:rsidR="001658FC">
        <w:rPr>
          <w:lang w:val="en-GB"/>
        </w:rPr>
        <w:t>NSCLC</w:t>
      </w:r>
      <w:r>
        <w:rPr>
          <w:lang w:val="en-GB"/>
        </w:rPr>
        <w:t>. But</w:t>
      </w:r>
      <w:r w:rsidR="001658FC" w:rsidRPr="00C72770">
        <w:rPr>
          <w:lang w:val="en-GB"/>
        </w:rPr>
        <w:t xml:space="preserve"> the uncertainty of the evidence presented and the resulting range of </w:t>
      </w:r>
      <w:r w:rsidR="00C050C7">
        <w:rPr>
          <w:lang w:val="en-GB"/>
        </w:rPr>
        <w:t xml:space="preserve">plausible </w:t>
      </w:r>
      <w:r w:rsidR="001658FC" w:rsidRPr="00C72770">
        <w:rPr>
          <w:lang w:val="en-GB"/>
        </w:rPr>
        <w:t xml:space="preserve">ICERs meant that the committee could not recommend lorlatinib as a cost-effective use of NHS resources for previously treated ALK-positive advanced </w:t>
      </w:r>
      <w:r w:rsidR="001658FC">
        <w:rPr>
          <w:lang w:val="en-GB"/>
        </w:rPr>
        <w:t>NSCLC</w:t>
      </w:r>
      <w:r w:rsidR="001658FC" w:rsidRPr="001658FC">
        <w:rPr>
          <w:bCs w:val="0"/>
          <w:iCs w:val="0"/>
        </w:rPr>
        <w:t>.</w:t>
      </w:r>
    </w:p>
    <w:p w14:paraId="588BB43E" w14:textId="0524BB21" w:rsidR="004F1686" w:rsidRDefault="004F1686" w:rsidP="004F1686">
      <w:pPr>
        <w:pStyle w:val="Heading2"/>
        <w:rPr>
          <w:lang w:val="en-US"/>
        </w:rPr>
      </w:pPr>
      <w:r>
        <w:rPr>
          <w:lang w:val="en-US"/>
        </w:rPr>
        <w:lastRenderedPageBreak/>
        <w:t>Cancer Drugs Fund</w:t>
      </w:r>
    </w:p>
    <w:p w14:paraId="6D2B8BEB" w14:textId="12B495BE" w:rsidR="00FA22AD" w:rsidRDefault="00FA22AD" w:rsidP="00FA22AD">
      <w:pPr>
        <w:pStyle w:val="Heading3"/>
        <w:rPr>
          <w:lang w:val="en-US"/>
        </w:rPr>
      </w:pPr>
      <w:r>
        <w:rPr>
          <w:lang w:val="en-US"/>
        </w:rPr>
        <w:t>Lorlatinib is not a candidate for the Cancer Drugs Fund</w:t>
      </w:r>
    </w:p>
    <w:p w14:paraId="5976D57F" w14:textId="3DCB6AD2" w:rsidR="00FA22AD" w:rsidRPr="00FA22AD" w:rsidRDefault="00030D1A" w:rsidP="00FA22AD">
      <w:pPr>
        <w:pStyle w:val="Numberedlevel2text"/>
      </w:pPr>
      <w:r>
        <w:rPr>
          <w:lang w:val="en-US"/>
        </w:rPr>
        <w:t>The company did not make a case for lorlatinib to be included in the Cancer Drugs Fund</w:t>
      </w:r>
      <w:r w:rsidR="00FE63E3">
        <w:rPr>
          <w:lang w:val="en-US"/>
        </w:rPr>
        <w:t>. A</w:t>
      </w:r>
      <w:r w:rsidR="004D307C">
        <w:rPr>
          <w:lang w:val="en-US"/>
        </w:rPr>
        <w:t>lthough</w:t>
      </w:r>
      <w:r>
        <w:rPr>
          <w:lang w:val="en-US"/>
        </w:rPr>
        <w:t xml:space="preserve"> t</w:t>
      </w:r>
      <w:r w:rsidR="00FA22AD">
        <w:t>he</w:t>
      </w:r>
      <w:r w:rsidR="00FA22AD" w:rsidRPr="00FA22AD">
        <w:rPr>
          <w:lang w:val="en-US"/>
        </w:rPr>
        <w:t xml:space="preserve">re is uncertainty </w:t>
      </w:r>
      <w:r w:rsidR="004D307C">
        <w:rPr>
          <w:lang w:val="en-US"/>
        </w:rPr>
        <w:t>about</w:t>
      </w:r>
      <w:r>
        <w:rPr>
          <w:lang w:val="en-US"/>
        </w:rPr>
        <w:t xml:space="preserve"> the comparative clinical effectiveness of lorlatinib, </w:t>
      </w:r>
      <w:r w:rsidR="00FA22AD" w:rsidRPr="00FA22AD">
        <w:rPr>
          <w:lang w:val="en-US"/>
        </w:rPr>
        <w:t xml:space="preserve">this </w:t>
      </w:r>
      <w:r w:rsidR="00FA22AD">
        <w:t xml:space="preserve">cannot be reduced </w:t>
      </w:r>
      <w:r w:rsidR="00FE63E3">
        <w:rPr>
          <w:lang w:val="en-US"/>
        </w:rPr>
        <w:t>by</w:t>
      </w:r>
      <w:r w:rsidR="00FA22AD">
        <w:t xml:space="preserve"> data collection</w:t>
      </w:r>
      <w:r w:rsidR="00FE63E3">
        <w:rPr>
          <w:lang w:val="en-US"/>
        </w:rPr>
        <w:t xml:space="preserve"> through the Cancer Drugs Fund</w:t>
      </w:r>
      <w:r w:rsidR="00FA22AD">
        <w:t>.</w:t>
      </w:r>
      <w:r w:rsidR="00FA22AD" w:rsidRPr="00FA22AD">
        <w:rPr>
          <w:lang w:val="en-US"/>
        </w:rPr>
        <w:t xml:space="preserve"> The committee heard that </w:t>
      </w:r>
      <w:r w:rsidR="004D307C">
        <w:rPr>
          <w:lang w:val="en-US"/>
        </w:rPr>
        <w:t>lorlatinib’s</w:t>
      </w:r>
      <w:r w:rsidR="00FA22AD">
        <w:t xml:space="preserve"> conditional marketing authorisation </w:t>
      </w:r>
      <w:r w:rsidR="00FA22AD" w:rsidRPr="00FA22AD">
        <w:rPr>
          <w:lang w:val="en-US"/>
        </w:rPr>
        <w:t>require</w:t>
      </w:r>
      <w:r w:rsidR="004D307C">
        <w:rPr>
          <w:lang w:val="en-US"/>
        </w:rPr>
        <w:t>s</w:t>
      </w:r>
      <w:r w:rsidR="00FA22AD" w:rsidRPr="00FA22AD">
        <w:rPr>
          <w:lang w:val="en-US"/>
        </w:rPr>
        <w:t xml:space="preserve"> </w:t>
      </w:r>
      <w:r w:rsidR="00FA22AD">
        <w:rPr>
          <w:lang w:val="en-US"/>
        </w:rPr>
        <w:t>t</w:t>
      </w:r>
      <w:r w:rsidR="00FA22AD">
        <w:t xml:space="preserve">he company </w:t>
      </w:r>
      <w:r w:rsidR="00FA22AD">
        <w:rPr>
          <w:lang w:val="en-US"/>
        </w:rPr>
        <w:t>to</w:t>
      </w:r>
      <w:r w:rsidR="00FA22AD">
        <w:t xml:space="preserve"> submit the clinical study report for the phase</w:t>
      </w:r>
      <w:r w:rsidR="004D307C">
        <w:rPr>
          <w:lang w:val="en-US"/>
        </w:rPr>
        <w:t> </w:t>
      </w:r>
      <w:r w:rsidR="00FA22AD">
        <w:rPr>
          <w:lang w:val="en-US"/>
        </w:rPr>
        <w:t>3</w:t>
      </w:r>
      <w:r w:rsidR="00FA22AD">
        <w:t xml:space="preserve"> trial (CROWN</w:t>
      </w:r>
      <w:r w:rsidR="00BA0639">
        <w:rPr>
          <w:lang w:val="en-US"/>
        </w:rPr>
        <w:t> </w:t>
      </w:r>
      <w:r w:rsidR="00FA22AD">
        <w:t>1006) comparing lorlatinib with crizotinib for the first</w:t>
      </w:r>
      <w:r w:rsidR="004D307C">
        <w:rPr>
          <w:lang w:val="en-US"/>
        </w:rPr>
        <w:t>-</w:t>
      </w:r>
      <w:r w:rsidR="00FA22AD">
        <w:t xml:space="preserve">line treatment of advanced </w:t>
      </w:r>
      <w:bookmarkStart w:id="7" w:name="_Hlk29997429"/>
      <w:r w:rsidR="00FA22AD">
        <w:t>ALK-positive NSCLC</w:t>
      </w:r>
      <w:bookmarkEnd w:id="7"/>
      <w:r w:rsidR="00FA22AD">
        <w:t xml:space="preserve"> by December 2021. </w:t>
      </w:r>
      <w:r w:rsidR="004D307C">
        <w:rPr>
          <w:lang w:val="en-US"/>
        </w:rPr>
        <w:t>Because</w:t>
      </w:r>
      <w:r w:rsidR="00FA22AD">
        <w:t xml:space="preserve"> this evidence </w:t>
      </w:r>
      <w:r w:rsidR="00336FEE">
        <w:rPr>
          <w:lang w:val="en-US"/>
        </w:rPr>
        <w:t>would be</w:t>
      </w:r>
      <w:r w:rsidR="00FA22AD">
        <w:t xml:space="preserve"> </w:t>
      </w:r>
      <w:r w:rsidR="00351C84">
        <w:rPr>
          <w:lang w:val="en-US"/>
        </w:rPr>
        <w:t>in</w:t>
      </w:r>
      <w:r w:rsidR="00FA22AD">
        <w:t xml:space="preserve"> patients</w:t>
      </w:r>
      <w:r w:rsidR="004D307C">
        <w:rPr>
          <w:lang w:val="en-US"/>
        </w:rPr>
        <w:t xml:space="preserve"> who have not had treatment before</w:t>
      </w:r>
      <w:r w:rsidR="00FA22AD">
        <w:t xml:space="preserve">, it </w:t>
      </w:r>
      <w:r w:rsidR="00336FEE">
        <w:rPr>
          <w:lang w:val="en-US"/>
        </w:rPr>
        <w:t>would not be</w:t>
      </w:r>
      <w:r w:rsidR="00FA22AD">
        <w:t xml:space="preserve"> relevant to </w:t>
      </w:r>
      <w:r w:rsidR="00FA22AD">
        <w:rPr>
          <w:lang w:val="en-US"/>
        </w:rPr>
        <w:t xml:space="preserve">this appraisal for previously treated advanced </w:t>
      </w:r>
      <w:r w:rsidR="00FA22AD" w:rsidRPr="00FA22AD">
        <w:rPr>
          <w:lang w:val="en-US"/>
        </w:rPr>
        <w:t>ALK-positive NSCLC</w:t>
      </w:r>
      <w:r w:rsidR="009A6E8C">
        <w:rPr>
          <w:lang w:val="en-US"/>
        </w:rPr>
        <w:t xml:space="preserve">. </w:t>
      </w:r>
      <w:r w:rsidR="004D307C">
        <w:rPr>
          <w:lang w:val="en-US"/>
        </w:rPr>
        <w:t>Also</w:t>
      </w:r>
      <w:r w:rsidR="009A6E8C">
        <w:rPr>
          <w:lang w:val="en-US"/>
        </w:rPr>
        <w:t xml:space="preserve">, the company has to </w:t>
      </w:r>
      <w:r w:rsidR="004D307C">
        <w:rPr>
          <w:lang w:val="en-US"/>
        </w:rPr>
        <w:t>do</w:t>
      </w:r>
      <w:r w:rsidR="009A6E8C">
        <w:t xml:space="preserve"> a prospective single</w:t>
      </w:r>
      <w:r w:rsidR="009A6E8C">
        <w:rPr>
          <w:lang w:val="en-US"/>
        </w:rPr>
        <w:t>-</w:t>
      </w:r>
      <w:r w:rsidR="009A6E8C">
        <w:t>arm study investigating the efficacy of lorlatinib in patients who</w:t>
      </w:r>
      <w:r w:rsidR="009A6E8C">
        <w:rPr>
          <w:lang w:val="en-US"/>
        </w:rPr>
        <w:t xml:space="preserve">se disease has </w:t>
      </w:r>
      <w:r w:rsidR="009A6E8C">
        <w:t>progressed after alectinib or ceritinib as the first ALK TKI therapy</w:t>
      </w:r>
      <w:r w:rsidR="009A6E8C">
        <w:rPr>
          <w:lang w:val="en-US"/>
        </w:rPr>
        <w:t>. The results from this study w</w:t>
      </w:r>
      <w:r w:rsidR="00371519">
        <w:rPr>
          <w:lang w:val="en-US"/>
        </w:rPr>
        <w:t>ould</w:t>
      </w:r>
      <w:r w:rsidR="009A6E8C">
        <w:rPr>
          <w:lang w:val="en-US"/>
        </w:rPr>
        <w:t xml:space="preserve"> </w:t>
      </w:r>
      <w:r w:rsidR="008658D7">
        <w:rPr>
          <w:lang w:val="en-US"/>
        </w:rPr>
        <w:t xml:space="preserve">not help to resolve the uncertainties </w:t>
      </w:r>
      <w:r w:rsidR="009A6E8C">
        <w:rPr>
          <w:lang w:val="en-US"/>
        </w:rPr>
        <w:t>around the</w:t>
      </w:r>
      <w:r w:rsidR="008658D7">
        <w:rPr>
          <w:lang w:val="en-US"/>
        </w:rPr>
        <w:t xml:space="preserve"> comparative effectiveness</w:t>
      </w:r>
      <w:r w:rsidR="009A6E8C">
        <w:rPr>
          <w:lang w:val="en-US"/>
        </w:rPr>
        <w:t xml:space="preserve"> of lorlatinib and either PDC or ABCP</w:t>
      </w:r>
      <w:r w:rsidR="00FA22AD">
        <w:rPr>
          <w:lang w:val="en-US"/>
        </w:rPr>
        <w:t xml:space="preserve">. The committee </w:t>
      </w:r>
      <w:r w:rsidR="0029052C">
        <w:rPr>
          <w:lang w:val="en-US"/>
        </w:rPr>
        <w:t xml:space="preserve">concluded </w:t>
      </w:r>
      <w:r w:rsidR="00FA22AD">
        <w:rPr>
          <w:lang w:val="en-US"/>
        </w:rPr>
        <w:t xml:space="preserve">that lorlatinib </w:t>
      </w:r>
      <w:r w:rsidR="004D307C">
        <w:rPr>
          <w:lang w:val="en-US"/>
        </w:rPr>
        <w:t>wa</w:t>
      </w:r>
      <w:r w:rsidR="00FA22AD">
        <w:rPr>
          <w:lang w:val="en-US"/>
        </w:rPr>
        <w:t>s not a candidate for the Cancer Drugs Fund in this indication.</w:t>
      </w:r>
    </w:p>
    <w:p w14:paraId="540BFE6B" w14:textId="77777777" w:rsidR="00DE6A5B" w:rsidRPr="00C72770" w:rsidRDefault="00DE6A5B" w:rsidP="00DE6A5B">
      <w:pPr>
        <w:pStyle w:val="Heading2"/>
      </w:pPr>
      <w:r w:rsidRPr="00C72770">
        <w:t>Innovation</w:t>
      </w:r>
    </w:p>
    <w:p w14:paraId="6B2C3BAA" w14:textId="3FEBA9E6" w:rsidR="00DE6A5B" w:rsidRPr="00C72770" w:rsidRDefault="00DE6A5B" w:rsidP="00DE6A5B">
      <w:pPr>
        <w:pStyle w:val="Heading3"/>
      </w:pPr>
      <w:r w:rsidRPr="00C72770">
        <w:t>The model adequately captures the benefits of lorlatinib</w:t>
      </w:r>
    </w:p>
    <w:p w14:paraId="1AF9DF12" w14:textId="3F03D3B9" w:rsidR="00DE6A5B" w:rsidRPr="00C72770" w:rsidRDefault="00DE6A5B" w:rsidP="00DE6A5B">
      <w:pPr>
        <w:pStyle w:val="Numberedlevel2text"/>
        <w:numPr>
          <w:ilvl w:val="1"/>
          <w:numId w:val="1"/>
        </w:numPr>
        <w:rPr>
          <w:lang w:val="en-GB"/>
        </w:rPr>
      </w:pPr>
      <w:r w:rsidRPr="00C72770">
        <w:rPr>
          <w:lang w:val="en-GB"/>
        </w:rPr>
        <w:t xml:space="preserve">The company considered lorlatinib to be innovative, highlighting that it </w:t>
      </w:r>
      <w:r w:rsidR="007F5CC5">
        <w:rPr>
          <w:lang w:val="en-GB"/>
        </w:rPr>
        <w:t>wa</w:t>
      </w:r>
      <w:r w:rsidRPr="00C72770">
        <w:rPr>
          <w:lang w:val="en-GB"/>
        </w:rPr>
        <w:t>s a third</w:t>
      </w:r>
      <w:r w:rsidR="00467A19">
        <w:rPr>
          <w:lang w:val="en-GB"/>
        </w:rPr>
        <w:t>-</w:t>
      </w:r>
      <w:r w:rsidRPr="00C72770">
        <w:rPr>
          <w:lang w:val="en-GB"/>
        </w:rPr>
        <w:t xml:space="preserve">generation ALK TKI that </w:t>
      </w:r>
      <w:r w:rsidR="007F5CC5">
        <w:rPr>
          <w:lang w:val="en-GB"/>
        </w:rPr>
        <w:t>penetrates the</w:t>
      </w:r>
      <w:r w:rsidRPr="00C72770">
        <w:rPr>
          <w:lang w:val="en-GB"/>
        </w:rPr>
        <w:t xml:space="preserve"> central nervous system and </w:t>
      </w:r>
      <w:r w:rsidR="007F5CC5">
        <w:rPr>
          <w:lang w:val="en-GB"/>
        </w:rPr>
        <w:t xml:space="preserve">is </w:t>
      </w:r>
      <w:r w:rsidRPr="00C72770">
        <w:rPr>
          <w:lang w:val="en-GB"/>
        </w:rPr>
        <w:t>ret</w:t>
      </w:r>
      <w:r w:rsidR="007F5CC5">
        <w:rPr>
          <w:lang w:val="en-GB"/>
        </w:rPr>
        <w:t>ained</w:t>
      </w:r>
      <w:r w:rsidRPr="00C72770">
        <w:rPr>
          <w:lang w:val="en-GB"/>
        </w:rPr>
        <w:t xml:space="preserve"> in the intracranial space</w:t>
      </w:r>
      <w:r w:rsidR="007F5CC5">
        <w:rPr>
          <w:lang w:val="en-GB"/>
        </w:rPr>
        <w:t>. So it</w:t>
      </w:r>
      <w:r w:rsidRPr="00C72770">
        <w:rPr>
          <w:lang w:val="en-GB"/>
        </w:rPr>
        <w:t xml:space="preserve"> </w:t>
      </w:r>
      <w:r w:rsidR="00586A04">
        <w:rPr>
          <w:lang w:val="en-GB"/>
        </w:rPr>
        <w:t xml:space="preserve">potentially </w:t>
      </w:r>
      <w:r w:rsidRPr="00C72770">
        <w:rPr>
          <w:lang w:val="en-GB"/>
        </w:rPr>
        <w:t>address</w:t>
      </w:r>
      <w:r w:rsidR="007F5CC5">
        <w:rPr>
          <w:lang w:val="en-GB"/>
        </w:rPr>
        <w:t>es</w:t>
      </w:r>
      <w:r w:rsidRPr="00C72770">
        <w:rPr>
          <w:lang w:val="en-GB"/>
        </w:rPr>
        <w:t xml:space="preserve"> the unmet need for additional treatment options for patients who develop brain metastases. It was specifically designed to inhibit resistant ALK mutations, including the ALKG1202R mutation that increases significantly after treatment with second-generation agents.</w:t>
      </w:r>
      <w:r w:rsidR="00C72770">
        <w:rPr>
          <w:lang w:val="en-GB"/>
        </w:rPr>
        <w:t xml:space="preserve"> </w:t>
      </w:r>
      <w:r w:rsidRPr="00C72770">
        <w:rPr>
          <w:lang w:val="en-GB"/>
        </w:rPr>
        <w:t xml:space="preserve">The clinical experts agreed that lorlatinib </w:t>
      </w:r>
      <w:r w:rsidR="007F5CC5">
        <w:rPr>
          <w:lang w:val="en-GB"/>
        </w:rPr>
        <w:t>wa</w:t>
      </w:r>
      <w:r w:rsidRPr="00C72770">
        <w:rPr>
          <w:lang w:val="en-GB"/>
        </w:rPr>
        <w:t xml:space="preserve">s an effective third-generation ALK TKI with good brain penetration and that people would welcome additional </w:t>
      </w:r>
      <w:r w:rsidRPr="00C72770">
        <w:rPr>
          <w:lang w:val="en-GB"/>
        </w:rPr>
        <w:lastRenderedPageBreak/>
        <w:t>treatment options. The committee concluded that it had not been presented with any additional evidence of benefits that were not captured in the measurement of the QALYs and the resulting cost-effectiveness estimates.</w:t>
      </w:r>
    </w:p>
    <w:p w14:paraId="03F809B2" w14:textId="1EDE133D" w:rsidR="00643582" w:rsidRPr="00C72770" w:rsidRDefault="00DE6A5B" w:rsidP="00643582">
      <w:pPr>
        <w:pStyle w:val="Heading2"/>
      </w:pPr>
      <w:r w:rsidRPr="00C72770">
        <w:t>Other factors</w:t>
      </w:r>
    </w:p>
    <w:p w14:paraId="440B6005" w14:textId="458E982F" w:rsidR="00643582" w:rsidRPr="00C72770" w:rsidRDefault="00DE6A5B" w:rsidP="00DE6A5B">
      <w:pPr>
        <w:pStyle w:val="Numberedlevel2text"/>
        <w:numPr>
          <w:ilvl w:val="1"/>
          <w:numId w:val="1"/>
        </w:numPr>
        <w:rPr>
          <w:lang w:val="en-GB"/>
        </w:rPr>
      </w:pPr>
      <w:r w:rsidRPr="00C72770">
        <w:rPr>
          <w:lang w:val="en-GB"/>
        </w:rPr>
        <w:t>No equality or social value judgements were identified.</w:t>
      </w:r>
    </w:p>
    <w:p w14:paraId="2D5506EC" w14:textId="77777777" w:rsidR="000F48EC" w:rsidRPr="00C72770" w:rsidRDefault="007A2801" w:rsidP="00C04C0E">
      <w:pPr>
        <w:pStyle w:val="Numberedheading1"/>
      </w:pPr>
      <w:r w:rsidRPr="00C72770">
        <w:t xml:space="preserve">Proposed date for </w:t>
      </w:r>
      <w:r w:rsidR="00000441" w:rsidRPr="00C72770">
        <w:t>r</w:t>
      </w:r>
      <w:r w:rsidR="000F48EC" w:rsidRPr="00C72770">
        <w:t>eview of guidance</w:t>
      </w:r>
    </w:p>
    <w:p w14:paraId="31F75C22" w14:textId="79533F16" w:rsidR="001823EB" w:rsidRPr="00C72770" w:rsidRDefault="001823EB" w:rsidP="001823EB">
      <w:pPr>
        <w:pStyle w:val="Numberedlevel2text"/>
        <w:rPr>
          <w:lang w:val="en-GB"/>
        </w:rPr>
      </w:pPr>
      <w:r w:rsidRPr="00C72770">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67F8206A" w14:textId="63C67491" w:rsidR="004845D0" w:rsidRPr="00C72770" w:rsidRDefault="00FC56D7" w:rsidP="00ED5F88">
      <w:pPr>
        <w:pStyle w:val="NICEnormal"/>
      </w:pPr>
      <w:r>
        <w:t>Gary McVeigh</w:t>
      </w:r>
      <w:r w:rsidR="004845D0" w:rsidRPr="00C72770">
        <w:br/>
        <w:t xml:space="preserve">Chair, </w:t>
      </w:r>
      <w:r w:rsidR="003847B9" w:rsidRPr="00C72770">
        <w:t>a</w:t>
      </w:r>
      <w:r w:rsidR="004845D0" w:rsidRPr="00C72770">
        <w:t xml:space="preserve">ppraisal </w:t>
      </w:r>
      <w:r w:rsidR="003847B9" w:rsidRPr="00C72770">
        <w:t>c</w:t>
      </w:r>
      <w:r w:rsidR="004845D0" w:rsidRPr="00C72770">
        <w:t>ommittee</w:t>
      </w:r>
      <w:r w:rsidR="004845D0" w:rsidRPr="00C72770">
        <w:br/>
      </w:r>
      <w:r>
        <w:t>January 2020</w:t>
      </w:r>
    </w:p>
    <w:p w14:paraId="35007A78" w14:textId="77777777" w:rsidR="00B16431" w:rsidRPr="00C72770" w:rsidRDefault="00B16431" w:rsidP="00C04C0E">
      <w:pPr>
        <w:pStyle w:val="Numberedheading1"/>
      </w:pPr>
      <w:r w:rsidRPr="00C72770">
        <w:t xml:space="preserve">Appraisal </w:t>
      </w:r>
      <w:r w:rsidR="00343B53" w:rsidRPr="00C72770">
        <w:t>c</w:t>
      </w:r>
      <w:r w:rsidRPr="00C72770">
        <w:t>ommittee members and NICE project team</w:t>
      </w:r>
    </w:p>
    <w:p w14:paraId="6E672003" w14:textId="77777777" w:rsidR="00B16431" w:rsidRPr="00C72770" w:rsidRDefault="00B16431" w:rsidP="00B16431">
      <w:pPr>
        <w:pStyle w:val="Heading2"/>
      </w:pPr>
      <w:r w:rsidRPr="00C72770">
        <w:t xml:space="preserve">Appraisal </w:t>
      </w:r>
      <w:r w:rsidR="00343B53" w:rsidRPr="00C72770">
        <w:t>c</w:t>
      </w:r>
      <w:r w:rsidRPr="00C72770">
        <w:t>ommittee members</w:t>
      </w:r>
    </w:p>
    <w:p w14:paraId="05440BCE" w14:textId="08BD902F" w:rsidR="002F2583" w:rsidRPr="00C72770" w:rsidRDefault="002F2583" w:rsidP="002F2583">
      <w:pPr>
        <w:pStyle w:val="NICEnormal"/>
        <w:rPr>
          <w:rFonts w:eastAsia="Calibri"/>
        </w:rPr>
      </w:pPr>
      <w:r w:rsidRPr="00C72770">
        <w:t xml:space="preserve">The 4 technology appraisal committees are standing advisory committees of NICE. This topic was considered by </w:t>
      </w:r>
      <w:hyperlink r:id="rId14" w:history="1">
        <w:r w:rsidR="00FB7488">
          <w:rPr>
            <w:rStyle w:val="Hyperlink"/>
            <w:rFonts w:eastAsia="Calibri"/>
          </w:rPr>
          <w:t>committee D</w:t>
        </w:r>
      </w:hyperlink>
      <w:r w:rsidRPr="00C72770">
        <w:t>.</w:t>
      </w:r>
    </w:p>
    <w:p w14:paraId="1E8582EE" w14:textId="6B51172A" w:rsidR="002F2583" w:rsidRPr="00C72770" w:rsidRDefault="002F2583" w:rsidP="002F2583">
      <w:pPr>
        <w:pStyle w:val="NICEnormal"/>
      </w:pPr>
      <w:r w:rsidRPr="00C72770">
        <w:t>Committee members are asked to declare any interests in the technology to be appraised. If it is considered there is a conflict of interest, the member is excluded from participating further in that appraisal.</w:t>
      </w:r>
    </w:p>
    <w:p w14:paraId="02FC9492" w14:textId="1F4CA7F7" w:rsidR="002F2583" w:rsidRPr="00C72770" w:rsidRDefault="002F2583" w:rsidP="002F2583">
      <w:pPr>
        <w:pStyle w:val="NICEnormal"/>
      </w:pPr>
      <w:r w:rsidRPr="00C72770">
        <w:lastRenderedPageBreak/>
        <w:t xml:space="preserve">The </w:t>
      </w:r>
      <w:hyperlink r:id="rId15" w:history="1">
        <w:r w:rsidRPr="00FC56D7">
          <w:rPr>
            <w:rStyle w:val="Hyperlink"/>
            <w:rFonts w:eastAsia="Calibri"/>
          </w:rPr>
          <w:t>minutes</w:t>
        </w:r>
        <w:r w:rsidRPr="00FC56D7">
          <w:rPr>
            <w:rStyle w:val="Hyperlink"/>
          </w:rPr>
          <w:t xml:space="preserve"> of each appraisal committee meeting</w:t>
        </w:r>
      </w:hyperlink>
      <w:r w:rsidRPr="00C72770">
        <w:t>, which include the names of the members who attended and their declarations of interests, are posted on the NICE website.</w:t>
      </w:r>
    </w:p>
    <w:p w14:paraId="00DA8655" w14:textId="77777777" w:rsidR="00B16431" w:rsidRPr="00C72770" w:rsidRDefault="00B16431" w:rsidP="00B16431">
      <w:pPr>
        <w:pStyle w:val="Heading2"/>
      </w:pPr>
      <w:r w:rsidRPr="00C72770">
        <w:t>NICE project team</w:t>
      </w:r>
    </w:p>
    <w:p w14:paraId="5A6017D6" w14:textId="236C8036" w:rsidR="00B16431" w:rsidRPr="00C72770" w:rsidRDefault="00B16431" w:rsidP="00B16431">
      <w:pPr>
        <w:pStyle w:val="NICEnormal"/>
      </w:pPr>
      <w:r w:rsidRPr="00C72770">
        <w:t>Each technology appraisal is assigned to a team consisting of 1 or more health technology analysts (who act as technical leads for the appraisal), a technical adviser</w:t>
      </w:r>
      <w:r w:rsidR="0016320D" w:rsidRPr="00C72770">
        <w:t xml:space="preserve"> </w:t>
      </w:r>
      <w:r w:rsidRPr="00C72770">
        <w:t>and a project manager.</w:t>
      </w:r>
    </w:p>
    <w:p w14:paraId="337F45FC" w14:textId="59F9C8AF" w:rsidR="00B16431" w:rsidRPr="00C72770" w:rsidRDefault="0016320D" w:rsidP="00B16431">
      <w:pPr>
        <w:pStyle w:val="NICEnormal"/>
      </w:pPr>
      <w:bookmarkStart w:id="8" w:name="Text45"/>
      <w:r w:rsidRPr="00C72770">
        <w:rPr>
          <w:b/>
        </w:rPr>
        <w:t>Luke Cowie</w:t>
      </w:r>
      <w:r w:rsidR="002D2144" w:rsidRPr="00C72770">
        <w:br/>
      </w:r>
      <w:r w:rsidR="00B16431" w:rsidRPr="00C72770">
        <w:t xml:space="preserve">Technical </w:t>
      </w:r>
      <w:r w:rsidR="00E65C76" w:rsidRPr="00C72770">
        <w:t>l</w:t>
      </w:r>
      <w:r w:rsidR="00B16431" w:rsidRPr="00C72770">
        <w:t>ead</w:t>
      </w:r>
    </w:p>
    <w:p w14:paraId="34ACA04D" w14:textId="59290606" w:rsidR="00B16431" w:rsidRPr="00C72770" w:rsidRDefault="0016320D" w:rsidP="00B16431">
      <w:pPr>
        <w:pStyle w:val="NICEnormal"/>
      </w:pPr>
      <w:r w:rsidRPr="00C72770">
        <w:rPr>
          <w:b/>
        </w:rPr>
        <w:t>Richard Diaz</w:t>
      </w:r>
      <w:r w:rsidR="00B16431" w:rsidRPr="00C72770">
        <w:br/>
        <w:t xml:space="preserve">Technical </w:t>
      </w:r>
      <w:r w:rsidR="00E65C76" w:rsidRPr="00C72770">
        <w:t>a</w:t>
      </w:r>
      <w:r w:rsidR="00B16431" w:rsidRPr="00C72770">
        <w:t>dviser</w:t>
      </w:r>
    </w:p>
    <w:p w14:paraId="5D8E75F3" w14:textId="34A46963" w:rsidR="00B16431" w:rsidRPr="00C72770" w:rsidRDefault="0016320D" w:rsidP="005D3FD9">
      <w:pPr>
        <w:pStyle w:val="NICEnormal"/>
      </w:pPr>
      <w:r w:rsidRPr="00C72770">
        <w:rPr>
          <w:b/>
        </w:rPr>
        <w:t>Kate Moore</w:t>
      </w:r>
      <w:r w:rsidR="00B16431" w:rsidRPr="00C72770">
        <w:br/>
        <w:t xml:space="preserve">Project </w:t>
      </w:r>
      <w:r w:rsidR="00E65C76" w:rsidRPr="00C72770">
        <w:t>m</w:t>
      </w:r>
      <w:r w:rsidR="00B16431" w:rsidRPr="00C72770">
        <w:t>anager</w:t>
      </w:r>
      <w:bookmarkEnd w:id="8"/>
    </w:p>
    <w:p w14:paraId="3D4FCC29" w14:textId="77777777" w:rsidR="006E7647" w:rsidRPr="00C72770" w:rsidRDefault="006E7647" w:rsidP="00F05E37">
      <w:pPr>
        <w:pStyle w:val="NICEnormal"/>
      </w:pPr>
      <w:r w:rsidRPr="00C72770">
        <w:t xml:space="preserve">ISBN: </w:t>
      </w:r>
      <w:r w:rsidRPr="00C72770">
        <w:rPr>
          <w:highlight w:val="green"/>
        </w:rPr>
        <w:t>[to be added at publication]</w:t>
      </w:r>
    </w:p>
    <w:sectPr w:rsidR="006E7647" w:rsidRPr="00C72770" w:rsidSect="00C76DDA">
      <w:headerReference w:type="default" r:id="rId16"/>
      <w:footerReference w:type="defaul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8B27" w14:textId="77777777" w:rsidR="00B4124F" w:rsidRDefault="00B4124F">
      <w:r>
        <w:separator/>
      </w:r>
    </w:p>
  </w:endnote>
  <w:endnote w:type="continuationSeparator" w:id="0">
    <w:p w14:paraId="1AD1B388" w14:textId="77777777" w:rsidR="00B4124F" w:rsidRDefault="00B4124F">
      <w:r>
        <w:continuationSeparator/>
      </w:r>
    </w:p>
  </w:endnote>
  <w:endnote w:type="continuationNotice" w:id="1">
    <w:p w14:paraId="3511C4C7" w14:textId="77777777" w:rsidR="00B4124F" w:rsidRDefault="00B41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40F2" w14:textId="4F2FC795" w:rsidR="00B4124F" w:rsidRPr="003D33FB" w:rsidRDefault="00B4124F"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Lorlatinib for previously treated ALK-positive advanced non-small-cell lung cancer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5DAB81A4" w14:textId="7708767E" w:rsidR="00B4124F" w:rsidRDefault="00B4124F" w:rsidP="007A7EC8">
    <w:pPr>
      <w:pStyle w:val="NICEnormalsinglespacing"/>
      <w:spacing w:after="120"/>
      <w:rPr>
        <w:sz w:val="18"/>
        <w:szCs w:val="18"/>
      </w:rPr>
    </w:pPr>
    <w:r w:rsidRPr="003D33FB">
      <w:rPr>
        <w:sz w:val="18"/>
        <w:szCs w:val="18"/>
      </w:rPr>
      <w:t xml:space="preserve">Issue date: </w:t>
    </w:r>
    <w:r>
      <w:rPr>
        <w:sz w:val="18"/>
        <w:szCs w:val="18"/>
      </w:rPr>
      <w:t>January 2020</w:t>
    </w:r>
  </w:p>
  <w:p w14:paraId="179968D7" w14:textId="1AB6B809" w:rsidR="00B4124F" w:rsidRPr="007A7EC8" w:rsidRDefault="00B4124F"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A52F3" w14:textId="77777777" w:rsidR="00B4124F" w:rsidRDefault="00B4124F">
      <w:r>
        <w:separator/>
      </w:r>
    </w:p>
  </w:footnote>
  <w:footnote w:type="continuationSeparator" w:id="0">
    <w:p w14:paraId="3F747435" w14:textId="77777777" w:rsidR="00B4124F" w:rsidRDefault="00B4124F">
      <w:r>
        <w:continuationSeparator/>
      </w:r>
    </w:p>
  </w:footnote>
  <w:footnote w:type="continuationNotice" w:id="1">
    <w:p w14:paraId="4882C9EB" w14:textId="77777777" w:rsidR="00B4124F" w:rsidRDefault="00B41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2975" w14:textId="77777777" w:rsidR="00B4124F" w:rsidRPr="004E6427" w:rsidRDefault="00B4124F"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D6B8B"/>
    <w:multiLevelType w:val="hybridMultilevel"/>
    <w:tmpl w:val="AFF619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66C45"/>
    <w:multiLevelType w:val="hybridMultilevel"/>
    <w:tmpl w:val="E988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2C9A67F8"/>
    <w:lvl w:ilvl="0">
      <w:start w:val="1"/>
      <w:numFmt w:val="decimal"/>
      <w:pStyle w:val="Numberedheading1"/>
      <w:lvlText w:val="%1"/>
      <w:lvlJc w:val="left"/>
      <w:pPr>
        <w:ind w:left="360" w:hanging="360"/>
      </w:pPr>
      <w:rPr>
        <w:rFonts w:hint="default"/>
      </w:rPr>
    </w:lvl>
    <w:lvl w:ilvl="1">
      <w:start w:val="1"/>
      <w:numFmt w:val="decimal"/>
      <w:pStyle w:val="Numberedlevel2text"/>
      <w:lvlText w:val="%1.%2"/>
      <w:lvlJc w:val="left"/>
      <w:pPr>
        <w:tabs>
          <w:tab w:val="num" w:pos="1134"/>
        </w:tabs>
        <w:ind w:left="1134" w:hanging="1134"/>
      </w:pPr>
      <w:rPr>
        <w:rFonts w:hint="default"/>
        <w:b w:val="0"/>
        <w:bCs w:val="0"/>
        <w:i w:val="0"/>
        <w:color w:val="auto"/>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FA74621"/>
    <w:multiLevelType w:val="hybridMultilevel"/>
    <w:tmpl w:val="4FEC6F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3D370B"/>
    <w:multiLevelType w:val="hybridMultilevel"/>
    <w:tmpl w:val="A26469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70460EB2"/>
    <w:multiLevelType w:val="hybridMultilevel"/>
    <w:tmpl w:val="09068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E03F1"/>
    <w:multiLevelType w:val="hybridMultilevel"/>
    <w:tmpl w:val="725CA3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15"/>
  </w:num>
  <w:num w:numId="4">
    <w:abstractNumId w:val="11"/>
  </w:num>
  <w:num w:numId="5">
    <w:abstractNumId w:val="12"/>
  </w:num>
  <w:num w:numId="6">
    <w:abstractNumId w:val="0"/>
  </w:num>
  <w:num w:numId="7">
    <w:abstractNumId w:val="2"/>
  </w:num>
  <w:num w:numId="8">
    <w:abstractNumId w:val="4"/>
  </w:num>
  <w:num w:numId="9">
    <w:abstractNumId w:val="6"/>
  </w:num>
  <w:num w:numId="10">
    <w:abstractNumId w:val="8"/>
  </w:num>
  <w:num w:numId="11">
    <w:abstractNumId w:val="10"/>
  </w:num>
  <w:num w:numId="12">
    <w:abstractNumId w:val="9"/>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9"/>
  </w:num>
  <w:num w:numId="19">
    <w:abstractNumId w:val="17"/>
  </w:num>
  <w:num w:numId="20">
    <w:abstractNumId w:val="14"/>
  </w:num>
  <w:num w:numId="21">
    <w:abstractNumId w:val="8"/>
  </w:num>
  <w:num w:numId="22">
    <w:abstractNumId w:val="5"/>
  </w:num>
  <w:num w:numId="23">
    <w:abstractNumId w:val="7"/>
  </w:num>
  <w:num w:numId="24">
    <w:abstractNumId w:val="18"/>
  </w:num>
  <w:num w:numId="2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9"/>
    <w:rsid w:val="00000441"/>
    <w:rsid w:val="000052DF"/>
    <w:rsid w:val="00006590"/>
    <w:rsid w:val="000069A4"/>
    <w:rsid w:val="000069F9"/>
    <w:rsid w:val="0000727D"/>
    <w:rsid w:val="00007F6C"/>
    <w:rsid w:val="000119FB"/>
    <w:rsid w:val="0001368D"/>
    <w:rsid w:val="00014990"/>
    <w:rsid w:val="0001530C"/>
    <w:rsid w:val="00016A22"/>
    <w:rsid w:val="00016E5E"/>
    <w:rsid w:val="0001731F"/>
    <w:rsid w:val="00017610"/>
    <w:rsid w:val="00017998"/>
    <w:rsid w:val="00020317"/>
    <w:rsid w:val="000205C6"/>
    <w:rsid w:val="000209FB"/>
    <w:rsid w:val="00021FB0"/>
    <w:rsid w:val="000221AA"/>
    <w:rsid w:val="0002331F"/>
    <w:rsid w:val="00023F26"/>
    <w:rsid w:val="000249F8"/>
    <w:rsid w:val="00026E82"/>
    <w:rsid w:val="000301CB"/>
    <w:rsid w:val="00030676"/>
    <w:rsid w:val="00030714"/>
    <w:rsid w:val="00030D1A"/>
    <w:rsid w:val="00030F8A"/>
    <w:rsid w:val="00031FDA"/>
    <w:rsid w:val="0003322C"/>
    <w:rsid w:val="00034110"/>
    <w:rsid w:val="0003433B"/>
    <w:rsid w:val="00035AC1"/>
    <w:rsid w:val="000368FC"/>
    <w:rsid w:val="00036FF3"/>
    <w:rsid w:val="000376EE"/>
    <w:rsid w:val="000411E2"/>
    <w:rsid w:val="000421F8"/>
    <w:rsid w:val="00043262"/>
    <w:rsid w:val="00043E9A"/>
    <w:rsid w:val="00045528"/>
    <w:rsid w:val="000460FA"/>
    <w:rsid w:val="00052063"/>
    <w:rsid w:val="0005492B"/>
    <w:rsid w:val="00055DDF"/>
    <w:rsid w:val="00057724"/>
    <w:rsid w:val="000603BE"/>
    <w:rsid w:val="00061C83"/>
    <w:rsid w:val="0006437E"/>
    <w:rsid w:val="00064666"/>
    <w:rsid w:val="00065F40"/>
    <w:rsid w:val="0006624B"/>
    <w:rsid w:val="000678D1"/>
    <w:rsid w:val="000711F1"/>
    <w:rsid w:val="00073DA8"/>
    <w:rsid w:val="000748CC"/>
    <w:rsid w:val="000755E6"/>
    <w:rsid w:val="000764D3"/>
    <w:rsid w:val="00080A47"/>
    <w:rsid w:val="000814D6"/>
    <w:rsid w:val="00082F77"/>
    <w:rsid w:val="00085C5A"/>
    <w:rsid w:val="000862FC"/>
    <w:rsid w:val="00087323"/>
    <w:rsid w:val="000879ED"/>
    <w:rsid w:val="00093649"/>
    <w:rsid w:val="00096246"/>
    <w:rsid w:val="000A0A6E"/>
    <w:rsid w:val="000A1578"/>
    <w:rsid w:val="000A4016"/>
    <w:rsid w:val="000A6C40"/>
    <w:rsid w:val="000B2355"/>
    <w:rsid w:val="000B43BA"/>
    <w:rsid w:val="000B70D6"/>
    <w:rsid w:val="000B7F7A"/>
    <w:rsid w:val="000C04A1"/>
    <w:rsid w:val="000C194F"/>
    <w:rsid w:val="000C1AF1"/>
    <w:rsid w:val="000C2222"/>
    <w:rsid w:val="000D062C"/>
    <w:rsid w:val="000D09ED"/>
    <w:rsid w:val="000D0A87"/>
    <w:rsid w:val="000D0FB1"/>
    <w:rsid w:val="000D11B8"/>
    <w:rsid w:val="000D145B"/>
    <w:rsid w:val="000D6016"/>
    <w:rsid w:val="000D6E82"/>
    <w:rsid w:val="000D7185"/>
    <w:rsid w:val="000D7D0C"/>
    <w:rsid w:val="000E1CED"/>
    <w:rsid w:val="000E24BD"/>
    <w:rsid w:val="000E29D1"/>
    <w:rsid w:val="000E340C"/>
    <w:rsid w:val="000E6F19"/>
    <w:rsid w:val="000F1B3B"/>
    <w:rsid w:val="000F1E3F"/>
    <w:rsid w:val="000F3DBC"/>
    <w:rsid w:val="000F48EC"/>
    <w:rsid w:val="000F5D8D"/>
    <w:rsid w:val="000F78E2"/>
    <w:rsid w:val="000F7F29"/>
    <w:rsid w:val="001017A9"/>
    <w:rsid w:val="00101F34"/>
    <w:rsid w:val="001033D5"/>
    <w:rsid w:val="001039F7"/>
    <w:rsid w:val="00105409"/>
    <w:rsid w:val="00107DBD"/>
    <w:rsid w:val="001114A2"/>
    <w:rsid w:val="001120C7"/>
    <w:rsid w:val="00112D4A"/>
    <w:rsid w:val="00113666"/>
    <w:rsid w:val="001169FE"/>
    <w:rsid w:val="00116D19"/>
    <w:rsid w:val="00121E78"/>
    <w:rsid w:val="001230AC"/>
    <w:rsid w:val="00123F4B"/>
    <w:rsid w:val="00124604"/>
    <w:rsid w:val="001265C0"/>
    <w:rsid w:val="00126D25"/>
    <w:rsid w:val="001337B7"/>
    <w:rsid w:val="00133921"/>
    <w:rsid w:val="001344B3"/>
    <w:rsid w:val="00140C93"/>
    <w:rsid w:val="0014329C"/>
    <w:rsid w:val="00143536"/>
    <w:rsid w:val="00145B2F"/>
    <w:rsid w:val="00150440"/>
    <w:rsid w:val="00150D94"/>
    <w:rsid w:val="00151D8E"/>
    <w:rsid w:val="00151F84"/>
    <w:rsid w:val="00152ED7"/>
    <w:rsid w:val="001570BC"/>
    <w:rsid w:val="0015791B"/>
    <w:rsid w:val="001579BF"/>
    <w:rsid w:val="00161AA0"/>
    <w:rsid w:val="00162A52"/>
    <w:rsid w:val="0016320D"/>
    <w:rsid w:val="001658FC"/>
    <w:rsid w:val="001662BC"/>
    <w:rsid w:val="0017072D"/>
    <w:rsid w:val="00170B60"/>
    <w:rsid w:val="00170CF5"/>
    <w:rsid w:val="00171A2B"/>
    <w:rsid w:val="001729F8"/>
    <w:rsid w:val="00176FB2"/>
    <w:rsid w:val="001779AC"/>
    <w:rsid w:val="0018187A"/>
    <w:rsid w:val="001823EB"/>
    <w:rsid w:val="00184A64"/>
    <w:rsid w:val="00185F1D"/>
    <w:rsid w:val="0018716E"/>
    <w:rsid w:val="001873CB"/>
    <w:rsid w:val="00191B56"/>
    <w:rsid w:val="00192A07"/>
    <w:rsid w:val="00193945"/>
    <w:rsid w:val="001956FC"/>
    <w:rsid w:val="0019718A"/>
    <w:rsid w:val="001A1AE2"/>
    <w:rsid w:val="001B2DD8"/>
    <w:rsid w:val="001B2F14"/>
    <w:rsid w:val="001B4AF6"/>
    <w:rsid w:val="001B7341"/>
    <w:rsid w:val="001B7E00"/>
    <w:rsid w:val="001C0EF4"/>
    <w:rsid w:val="001C59E4"/>
    <w:rsid w:val="001C6D93"/>
    <w:rsid w:val="001D0AEE"/>
    <w:rsid w:val="001D1D43"/>
    <w:rsid w:val="001D73FD"/>
    <w:rsid w:val="001D79FC"/>
    <w:rsid w:val="001D7E7F"/>
    <w:rsid w:val="001E1A9D"/>
    <w:rsid w:val="001E27E5"/>
    <w:rsid w:val="001E2CAF"/>
    <w:rsid w:val="001E2E79"/>
    <w:rsid w:val="001E3F6C"/>
    <w:rsid w:val="001E4D37"/>
    <w:rsid w:val="001F1400"/>
    <w:rsid w:val="001F6078"/>
    <w:rsid w:val="001F7251"/>
    <w:rsid w:val="00204F82"/>
    <w:rsid w:val="0021081C"/>
    <w:rsid w:val="002119CD"/>
    <w:rsid w:val="00214342"/>
    <w:rsid w:val="002159C9"/>
    <w:rsid w:val="00217E5D"/>
    <w:rsid w:val="002218BC"/>
    <w:rsid w:val="00222BEA"/>
    <w:rsid w:val="00225439"/>
    <w:rsid w:val="00225F9B"/>
    <w:rsid w:val="002270ED"/>
    <w:rsid w:val="00232061"/>
    <w:rsid w:val="00235945"/>
    <w:rsid w:val="00235CAB"/>
    <w:rsid w:val="00237F53"/>
    <w:rsid w:val="00246A88"/>
    <w:rsid w:val="002536B2"/>
    <w:rsid w:val="00253EB9"/>
    <w:rsid w:val="002555BE"/>
    <w:rsid w:val="00255679"/>
    <w:rsid w:val="002563E2"/>
    <w:rsid w:val="00257B1C"/>
    <w:rsid w:val="002614EA"/>
    <w:rsid w:val="002628E0"/>
    <w:rsid w:val="00265B0E"/>
    <w:rsid w:val="00282C30"/>
    <w:rsid w:val="00282D7E"/>
    <w:rsid w:val="00290445"/>
    <w:rsid w:val="0029052C"/>
    <w:rsid w:val="00292044"/>
    <w:rsid w:val="00293811"/>
    <w:rsid w:val="00295F7C"/>
    <w:rsid w:val="002A0EB1"/>
    <w:rsid w:val="002A151A"/>
    <w:rsid w:val="002A2687"/>
    <w:rsid w:val="002A5C23"/>
    <w:rsid w:val="002A686F"/>
    <w:rsid w:val="002B3340"/>
    <w:rsid w:val="002B5772"/>
    <w:rsid w:val="002B6D1D"/>
    <w:rsid w:val="002B721A"/>
    <w:rsid w:val="002C0159"/>
    <w:rsid w:val="002C0551"/>
    <w:rsid w:val="002C19E1"/>
    <w:rsid w:val="002C257D"/>
    <w:rsid w:val="002C2774"/>
    <w:rsid w:val="002C381D"/>
    <w:rsid w:val="002C3C9A"/>
    <w:rsid w:val="002C4D27"/>
    <w:rsid w:val="002C712D"/>
    <w:rsid w:val="002C7568"/>
    <w:rsid w:val="002D2144"/>
    <w:rsid w:val="002D66F9"/>
    <w:rsid w:val="002D79A7"/>
    <w:rsid w:val="002E3F68"/>
    <w:rsid w:val="002E5C16"/>
    <w:rsid w:val="002E6F63"/>
    <w:rsid w:val="002E73E7"/>
    <w:rsid w:val="002F0AA7"/>
    <w:rsid w:val="002F1B28"/>
    <w:rsid w:val="002F2583"/>
    <w:rsid w:val="002F26BC"/>
    <w:rsid w:val="002F279A"/>
    <w:rsid w:val="002F2C1A"/>
    <w:rsid w:val="002F4F5B"/>
    <w:rsid w:val="002F68FE"/>
    <w:rsid w:val="00300DF8"/>
    <w:rsid w:val="00303156"/>
    <w:rsid w:val="003107AB"/>
    <w:rsid w:val="0031127A"/>
    <w:rsid w:val="0031309A"/>
    <w:rsid w:val="00314C74"/>
    <w:rsid w:val="003154E8"/>
    <w:rsid w:val="00315C29"/>
    <w:rsid w:val="0031664C"/>
    <w:rsid w:val="003219F2"/>
    <w:rsid w:val="00324997"/>
    <w:rsid w:val="003256B1"/>
    <w:rsid w:val="00325EB1"/>
    <w:rsid w:val="00331545"/>
    <w:rsid w:val="003330E6"/>
    <w:rsid w:val="0033333E"/>
    <w:rsid w:val="003368C0"/>
    <w:rsid w:val="00336D43"/>
    <w:rsid w:val="00336FEE"/>
    <w:rsid w:val="00343439"/>
    <w:rsid w:val="00343B53"/>
    <w:rsid w:val="00344F7E"/>
    <w:rsid w:val="003459E9"/>
    <w:rsid w:val="00346BA7"/>
    <w:rsid w:val="00346BD8"/>
    <w:rsid w:val="0035062F"/>
    <w:rsid w:val="00351C84"/>
    <w:rsid w:val="00354915"/>
    <w:rsid w:val="00356D23"/>
    <w:rsid w:val="00364185"/>
    <w:rsid w:val="00364E30"/>
    <w:rsid w:val="0037100A"/>
    <w:rsid w:val="00371519"/>
    <w:rsid w:val="00372031"/>
    <w:rsid w:val="003736C0"/>
    <w:rsid w:val="003738C2"/>
    <w:rsid w:val="00375520"/>
    <w:rsid w:val="00383DFE"/>
    <w:rsid w:val="003847B9"/>
    <w:rsid w:val="00385E85"/>
    <w:rsid w:val="00390EB2"/>
    <w:rsid w:val="0039118D"/>
    <w:rsid w:val="003917D0"/>
    <w:rsid w:val="00391AC8"/>
    <w:rsid w:val="00392FB4"/>
    <w:rsid w:val="00394DFF"/>
    <w:rsid w:val="00394E3C"/>
    <w:rsid w:val="00395C05"/>
    <w:rsid w:val="003A0250"/>
    <w:rsid w:val="003A04CD"/>
    <w:rsid w:val="003A11AB"/>
    <w:rsid w:val="003A1F14"/>
    <w:rsid w:val="003A3974"/>
    <w:rsid w:val="003A5518"/>
    <w:rsid w:val="003A5838"/>
    <w:rsid w:val="003A64B2"/>
    <w:rsid w:val="003B0BC2"/>
    <w:rsid w:val="003B37BB"/>
    <w:rsid w:val="003B5803"/>
    <w:rsid w:val="003B5ABD"/>
    <w:rsid w:val="003B6C9D"/>
    <w:rsid w:val="003B79B2"/>
    <w:rsid w:val="003B7ED1"/>
    <w:rsid w:val="003C0346"/>
    <w:rsid w:val="003C36AC"/>
    <w:rsid w:val="003C4418"/>
    <w:rsid w:val="003C5252"/>
    <w:rsid w:val="003C7EF9"/>
    <w:rsid w:val="003D385A"/>
    <w:rsid w:val="003D4546"/>
    <w:rsid w:val="003D68D5"/>
    <w:rsid w:val="003D7050"/>
    <w:rsid w:val="003E14CF"/>
    <w:rsid w:val="003E2347"/>
    <w:rsid w:val="003E2618"/>
    <w:rsid w:val="003E684C"/>
    <w:rsid w:val="003F168A"/>
    <w:rsid w:val="003F2034"/>
    <w:rsid w:val="003F30E8"/>
    <w:rsid w:val="003F773D"/>
    <w:rsid w:val="003F7A94"/>
    <w:rsid w:val="004075D2"/>
    <w:rsid w:val="00407D59"/>
    <w:rsid w:val="00410114"/>
    <w:rsid w:val="004138E8"/>
    <w:rsid w:val="0041525E"/>
    <w:rsid w:val="00415939"/>
    <w:rsid w:val="00420742"/>
    <w:rsid w:val="00421005"/>
    <w:rsid w:val="0042124D"/>
    <w:rsid w:val="004233CD"/>
    <w:rsid w:val="00431372"/>
    <w:rsid w:val="00431B7F"/>
    <w:rsid w:val="00433564"/>
    <w:rsid w:val="00434D77"/>
    <w:rsid w:val="004357B8"/>
    <w:rsid w:val="004367B1"/>
    <w:rsid w:val="00437CA3"/>
    <w:rsid w:val="0044027B"/>
    <w:rsid w:val="004408F8"/>
    <w:rsid w:val="0044263E"/>
    <w:rsid w:val="00442D8F"/>
    <w:rsid w:val="00445619"/>
    <w:rsid w:val="0044648F"/>
    <w:rsid w:val="00446DA2"/>
    <w:rsid w:val="004567CB"/>
    <w:rsid w:val="00457843"/>
    <w:rsid w:val="00460335"/>
    <w:rsid w:val="0046065E"/>
    <w:rsid w:val="00462002"/>
    <w:rsid w:val="0046212F"/>
    <w:rsid w:val="00462733"/>
    <w:rsid w:val="0046286C"/>
    <w:rsid w:val="00463227"/>
    <w:rsid w:val="00463973"/>
    <w:rsid w:val="00466674"/>
    <w:rsid w:val="00466EDF"/>
    <w:rsid w:val="00467A19"/>
    <w:rsid w:val="00471113"/>
    <w:rsid w:val="00471200"/>
    <w:rsid w:val="00472115"/>
    <w:rsid w:val="00472FF8"/>
    <w:rsid w:val="00475F03"/>
    <w:rsid w:val="004804B3"/>
    <w:rsid w:val="00481E06"/>
    <w:rsid w:val="004820E9"/>
    <w:rsid w:val="00482B77"/>
    <w:rsid w:val="00483119"/>
    <w:rsid w:val="0048361F"/>
    <w:rsid w:val="004845D0"/>
    <w:rsid w:val="004852FF"/>
    <w:rsid w:val="0048701D"/>
    <w:rsid w:val="00487D19"/>
    <w:rsid w:val="00490FAB"/>
    <w:rsid w:val="004938C9"/>
    <w:rsid w:val="00494E73"/>
    <w:rsid w:val="004A2830"/>
    <w:rsid w:val="004A4688"/>
    <w:rsid w:val="004B0280"/>
    <w:rsid w:val="004B514C"/>
    <w:rsid w:val="004B7D57"/>
    <w:rsid w:val="004C00D8"/>
    <w:rsid w:val="004C3DAD"/>
    <w:rsid w:val="004C5923"/>
    <w:rsid w:val="004C6116"/>
    <w:rsid w:val="004C7C61"/>
    <w:rsid w:val="004D03E0"/>
    <w:rsid w:val="004D0DFD"/>
    <w:rsid w:val="004D1FBE"/>
    <w:rsid w:val="004D2506"/>
    <w:rsid w:val="004D307C"/>
    <w:rsid w:val="004D4A86"/>
    <w:rsid w:val="004D7664"/>
    <w:rsid w:val="004D781E"/>
    <w:rsid w:val="004E02A9"/>
    <w:rsid w:val="004E074F"/>
    <w:rsid w:val="004E20CB"/>
    <w:rsid w:val="004E4683"/>
    <w:rsid w:val="004E4959"/>
    <w:rsid w:val="004E5FAA"/>
    <w:rsid w:val="004E6427"/>
    <w:rsid w:val="004E7625"/>
    <w:rsid w:val="004E7E43"/>
    <w:rsid w:val="004F147D"/>
    <w:rsid w:val="004F1686"/>
    <w:rsid w:val="004F1956"/>
    <w:rsid w:val="004F27E1"/>
    <w:rsid w:val="004F5FC6"/>
    <w:rsid w:val="004F6532"/>
    <w:rsid w:val="004F69FA"/>
    <w:rsid w:val="004F74B7"/>
    <w:rsid w:val="00503301"/>
    <w:rsid w:val="005037B2"/>
    <w:rsid w:val="0050455E"/>
    <w:rsid w:val="0050472B"/>
    <w:rsid w:val="005047AD"/>
    <w:rsid w:val="005100F9"/>
    <w:rsid w:val="00510B1D"/>
    <w:rsid w:val="0051107D"/>
    <w:rsid w:val="00521939"/>
    <w:rsid w:val="00525BE8"/>
    <w:rsid w:val="00526C07"/>
    <w:rsid w:val="005273A6"/>
    <w:rsid w:val="00527533"/>
    <w:rsid w:val="00527E88"/>
    <w:rsid w:val="0053387C"/>
    <w:rsid w:val="00534F74"/>
    <w:rsid w:val="00536789"/>
    <w:rsid w:val="00536D2F"/>
    <w:rsid w:val="00537215"/>
    <w:rsid w:val="00540052"/>
    <w:rsid w:val="0054146B"/>
    <w:rsid w:val="005414F0"/>
    <w:rsid w:val="00543C55"/>
    <w:rsid w:val="00543DB4"/>
    <w:rsid w:val="00543E08"/>
    <w:rsid w:val="005449AD"/>
    <w:rsid w:val="005505ED"/>
    <w:rsid w:val="00552D0F"/>
    <w:rsid w:val="0055745F"/>
    <w:rsid w:val="0056403E"/>
    <w:rsid w:val="00564B04"/>
    <w:rsid w:val="00565E37"/>
    <w:rsid w:val="00570F61"/>
    <w:rsid w:val="00573059"/>
    <w:rsid w:val="0057621E"/>
    <w:rsid w:val="0057785E"/>
    <w:rsid w:val="00577B05"/>
    <w:rsid w:val="00580D6F"/>
    <w:rsid w:val="005812C6"/>
    <w:rsid w:val="005835F2"/>
    <w:rsid w:val="005847A9"/>
    <w:rsid w:val="00586A04"/>
    <w:rsid w:val="00586F79"/>
    <w:rsid w:val="00591188"/>
    <w:rsid w:val="00591C37"/>
    <w:rsid w:val="005940A1"/>
    <w:rsid w:val="005948FA"/>
    <w:rsid w:val="00594AEB"/>
    <w:rsid w:val="005959BE"/>
    <w:rsid w:val="00596210"/>
    <w:rsid w:val="00596286"/>
    <w:rsid w:val="00596999"/>
    <w:rsid w:val="005A0F31"/>
    <w:rsid w:val="005A28A1"/>
    <w:rsid w:val="005A46D0"/>
    <w:rsid w:val="005A5A91"/>
    <w:rsid w:val="005A6FB5"/>
    <w:rsid w:val="005B0A81"/>
    <w:rsid w:val="005B0CA3"/>
    <w:rsid w:val="005B25E4"/>
    <w:rsid w:val="005B2D8F"/>
    <w:rsid w:val="005B30C8"/>
    <w:rsid w:val="005B5258"/>
    <w:rsid w:val="005B560A"/>
    <w:rsid w:val="005B5A7E"/>
    <w:rsid w:val="005B7778"/>
    <w:rsid w:val="005C051F"/>
    <w:rsid w:val="005C25C5"/>
    <w:rsid w:val="005C3356"/>
    <w:rsid w:val="005C5532"/>
    <w:rsid w:val="005C6E7B"/>
    <w:rsid w:val="005C762E"/>
    <w:rsid w:val="005C7AE7"/>
    <w:rsid w:val="005D098C"/>
    <w:rsid w:val="005D3FD9"/>
    <w:rsid w:val="005D4261"/>
    <w:rsid w:val="005E2139"/>
    <w:rsid w:val="005E46BB"/>
    <w:rsid w:val="005E5178"/>
    <w:rsid w:val="005F32A9"/>
    <w:rsid w:val="005F3B56"/>
    <w:rsid w:val="005F65E9"/>
    <w:rsid w:val="006001CC"/>
    <w:rsid w:val="00601C85"/>
    <w:rsid w:val="006023EC"/>
    <w:rsid w:val="00602B4D"/>
    <w:rsid w:val="00603911"/>
    <w:rsid w:val="00603AD5"/>
    <w:rsid w:val="00603C94"/>
    <w:rsid w:val="006048E0"/>
    <w:rsid w:val="00604FAD"/>
    <w:rsid w:val="0060662A"/>
    <w:rsid w:val="00612789"/>
    <w:rsid w:val="00613D24"/>
    <w:rsid w:val="00614BDA"/>
    <w:rsid w:val="00621AFB"/>
    <w:rsid w:val="0062589A"/>
    <w:rsid w:val="006279C4"/>
    <w:rsid w:val="006307C7"/>
    <w:rsid w:val="00630A83"/>
    <w:rsid w:val="00630AC1"/>
    <w:rsid w:val="00632B82"/>
    <w:rsid w:val="006331B4"/>
    <w:rsid w:val="006343F3"/>
    <w:rsid w:val="00636E2F"/>
    <w:rsid w:val="00640493"/>
    <w:rsid w:val="00640CF2"/>
    <w:rsid w:val="006417D6"/>
    <w:rsid w:val="00641C87"/>
    <w:rsid w:val="00642906"/>
    <w:rsid w:val="00643582"/>
    <w:rsid w:val="00643B75"/>
    <w:rsid w:val="006457EF"/>
    <w:rsid w:val="00646DCB"/>
    <w:rsid w:val="00650E67"/>
    <w:rsid w:val="00650F96"/>
    <w:rsid w:val="006512B7"/>
    <w:rsid w:val="00651C22"/>
    <w:rsid w:val="0065260B"/>
    <w:rsid w:val="00655679"/>
    <w:rsid w:val="00655B4D"/>
    <w:rsid w:val="00655ED5"/>
    <w:rsid w:val="0066230D"/>
    <w:rsid w:val="00662D85"/>
    <w:rsid w:val="00665734"/>
    <w:rsid w:val="00671977"/>
    <w:rsid w:val="00671D80"/>
    <w:rsid w:val="00672EFB"/>
    <w:rsid w:val="006739CF"/>
    <w:rsid w:val="0067752C"/>
    <w:rsid w:val="006776A2"/>
    <w:rsid w:val="00677B69"/>
    <w:rsid w:val="006801A6"/>
    <w:rsid w:val="0068124B"/>
    <w:rsid w:val="00681610"/>
    <w:rsid w:val="00683263"/>
    <w:rsid w:val="00685D36"/>
    <w:rsid w:val="00687304"/>
    <w:rsid w:val="0068763C"/>
    <w:rsid w:val="00692C71"/>
    <w:rsid w:val="006931A0"/>
    <w:rsid w:val="006935BC"/>
    <w:rsid w:val="00693986"/>
    <w:rsid w:val="00693EAB"/>
    <w:rsid w:val="00695B59"/>
    <w:rsid w:val="00696E55"/>
    <w:rsid w:val="006A0B0E"/>
    <w:rsid w:val="006A18BB"/>
    <w:rsid w:val="006A2FE4"/>
    <w:rsid w:val="006A3A9C"/>
    <w:rsid w:val="006A3CC5"/>
    <w:rsid w:val="006A721F"/>
    <w:rsid w:val="006A7CCF"/>
    <w:rsid w:val="006B0581"/>
    <w:rsid w:val="006B0F36"/>
    <w:rsid w:val="006B2DA8"/>
    <w:rsid w:val="006B30FD"/>
    <w:rsid w:val="006B4254"/>
    <w:rsid w:val="006B5938"/>
    <w:rsid w:val="006B5C16"/>
    <w:rsid w:val="006B5CB4"/>
    <w:rsid w:val="006B6209"/>
    <w:rsid w:val="006B6DCF"/>
    <w:rsid w:val="006B791B"/>
    <w:rsid w:val="006C4793"/>
    <w:rsid w:val="006D26FD"/>
    <w:rsid w:val="006D36FB"/>
    <w:rsid w:val="006D42ED"/>
    <w:rsid w:val="006D4D1A"/>
    <w:rsid w:val="006D73F1"/>
    <w:rsid w:val="006E0F29"/>
    <w:rsid w:val="006E1BFB"/>
    <w:rsid w:val="006E2820"/>
    <w:rsid w:val="006E2A29"/>
    <w:rsid w:val="006E3514"/>
    <w:rsid w:val="006E7421"/>
    <w:rsid w:val="006E7647"/>
    <w:rsid w:val="006F162C"/>
    <w:rsid w:val="006F1DA8"/>
    <w:rsid w:val="006F22E9"/>
    <w:rsid w:val="006F48A7"/>
    <w:rsid w:val="006F4CFA"/>
    <w:rsid w:val="006F5310"/>
    <w:rsid w:val="006F696E"/>
    <w:rsid w:val="006F6B91"/>
    <w:rsid w:val="007001FB"/>
    <w:rsid w:val="007014A7"/>
    <w:rsid w:val="00701F06"/>
    <w:rsid w:val="0070277B"/>
    <w:rsid w:val="007040CB"/>
    <w:rsid w:val="0070523B"/>
    <w:rsid w:val="00707D16"/>
    <w:rsid w:val="00715E8A"/>
    <w:rsid w:val="00717226"/>
    <w:rsid w:val="00720CB2"/>
    <w:rsid w:val="00720FDD"/>
    <w:rsid w:val="00722883"/>
    <w:rsid w:val="00722BCD"/>
    <w:rsid w:val="00723AF0"/>
    <w:rsid w:val="00727911"/>
    <w:rsid w:val="0073007E"/>
    <w:rsid w:val="007311E2"/>
    <w:rsid w:val="00732519"/>
    <w:rsid w:val="0073365B"/>
    <w:rsid w:val="0073453B"/>
    <w:rsid w:val="00734F5A"/>
    <w:rsid w:val="00736D97"/>
    <w:rsid w:val="00737CEF"/>
    <w:rsid w:val="00737DDA"/>
    <w:rsid w:val="00742847"/>
    <w:rsid w:val="00742E00"/>
    <w:rsid w:val="00746B57"/>
    <w:rsid w:val="00747D90"/>
    <w:rsid w:val="007501B9"/>
    <w:rsid w:val="00751CB9"/>
    <w:rsid w:val="00754159"/>
    <w:rsid w:val="007542F9"/>
    <w:rsid w:val="00755B50"/>
    <w:rsid w:val="0075624F"/>
    <w:rsid w:val="00756D96"/>
    <w:rsid w:val="00763641"/>
    <w:rsid w:val="00763F9B"/>
    <w:rsid w:val="00765136"/>
    <w:rsid w:val="007668BA"/>
    <w:rsid w:val="00770596"/>
    <w:rsid w:val="00772196"/>
    <w:rsid w:val="0077277D"/>
    <w:rsid w:val="007747D4"/>
    <w:rsid w:val="007747E7"/>
    <w:rsid w:val="00774963"/>
    <w:rsid w:val="0077522C"/>
    <w:rsid w:val="00775C29"/>
    <w:rsid w:val="00781B7F"/>
    <w:rsid w:val="00782DCB"/>
    <w:rsid w:val="00784156"/>
    <w:rsid w:val="007933B3"/>
    <w:rsid w:val="0079498D"/>
    <w:rsid w:val="00794D72"/>
    <w:rsid w:val="0079736E"/>
    <w:rsid w:val="007A048E"/>
    <w:rsid w:val="007A0EC4"/>
    <w:rsid w:val="007A19AF"/>
    <w:rsid w:val="007A1E9D"/>
    <w:rsid w:val="007A2501"/>
    <w:rsid w:val="007A2801"/>
    <w:rsid w:val="007A42A0"/>
    <w:rsid w:val="007A4EEE"/>
    <w:rsid w:val="007A6DAA"/>
    <w:rsid w:val="007A7EC8"/>
    <w:rsid w:val="007B0074"/>
    <w:rsid w:val="007B032C"/>
    <w:rsid w:val="007B1AF8"/>
    <w:rsid w:val="007B2A16"/>
    <w:rsid w:val="007B4B3F"/>
    <w:rsid w:val="007B787D"/>
    <w:rsid w:val="007B7B7B"/>
    <w:rsid w:val="007C076F"/>
    <w:rsid w:val="007C3165"/>
    <w:rsid w:val="007C58D6"/>
    <w:rsid w:val="007C732D"/>
    <w:rsid w:val="007D1008"/>
    <w:rsid w:val="007D5505"/>
    <w:rsid w:val="007D5B27"/>
    <w:rsid w:val="007D5C80"/>
    <w:rsid w:val="007D62AE"/>
    <w:rsid w:val="007D6F1B"/>
    <w:rsid w:val="007E013D"/>
    <w:rsid w:val="007E2754"/>
    <w:rsid w:val="007E3954"/>
    <w:rsid w:val="007E5818"/>
    <w:rsid w:val="007E61A7"/>
    <w:rsid w:val="007E65D7"/>
    <w:rsid w:val="007F51A2"/>
    <w:rsid w:val="007F5CC5"/>
    <w:rsid w:val="0080089C"/>
    <w:rsid w:val="00803318"/>
    <w:rsid w:val="00803456"/>
    <w:rsid w:val="0080390A"/>
    <w:rsid w:val="008061CE"/>
    <w:rsid w:val="0080787A"/>
    <w:rsid w:val="00811BBD"/>
    <w:rsid w:val="00812976"/>
    <w:rsid w:val="00814389"/>
    <w:rsid w:val="00814DEF"/>
    <w:rsid w:val="0082239E"/>
    <w:rsid w:val="008237E0"/>
    <w:rsid w:val="00825A87"/>
    <w:rsid w:val="00827515"/>
    <w:rsid w:val="00831B9B"/>
    <w:rsid w:val="00831E2D"/>
    <w:rsid w:val="00835008"/>
    <w:rsid w:val="008372F8"/>
    <w:rsid w:val="00842A7E"/>
    <w:rsid w:val="00844D3D"/>
    <w:rsid w:val="0084532E"/>
    <w:rsid w:val="00845810"/>
    <w:rsid w:val="00845F3C"/>
    <w:rsid w:val="00846159"/>
    <w:rsid w:val="008505C3"/>
    <w:rsid w:val="00851560"/>
    <w:rsid w:val="00851677"/>
    <w:rsid w:val="008522C6"/>
    <w:rsid w:val="00852E40"/>
    <w:rsid w:val="00855FF6"/>
    <w:rsid w:val="00857A90"/>
    <w:rsid w:val="00857CDD"/>
    <w:rsid w:val="008609D7"/>
    <w:rsid w:val="00860EA8"/>
    <w:rsid w:val="00861D4F"/>
    <w:rsid w:val="0086472B"/>
    <w:rsid w:val="0086577B"/>
    <w:rsid w:val="008658D7"/>
    <w:rsid w:val="0087368E"/>
    <w:rsid w:val="00873885"/>
    <w:rsid w:val="00877D0F"/>
    <w:rsid w:val="008802D9"/>
    <w:rsid w:val="00880B98"/>
    <w:rsid w:val="00881F26"/>
    <w:rsid w:val="008824EB"/>
    <w:rsid w:val="0088378E"/>
    <w:rsid w:val="008838A1"/>
    <w:rsid w:val="008860E1"/>
    <w:rsid w:val="00886305"/>
    <w:rsid w:val="0088685E"/>
    <w:rsid w:val="0088689E"/>
    <w:rsid w:val="00891454"/>
    <w:rsid w:val="00891794"/>
    <w:rsid w:val="00891929"/>
    <w:rsid w:val="008929A9"/>
    <w:rsid w:val="00893176"/>
    <w:rsid w:val="00895446"/>
    <w:rsid w:val="0089604C"/>
    <w:rsid w:val="008A05E4"/>
    <w:rsid w:val="008A2098"/>
    <w:rsid w:val="008A32D1"/>
    <w:rsid w:val="008A333A"/>
    <w:rsid w:val="008A5473"/>
    <w:rsid w:val="008B03D8"/>
    <w:rsid w:val="008B0D24"/>
    <w:rsid w:val="008B2AD5"/>
    <w:rsid w:val="008B2E3A"/>
    <w:rsid w:val="008B322A"/>
    <w:rsid w:val="008B3ACC"/>
    <w:rsid w:val="008B414A"/>
    <w:rsid w:val="008B61CD"/>
    <w:rsid w:val="008B6BEC"/>
    <w:rsid w:val="008C0C96"/>
    <w:rsid w:val="008C1002"/>
    <w:rsid w:val="008C274B"/>
    <w:rsid w:val="008C4387"/>
    <w:rsid w:val="008C4A61"/>
    <w:rsid w:val="008C4CB3"/>
    <w:rsid w:val="008C4F0F"/>
    <w:rsid w:val="008C60EF"/>
    <w:rsid w:val="008C6CFD"/>
    <w:rsid w:val="008C7D07"/>
    <w:rsid w:val="008C7F38"/>
    <w:rsid w:val="008D0474"/>
    <w:rsid w:val="008D3872"/>
    <w:rsid w:val="008D3B9E"/>
    <w:rsid w:val="008D3FE3"/>
    <w:rsid w:val="008D55C9"/>
    <w:rsid w:val="008D5D0F"/>
    <w:rsid w:val="008E0603"/>
    <w:rsid w:val="008E7460"/>
    <w:rsid w:val="008E7585"/>
    <w:rsid w:val="008F0C88"/>
    <w:rsid w:val="008F2E5C"/>
    <w:rsid w:val="008F4B72"/>
    <w:rsid w:val="008F5615"/>
    <w:rsid w:val="008F646F"/>
    <w:rsid w:val="00905394"/>
    <w:rsid w:val="00906982"/>
    <w:rsid w:val="009076D0"/>
    <w:rsid w:val="00912098"/>
    <w:rsid w:val="009134F4"/>
    <w:rsid w:val="0091400A"/>
    <w:rsid w:val="00914F38"/>
    <w:rsid w:val="0091776B"/>
    <w:rsid w:val="00920396"/>
    <w:rsid w:val="00923A93"/>
    <w:rsid w:val="00925E27"/>
    <w:rsid w:val="0092657D"/>
    <w:rsid w:val="00932B67"/>
    <w:rsid w:val="00935018"/>
    <w:rsid w:val="0093671F"/>
    <w:rsid w:val="00936C1F"/>
    <w:rsid w:val="00936D07"/>
    <w:rsid w:val="00937D0C"/>
    <w:rsid w:val="00937F0D"/>
    <w:rsid w:val="00941D1F"/>
    <w:rsid w:val="0094366C"/>
    <w:rsid w:val="0094666B"/>
    <w:rsid w:val="00946995"/>
    <w:rsid w:val="009479C0"/>
    <w:rsid w:val="00950914"/>
    <w:rsid w:val="00950C51"/>
    <w:rsid w:val="00950CC1"/>
    <w:rsid w:val="00951973"/>
    <w:rsid w:val="0095252E"/>
    <w:rsid w:val="00952591"/>
    <w:rsid w:val="00952C90"/>
    <w:rsid w:val="00953ADF"/>
    <w:rsid w:val="00953B55"/>
    <w:rsid w:val="00957E73"/>
    <w:rsid w:val="0096135C"/>
    <w:rsid w:val="00961561"/>
    <w:rsid w:val="0096417B"/>
    <w:rsid w:val="0096699D"/>
    <w:rsid w:val="009746D7"/>
    <w:rsid w:val="009808B4"/>
    <w:rsid w:val="009831C5"/>
    <w:rsid w:val="00983391"/>
    <w:rsid w:val="00984821"/>
    <w:rsid w:val="009909B9"/>
    <w:rsid w:val="00995164"/>
    <w:rsid w:val="00995E42"/>
    <w:rsid w:val="009961A7"/>
    <w:rsid w:val="0099716A"/>
    <w:rsid w:val="009A0593"/>
    <w:rsid w:val="009A2797"/>
    <w:rsid w:val="009A2C14"/>
    <w:rsid w:val="009A3D97"/>
    <w:rsid w:val="009A3ED6"/>
    <w:rsid w:val="009A598B"/>
    <w:rsid w:val="009A698B"/>
    <w:rsid w:val="009A6E8C"/>
    <w:rsid w:val="009B20EA"/>
    <w:rsid w:val="009B2D86"/>
    <w:rsid w:val="009B3F94"/>
    <w:rsid w:val="009B46F8"/>
    <w:rsid w:val="009B5E70"/>
    <w:rsid w:val="009B621A"/>
    <w:rsid w:val="009B672F"/>
    <w:rsid w:val="009B6EAB"/>
    <w:rsid w:val="009B718D"/>
    <w:rsid w:val="009C0BCC"/>
    <w:rsid w:val="009C1170"/>
    <w:rsid w:val="009C1398"/>
    <w:rsid w:val="009C16D1"/>
    <w:rsid w:val="009C18F2"/>
    <w:rsid w:val="009C27A7"/>
    <w:rsid w:val="009C3FA3"/>
    <w:rsid w:val="009C45D9"/>
    <w:rsid w:val="009C6530"/>
    <w:rsid w:val="009C6F32"/>
    <w:rsid w:val="009D2BEF"/>
    <w:rsid w:val="009D35E3"/>
    <w:rsid w:val="009D7187"/>
    <w:rsid w:val="009D783B"/>
    <w:rsid w:val="009E01DD"/>
    <w:rsid w:val="009E547A"/>
    <w:rsid w:val="009E793B"/>
    <w:rsid w:val="009F0023"/>
    <w:rsid w:val="009F30C8"/>
    <w:rsid w:val="009F3C9C"/>
    <w:rsid w:val="009F4054"/>
    <w:rsid w:val="009F5F7A"/>
    <w:rsid w:val="00A00F3F"/>
    <w:rsid w:val="00A01101"/>
    <w:rsid w:val="00A016E8"/>
    <w:rsid w:val="00A02F7D"/>
    <w:rsid w:val="00A03791"/>
    <w:rsid w:val="00A06657"/>
    <w:rsid w:val="00A07A8D"/>
    <w:rsid w:val="00A104E5"/>
    <w:rsid w:val="00A12DA0"/>
    <w:rsid w:val="00A13D1F"/>
    <w:rsid w:val="00A15EC0"/>
    <w:rsid w:val="00A16DFA"/>
    <w:rsid w:val="00A16EDF"/>
    <w:rsid w:val="00A17C0A"/>
    <w:rsid w:val="00A22FA7"/>
    <w:rsid w:val="00A238D0"/>
    <w:rsid w:val="00A2579B"/>
    <w:rsid w:val="00A31963"/>
    <w:rsid w:val="00A33919"/>
    <w:rsid w:val="00A3601F"/>
    <w:rsid w:val="00A36968"/>
    <w:rsid w:val="00A41149"/>
    <w:rsid w:val="00A44745"/>
    <w:rsid w:val="00A44F15"/>
    <w:rsid w:val="00A47B7B"/>
    <w:rsid w:val="00A50621"/>
    <w:rsid w:val="00A5083B"/>
    <w:rsid w:val="00A50F2A"/>
    <w:rsid w:val="00A54175"/>
    <w:rsid w:val="00A56809"/>
    <w:rsid w:val="00A60D9A"/>
    <w:rsid w:val="00A61E13"/>
    <w:rsid w:val="00A63A07"/>
    <w:rsid w:val="00A64D69"/>
    <w:rsid w:val="00A654A2"/>
    <w:rsid w:val="00A65972"/>
    <w:rsid w:val="00A66056"/>
    <w:rsid w:val="00A67183"/>
    <w:rsid w:val="00A70079"/>
    <w:rsid w:val="00A76391"/>
    <w:rsid w:val="00A76452"/>
    <w:rsid w:val="00A816A7"/>
    <w:rsid w:val="00A81823"/>
    <w:rsid w:val="00A82FBD"/>
    <w:rsid w:val="00A83F5F"/>
    <w:rsid w:val="00A84DF8"/>
    <w:rsid w:val="00A86D3D"/>
    <w:rsid w:val="00A9013E"/>
    <w:rsid w:val="00A915F3"/>
    <w:rsid w:val="00A94B17"/>
    <w:rsid w:val="00A94F1F"/>
    <w:rsid w:val="00A95347"/>
    <w:rsid w:val="00AA36B6"/>
    <w:rsid w:val="00AA471D"/>
    <w:rsid w:val="00AA4B1C"/>
    <w:rsid w:val="00AA51D7"/>
    <w:rsid w:val="00AA5724"/>
    <w:rsid w:val="00AA6188"/>
    <w:rsid w:val="00AA7E33"/>
    <w:rsid w:val="00AB1249"/>
    <w:rsid w:val="00AB265E"/>
    <w:rsid w:val="00AB2948"/>
    <w:rsid w:val="00AB39FA"/>
    <w:rsid w:val="00AB3B30"/>
    <w:rsid w:val="00AB426C"/>
    <w:rsid w:val="00AB451C"/>
    <w:rsid w:val="00AB59F2"/>
    <w:rsid w:val="00AB6416"/>
    <w:rsid w:val="00AB6E32"/>
    <w:rsid w:val="00AC3E62"/>
    <w:rsid w:val="00AC5AF9"/>
    <w:rsid w:val="00AC6192"/>
    <w:rsid w:val="00AD074B"/>
    <w:rsid w:val="00AD0DE3"/>
    <w:rsid w:val="00AD2F03"/>
    <w:rsid w:val="00AD57FE"/>
    <w:rsid w:val="00AD6933"/>
    <w:rsid w:val="00AD6B7B"/>
    <w:rsid w:val="00AD7CAB"/>
    <w:rsid w:val="00AE0D6A"/>
    <w:rsid w:val="00AE10BE"/>
    <w:rsid w:val="00AE16C9"/>
    <w:rsid w:val="00AE26DB"/>
    <w:rsid w:val="00AE2703"/>
    <w:rsid w:val="00AE3EF5"/>
    <w:rsid w:val="00AE4F2A"/>
    <w:rsid w:val="00AE5F33"/>
    <w:rsid w:val="00AF0AD5"/>
    <w:rsid w:val="00AF139A"/>
    <w:rsid w:val="00AF15E6"/>
    <w:rsid w:val="00AF51E7"/>
    <w:rsid w:val="00AF6744"/>
    <w:rsid w:val="00B0364C"/>
    <w:rsid w:val="00B05620"/>
    <w:rsid w:val="00B05C41"/>
    <w:rsid w:val="00B0651D"/>
    <w:rsid w:val="00B127B8"/>
    <w:rsid w:val="00B12E05"/>
    <w:rsid w:val="00B12EBE"/>
    <w:rsid w:val="00B13311"/>
    <w:rsid w:val="00B1625B"/>
    <w:rsid w:val="00B16431"/>
    <w:rsid w:val="00B166A4"/>
    <w:rsid w:val="00B172E1"/>
    <w:rsid w:val="00B219B7"/>
    <w:rsid w:val="00B22CD3"/>
    <w:rsid w:val="00B25038"/>
    <w:rsid w:val="00B25F86"/>
    <w:rsid w:val="00B27FF1"/>
    <w:rsid w:val="00B3159A"/>
    <w:rsid w:val="00B317E6"/>
    <w:rsid w:val="00B33249"/>
    <w:rsid w:val="00B3344D"/>
    <w:rsid w:val="00B33465"/>
    <w:rsid w:val="00B35C09"/>
    <w:rsid w:val="00B379C5"/>
    <w:rsid w:val="00B4124F"/>
    <w:rsid w:val="00B4183F"/>
    <w:rsid w:val="00B42198"/>
    <w:rsid w:val="00B46AD2"/>
    <w:rsid w:val="00B52AA2"/>
    <w:rsid w:val="00B55B95"/>
    <w:rsid w:val="00B5770B"/>
    <w:rsid w:val="00B62C8B"/>
    <w:rsid w:val="00B64BBE"/>
    <w:rsid w:val="00B64EBC"/>
    <w:rsid w:val="00B67DE1"/>
    <w:rsid w:val="00B70CC6"/>
    <w:rsid w:val="00B73894"/>
    <w:rsid w:val="00B8193F"/>
    <w:rsid w:val="00B82A82"/>
    <w:rsid w:val="00B8473D"/>
    <w:rsid w:val="00B8792A"/>
    <w:rsid w:val="00B90410"/>
    <w:rsid w:val="00B90E10"/>
    <w:rsid w:val="00B91B28"/>
    <w:rsid w:val="00B964CA"/>
    <w:rsid w:val="00BA0639"/>
    <w:rsid w:val="00BA0F53"/>
    <w:rsid w:val="00BA25C2"/>
    <w:rsid w:val="00BA31C4"/>
    <w:rsid w:val="00BA4655"/>
    <w:rsid w:val="00BA5775"/>
    <w:rsid w:val="00BA5E93"/>
    <w:rsid w:val="00BA78B6"/>
    <w:rsid w:val="00BA7935"/>
    <w:rsid w:val="00BB047B"/>
    <w:rsid w:val="00BB4818"/>
    <w:rsid w:val="00BB4AF3"/>
    <w:rsid w:val="00BB6398"/>
    <w:rsid w:val="00BB755D"/>
    <w:rsid w:val="00BC25EF"/>
    <w:rsid w:val="00BC2DAF"/>
    <w:rsid w:val="00BC4BF4"/>
    <w:rsid w:val="00BC4FD3"/>
    <w:rsid w:val="00BC6827"/>
    <w:rsid w:val="00BC6C7A"/>
    <w:rsid w:val="00BC7D9E"/>
    <w:rsid w:val="00BD0372"/>
    <w:rsid w:val="00BD07B5"/>
    <w:rsid w:val="00BD12DE"/>
    <w:rsid w:val="00BD229B"/>
    <w:rsid w:val="00BD44F5"/>
    <w:rsid w:val="00BD47E6"/>
    <w:rsid w:val="00BE018F"/>
    <w:rsid w:val="00BE4340"/>
    <w:rsid w:val="00BE5C41"/>
    <w:rsid w:val="00BF0217"/>
    <w:rsid w:val="00BF0646"/>
    <w:rsid w:val="00BF1904"/>
    <w:rsid w:val="00BF1AA8"/>
    <w:rsid w:val="00BF1C32"/>
    <w:rsid w:val="00BF235D"/>
    <w:rsid w:val="00BF25BB"/>
    <w:rsid w:val="00BF4CE2"/>
    <w:rsid w:val="00BF5C2F"/>
    <w:rsid w:val="00BF76A6"/>
    <w:rsid w:val="00C0068D"/>
    <w:rsid w:val="00C01F23"/>
    <w:rsid w:val="00C0231E"/>
    <w:rsid w:val="00C044BE"/>
    <w:rsid w:val="00C04BAB"/>
    <w:rsid w:val="00C04C0E"/>
    <w:rsid w:val="00C050C7"/>
    <w:rsid w:val="00C0607B"/>
    <w:rsid w:val="00C06DEF"/>
    <w:rsid w:val="00C075A2"/>
    <w:rsid w:val="00C107CB"/>
    <w:rsid w:val="00C118C4"/>
    <w:rsid w:val="00C11F58"/>
    <w:rsid w:val="00C120D7"/>
    <w:rsid w:val="00C132D1"/>
    <w:rsid w:val="00C139CA"/>
    <w:rsid w:val="00C13A7D"/>
    <w:rsid w:val="00C14FC2"/>
    <w:rsid w:val="00C15104"/>
    <w:rsid w:val="00C17060"/>
    <w:rsid w:val="00C20403"/>
    <w:rsid w:val="00C22323"/>
    <w:rsid w:val="00C241A8"/>
    <w:rsid w:val="00C24ABA"/>
    <w:rsid w:val="00C264CB"/>
    <w:rsid w:val="00C27325"/>
    <w:rsid w:val="00C27E13"/>
    <w:rsid w:val="00C31253"/>
    <w:rsid w:val="00C33D24"/>
    <w:rsid w:val="00C35129"/>
    <w:rsid w:val="00C37A33"/>
    <w:rsid w:val="00C419DB"/>
    <w:rsid w:val="00C46BD7"/>
    <w:rsid w:val="00C476F1"/>
    <w:rsid w:val="00C51429"/>
    <w:rsid w:val="00C51E8F"/>
    <w:rsid w:val="00C52CE9"/>
    <w:rsid w:val="00C52FC0"/>
    <w:rsid w:val="00C53F9E"/>
    <w:rsid w:val="00C559E9"/>
    <w:rsid w:val="00C608C1"/>
    <w:rsid w:val="00C60F08"/>
    <w:rsid w:val="00C63149"/>
    <w:rsid w:val="00C63D4E"/>
    <w:rsid w:val="00C63EA9"/>
    <w:rsid w:val="00C665A0"/>
    <w:rsid w:val="00C67725"/>
    <w:rsid w:val="00C700F3"/>
    <w:rsid w:val="00C7092F"/>
    <w:rsid w:val="00C72770"/>
    <w:rsid w:val="00C75AEB"/>
    <w:rsid w:val="00C76DDA"/>
    <w:rsid w:val="00C807B3"/>
    <w:rsid w:val="00C80E5E"/>
    <w:rsid w:val="00C825C9"/>
    <w:rsid w:val="00C83DAE"/>
    <w:rsid w:val="00C84AD6"/>
    <w:rsid w:val="00C86CC3"/>
    <w:rsid w:val="00C86E37"/>
    <w:rsid w:val="00C901B1"/>
    <w:rsid w:val="00C90EBC"/>
    <w:rsid w:val="00C91B69"/>
    <w:rsid w:val="00C9203C"/>
    <w:rsid w:val="00CA1E91"/>
    <w:rsid w:val="00CA3856"/>
    <w:rsid w:val="00CA5A3F"/>
    <w:rsid w:val="00CA67E0"/>
    <w:rsid w:val="00CB0122"/>
    <w:rsid w:val="00CB0269"/>
    <w:rsid w:val="00CB0833"/>
    <w:rsid w:val="00CB18F5"/>
    <w:rsid w:val="00CB2FED"/>
    <w:rsid w:val="00CC008E"/>
    <w:rsid w:val="00CC02ED"/>
    <w:rsid w:val="00CC1FD2"/>
    <w:rsid w:val="00CC27E1"/>
    <w:rsid w:val="00CC63EB"/>
    <w:rsid w:val="00CD022A"/>
    <w:rsid w:val="00CD03BE"/>
    <w:rsid w:val="00CD0707"/>
    <w:rsid w:val="00CD1A25"/>
    <w:rsid w:val="00CD1A99"/>
    <w:rsid w:val="00CD2E16"/>
    <w:rsid w:val="00CD3DBF"/>
    <w:rsid w:val="00CD65E7"/>
    <w:rsid w:val="00CD7BFC"/>
    <w:rsid w:val="00CE2B95"/>
    <w:rsid w:val="00CE2F1A"/>
    <w:rsid w:val="00CE40DF"/>
    <w:rsid w:val="00CF1A11"/>
    <w:rsid w:val="00CF238A"/>
    <w:rsid w:val="00CF30FC"/>
    <w:rsid w:val="00CF4286"/>
    <w:rsid w:val="00CF5CB2"/>
    <w:rsid w:val="00CF7B57"/>
    <w:rsid w:val="00D00F1F"/>
    <w:rsid w:val="00D01B9F"/>
    <w:rsid w:val="00D03B38"/>
    <w:rsid w:val="00D03F87"/>
    <w:rsid w:val="00D04CD4"/>
    <w:rsid w:val="00D07174"/>
    <w:rsid w:val="00D12095"/>
    <w:rsid w:val="00D15FF4"/>
    <w:rsid w:val="00D1759F"/>
    <w:rsid w:val="00D20672"/>
    <w:rsid w:val="00D21AEC"/>
    <w:rsid w:val="00D22D06"/>
    <w:rsid w:val="00D24772"/>
    <w:rsid w:val="00D2683D"/>
    <w:rsid w:val="00D26E91"/>
    <w:rsid w:val="00D271E2"/>
    <w:rsid w:val="00D272A6"/>
    <w:rsid w:val="00D333BB"/>
    <w:rsid w:val="00D3441D"/>
    <w:rsid w:val="00D355C4"/>
    <w:rsid w:val="00D3612A"/>
    <w:rsid w:val="00D361B4"/>
    <w:rsid w:val="00D37703"/>
    <w:rsid w:val="00D37DBF"/>
    <w:rsid w:val="00D37F25"/>
    <w:rsid w:val="00D42F4F"/>
    <w:rsid w:val="00D44141"/>
    <w:rsid w:val="00D53CC4"/>
    <w:rsid w:val="00D55F7A"/>
    <w:rsid w:val="00D56A53"/>
    <w:rsid w:val="00D56CC1"/>
    <w:rsid w:val="00D6324F"/>
    <w:rsid w:val="00D63458"/>
    <w:rsid w:val="00D66D37"/>
    <w:rsid w:val="00D66D82"/>
    <w:rsid w:val="00D66E8E"/>
    <w:rsid w:val="00D750CC"/>
    <w:rsid w:val="00D758DC"/>
    <w:rsid w:val="00D762E3"/>
    <w:rsid w:val="00D806F2"/>
    <w:rsid w:val="00D84369"/>
    <w:rsid w:val="00D84C8F"/>
    <w:rsid w:val="00D873AD"/>
    <w:rsid w:val="00D90BEE"/>
    <w:rsid w:val="00D91AAC"/>
    <w:rsid w:val="00D91C06"/>
    <w:rsid w:val="00D91C9F"/>
    <w:rsid w:val="00D93435"/>
    <w:rsid w:val="00D93C9F"/>
    <w:rsid w:val="00D93FD1"/>
    <w:rsid w:val="00DA08F5"/>
    <w:rsid w:val="00DA0DF3"/>
    <w:rsid w:val="00DA2ADC"/>
    <w:rsid w:val="00DA5AE6"/>
    <w:rsid w:val="00DA6563"/>
    <w:rsid w:val="00DB01E2"/>
    <w:rsid w:val="00DB0764"/>
    <w:rsid w:val="00DB3506"/>
    <w:rsid w:val="00DB460E"/>
    <w:rsid w:val="00DB7A9A"/>
    <w:rsid w:val="00DC3177"/>
    <w:rsid w:val="00DC3276"/>
    <w:rsid w:val="00DC333B"/>
    <w:rsid w:val="00DC70C2"/>
    <w:rsid w:val="00DC77DD"/>
    <w:rsid w:val="00DD13AB"/>
    <w:rsid w:val="00DD2841"/>
    <w:rsid w:val="00DD37D8"/>
    <w:rsid w:val="00DD4EB5"/>
    <w:rsid w:val="00DD5902"/>
    <w:rsid w:val="00DD5AA1"/>
    <w:rsid w:val="00DD608C"/>
    <w:rsid w:val="00DE01A4"/>
    <w:rsid w:val="00DE28FA"/>
    <w:rsid w:val="00DE3E40"/>
    <w:rsid w:val="00DE4597"/>
    <w:rsid w:val="00DE643F"/>
    <w:rsid w:val="00DE68EC"/>
    <w:rsid w:val="00DE6A5B"/>
    <w:rsid w:val="00DF41A7"/>
    <w:rsid w:val="00DF5A11"/>
    <w:rsid w:val="00DF6840"/>
    <w:rsid w:val="00DF7C11"/>
    <w:rsid w:val="00E010AB"/>
    <w:rsid w:val="00E015AD"/>
    <w:rsid w:val="00E0233F"/>
    <w:rsid w:val="00E02678"/>
    <w:rsid w:val="00E03410"/>
    <w:rsid w:val="00E050EC"/>
    <w:rsid w:val="00E06262"/>
    <w:rsid w:val="00E0748A"/>
    <w:rsid w:val="00E103C0"/>
    <w:rsid w:val="00E113A2"/>
    <w:rsid w:val="00E11CEE"/>
    <w:rsid w:val="00E128A9"/>
    <w:rsid w:val="00E143DA"/>
    <w:rsid w:val="00E14BA3"/>
    <w:rsid w:val="00E16744"/>
    <w:rsid w:val="00E210B7"/>
    <w:rsid w:val="00E24D43"/>
    <w:rsid w:val="00E25953"/>
    <w:rsid w:val="00E27F5A"/>
    <w:rsid w:val="00E30B42"/>
    <w:rsid w:val="00E319EF"/>
    <w:rsid w:val="00E32BEA"/>
    <w:rsid w:val="00E32F5B"/>
    <w:rsid w:val="00E32F6F"/>
    <w:rsid w:val="00E34F1B"/>
    <w:rsid w:val="00E3799F"/>
    <w:rsid w:val="00E37DA2"/>
    <w:rsid w:val="00E4121B"/>
    <w:rsid w:val="00E42FA4"/>
    <w:rsid w:val="00E43ACF"/>
    <w:rsid w:val="00E43CF4"/>
    <w:rsid w:val="00E45864"/>
    <w:rsid w:val="00E45D20"/>
    <w:rsid w:val="00E4622C"/>
    <w:rsid w:val="00E4791E"/>
    <w:rsid w:val="00E47F40"/>
    <w:rsid w:val="00E51FFB"/>
    <w:rsid w:val="00E52DD3"/>
    <w:rsid w:val="00E5471E"/>
    <w:rsid w:val="00E558A4"/>
    <w:rsid w:val="00E576D9"/>
    <w:rsid w:val="00E64DE5"/>
    <w:rsid w:val="00E65687"/>
    <w:rsid w:val="00E65C76"/>
    <w:rsid w:val="00E65EA1"/>
    <w:rsid w:val="00E6605D"/>
    <w:rsid w:val="00E6611F"/>
    <w:rsid w:val="00E67AC1"/>
    <w:rsid w:val="00E745B8"/>
    <w:rsid w:val="00E76006"/>
    <w:rsid w:val="00E76F44"/>
    <w:rsid w:val="00E80592"/>
    <w:rsid w:val="00E86F3B"/>
    <w:rsid w:val="00E91600"/>
    <w:rsid w:val="00E9168B"/>
    <w:rsid w:val="00E923A0"/>
    <w:rsid w:val="00E9265B"/>
    <w:rsid w:val="00E95253"/>
    <w:rsid w:val="00E978F3"/>
    <w:rsid w:val="00EA0446"/>
    <w:rsid w:val="00EA1CB1"/>
    <w:rsid w:val="00EA4D81"/>
    <w:rsid w:val="00EA5D5A"/>
    <w:rsid w:val="00EA6125"/>
    <w:rsid w:val="00EB223F"/>
    <w:rsid w:val="00EB3220"/>
    <w:rsid w:val="00EC02FA"/>
    <w:rsid w:val="00EC0435"/>
    <w:rsid w:val="00EC7180"/>
    <w:rsid w:val="00ED209D"/>
    <w:rsid w:val="00ED22F8"/>
    <w:rsid w:val="00ED379A"/>
    <w:rsid w:val="00ED418D"/>
    <w:rsid w:val="00ED46C4"/>
    <w:rsid w:val="00ED5F88"/>
    <w:rsid w:val="00ED6191"/>
    <w:rsid w:val="00ED664B"/>
    <w:rsid w:val="00ED7359"/>
    <w:rsid w:val="00ED7C2E"/>
    <w:rsid w:val="00EE13D6"/>
    <w:rsid w:val="00EE30C0"/>
    <w:rsid w:val="00EE5111"/>
    <w:rsid w:val="00EF0657"/>
    <w:rsid w:val="00EF157F"/>
    <w:rsid w:val="00EF2730"/>
    <w:rsid w:val="00EF28D7"/>
    <w:rsid w:val="00EF359E"/>
    <w:rsid w:val="00F01D63"/>
    <w:rsid w:val="00F03786"/>
    <w:rsid w:val="00F05E37"/>
    <w:rsid w:val="00F07897"/>
    <w:rsid w:val="00F07EF7"/>
    <w:rsid w:val="00F112AC"/>
    <w:rsid w:val="00F130AD"/>
    <w:rsid w:val="00F2002D"/>
    <w:rsid w:val="00F22093"/>
    <w:rsid w:val="00F227E8"/>
    <w:rsid w:val="00F235EE"/>
    <w:rsid w:val="00F24647"/>
    <w:rsid w:val="00F26374"/>
    <w:rsid w:val="00F26A9F"/>
    <w:rsid w:val="00F30C39"/>
    <w:rsid w:val="00F30DE4"/>
    <w:rsid w:val="00F310F8"/>
    <w:rsid w:val="00F331B5"/>
    <w:rsid w:val="00F34AF9"/>
    <w:rsid w:val="00F41A64"/>
    <w:rsid w:val="00F41E62"/>
    <w:rsid w:val="00F45725"/>
    <w:rsid w:val="00F47B58"/>
    <w:rsid w:val="00F47BED"/>
    <w:rsid w:val="00F51A96"/>
    <w:rsid w:val="00F532DF"/>
    <w:rsid w:val="00F53521"/>
    <w:rsid w:val="00F53991"/>
    <w:rsid w:val="00F61722"/>
    <w:rsid w:val="00F617C6"/>
    <w:rsid w:val="00F6208E"/>
    <w:rsid w:val="00F66A33"/>
    <w:rsid w:val="00F66F7C"/>
    <w:rsid w:val="00F678B0"/>
    <w:rsid w:val="00F70BA5"/>
    <w:rsid w:val="00F71818"/>
    <w:rsid w:val="00F73842"/>
    <w:rsid w:val="00F73B39"/>
    <w:rsid w:val="00F74981"/>
    <w:rsid w:val="00F7530A"/>
    <w:rsid w:val="00F75C04"/>
    <w:rsid w:val="00F76859"/>
    <w:rsid w:val="00F80C44"/>
    <w:rsid w:val="00F85CE4"/>
    <w:rsid w:val="00F85F71"/>
    <w:rsid w:val="00F90692"/>
    <w:rsid w:val="00F95772"/>
    <w:rsid w:val="00FA22AD"/>
    <w:rsid w:val="00FA27ED"/>
    <w:rsid w:val="00FA684C"/>
    <w:rsid w:val="00FB29D3"/>
    <w:rsid w:val="00FB2CA2"/>
    <w:rsid w:val="00FB4289"/>
    <w:rsid w:val="00FB6B93"/>
    <w:rsid w:val="00FB7488"/>
    <w:rsid w:val="00FC0149"/>
    <w:rsid w:val="00FC076D"/>
    <w:rsid w:val="00FC1824"/>
    <w:rsid w:val="00FC2985"/>
    <w:rsid w:val="00FC56D7"/>
    <w:rsid w:val="00FC7254"/>
    <w:rsid w:val="00FD008B"/>
    <w:rsid w:val="00FD0E0E"/>
    <w:rsid w:val="00FD12A2"/>
    <w:rsid w:val="00FD165F"/>
    <w:rsid w:val="00FD424D"/>
    <w:rsid w:val="00FD5803"/>
    <w:rsid w:val="00FE2750"/>
    <w:rsid w:val="00FE2CF0"/>
    <w:rsid w:val="00FE39BC"/>
    <w:rsid w:val="00FE63E3"/>
    <w:rsid w:val="00FF20D4"/>
    <w:rsid w:val="00FF2AF6"/>
    <w:rsid w:val="00FF3F44"/>
    <w:rsid w:val="00FF491C"/>
    <w:rsid w:val="00FF5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F638CBD"/>
  <w15:chartTrackingRefBased/>
  <w15:docId w15:val="{92A86D57-1593-451B-B839-D1D20FED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
    <w:autoRedefine/>
    <w:qFormat/>
    <w:rsid w:val="00C04C0E"/>
    <w:pPr>
      <w:numPr>
        <w:numId w:val="10"/>
      </w:numPr>
      <w:ind w:left="1134" w:hanging="1134"/>
    </w:pPr>
    <w:rPr>
      <w:szCs w:val="24"/>
      <w:lang w:val="en-GB"/>
    </w:rPr>
  </w:style>
  <w:style w:type="character" w:customStyle="1" w:styleId="Numberedheading1Char">
    <w:name w:val="Numbered heading 1 Char"/>
    <w:link w:val="Numberedheading1"/>
    <w:rsid w:val="00C04C0E"/>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036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980770533">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17/documents" TargetMode="External"/><Relationship Id="rId13" Type="http://schemas.openxmlformats.org/officeDocument/2006/relationships/hyperlink" Target="https://www.nice.org.uk/process/pmg9/chapter/the-appraisal-of-the-evidence-and-structured-decision-mak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edsu.org.uk/technical-support-documents/population-adjusted-indirect-comparisons-maic-and-st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84"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indevelopment/gid-ta10317/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Committee-D-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03CE4-638D-4858-AAAF-987E741C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0</TotalTime>
  <Pages>19</Pages>
  <Words>5048</Words>
  <Characters>28713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33694</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Luke Cowie</dc:creator>
  <cp:keywords/>
  <cp:lastModifiedBy>Kate Moore</cp:lastModifiedBy>
  <cp:revision>2</cp:revision>
  <cp:lastPrinted>2012-11-14T14:34:00Z</cp:lastPrinted>
  <dcterms:created xsi:type="dcterms:W3CDTF">2020-01-21T13:54:00Z</dcterms:created>
  <dcterms:modified xsi:type="dcterms:W3CDTF">2020-01-21T13:54:00Z</dcterms:modified>
</cp:coreProperties>
</file>