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8AFFE" w14:textId="77777777" w:rsidR="000F48EC" w:rsidRPr="003D09E3" w:rsidRDefault="000F48EC" w:rsidP="0093671F">
      <w:pPr>
        <w:pStyle w:val="Title2"/>
      </w:pPr>
      <w:r w:rsidRPr="00DB622F">
        <w:t>NATIONAL INSTITUTE FOR HEALTH AND C</w:t>
      </w:r>
      <w:r w:rsidR="00CC63EB" w:rsidRPr="00B615A0">
        <w:t>ARE</w:t>
      </w:r>
      <w:r w:rsidRPr="003D09E3">
        <w:t xml:space="preserve"> EXCELLENCE</w:t>
      </w:r>
    </w:p>
    <w:p w14:paraId="4AE46B5B" w14:textId="759C86FA" w:rsidR="000F48EC" w:rsidRPr="003D09E3" w:rsidRDefault="007A2801" w:rsidP="000069F9">
      <w:pPr>
        <w:pStyle w:val="Title2"/>
      </w:pPr>
      <w:r w:rsidRPr="003D09E3">
        <w:t>Appraisal consultation document</w:t>
      </w:r>
    </w:p>
    <w:p w14:paraId="260C298F" w14:textId="7A45F930" w:rsidR="007A2801" w:rsidRPr="00DB622F" w:rsidRDefault="00F80253" w:rsidP="00795C84">
      <w:pPr>
        <w:pStyle w:val="Title1"/>
      </w:pPr>
      <w:r w:rsidRPr="009225BB">
        <w:t xml:space="preserve">Pembrolizumab </w:t>
      </w:r>
      <w:r w:rsidRPr="00795C84">
        <w:t xml:space="preserve">with </w:t>
      </w:r>
      <w:proofErr w:type="spellStart"/>
      <w:r w:rsidRPr="00795C84">
        <w:t>axitinib</w:t>
      </w:r>
      <w:proofErr w:type="spellEnd"/>
      <w:r w:rsidRPr="00795C84">
        <w:t xml:space="preserve"> for</w:t>
      </w:r>
      <w:r w:rsidRPr="009225BB">
        <w:rPr>
          <w:b w:val="0"/>
          <w:bCs w:val="0"/>
        </w:rPr>
        <w:t xml:space="preserve"> </w:t>
      </w:r>
      <w:r w:rsidRPr="00795C84">
        <w:t xml:space="preserve">untreated </w:t>
      </w:r>
      <w:r w:rsidR="00EE29AA" w:rsidRPr="00795C84">
        <w:t>advanced</w:t>
      </w:r>
      <w:r w:rsidRPr="009225BB">
        <w:t xml:space="preserve"> renal cell carcinoma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DB622F" w14:paraId="376C93A5" w14:textId="77777777" w:rsidTr="00734F5A">
        <w:tc>
          <w:tcPr>
            <w:tcW w:w="8529" w:type="dxa"/>
            <w:shd w:val="clear" w:color="auto" w:fill="auto"/>
          </w:tcPr>
          <w:p w14:paraId="3BA3151D" w14:textId="6619E817" w:rsidR="007A2801" w:rsidRPr="00DB622F" w:rsidRDefault="007A2801" w:rsidP="00734F5A">
            <w:pPr>
              <w:pStyle w:val="NICEnormalsinglespacing"/>
            </w:pPr>
            <w:r w:rsidRPr="00DB622F">
              <w:t xml:space="preserve">The Department of Health and Social Care has asked the National Institute for Health and Care Excellence (NICE) to produce guidance on using </w:t>
            </w:r>
            <w:r w:rsidR="00F80253" w:rsidRPr="00DB622F">
              <w:t xml:space="preserve">pembrolizumab with </w:t>
            </w:r>
            <w:proofErr w:type="spellStart"/>
            <w:r w:rsidR="00F80253" w:rsidRPr="00DB622F">
              <w:t>axitinib</w:t>
            </w:r>
            <w:proofErr w:type="spellEnd"/>
            <w:r w:rsidRPr="00DB622F">
              <w:t xml:space="preserve"> in the NHS in England. The appraisal committee has considered the evidence submitted by the company and the views of non-company consultees and commentators, clinical experts and patient experts. </w:t>
            </w:r>
          </w:p>
          <w:p w14:paraId="7A6DBBEB" w14:textId="697597E0" w:rsidR="007A2801" w:rsidRPr="00B615A0" w:rsidRDefault="007A2801" w:rsidP="00734F5A">
            <w:pPr>
              <w:pStyle w:val="NICEnormalsinglespacing"/>
            </w:pPr>
            <w:r w:rsidRPr="00DB622F">
              <w:rPr>
                <w:b/>
              </w:rPr>
              <w:t>This document has been prepared for consultation with the consultees.</w:t>
            </w:r>
            <w:r w:rsidRPr="00DB622F">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sidRPr="00B615A0">
                <w:rPr>
                  <w:rStyle w:val="Hyperlink"/>
                </w:rPr>
                <w:t>com</w:t>
              </w:r>
              <w:r w:rsidRPr="00B615A0">
                <w:rPr>
                  <w:rStyle w:val="Hyperlink"/>
                </w:rPr>
                <w:t>m</w:t>
              </w:r>
              <w:r w:rsidRPr="00B615A0">
                <w:rPr>
                  <w:rStyle w:val="Hyperlink"/>
                </w:rPr>
                <w:t>ittee papers</w:t>
              </w:r>
            </w:hyperlink>
            <w:r w:rsidRPr="00DB622F">
              <w:t>).</w:t>
            </w:r>
          </w:p>
          <w:p w14:paraId="5ECF2406" w14:textId="77777777" w:rsidR="007A2801" w:rsidRPr="00DB622F" w:rsidRDefault="007A2801" w:rsidP="00734F5A">
            <w:pPr>
              <w:pStyle w:val="NICEnormalsinglespacing"/>
            </w:pPr>
            <w:r w:rsidRPr="00DB622F">
              <w:t>The appraisal committee is interested in receiving comments on the following:</w:t>
            </w:r>
          </w:p>
          <w:p w14:paraId="4BA5EB8C" w14:textId="77777777" w:rsidR="007A2801" w:rsidRPr="00DB622F" w:rsidRDefault="007A2801" w:rsidP="00734F5A">
            <w:pPr>
              <w:pStyle w:val="Bulletleft1"/>
              <w:spacing w:line="240" w:lineRule="auto"/>
            </w:pPr>
            <w:r w:rsidRPr="00DB622F">
              <w:t>Has all of the relevant evidence been taken into account?</w:t>
            </w:r>
          </w:p>
          <w:p w14:paraId="374A2CE1" w14:textId="77777777" w:rsidR="007A2801" w:rsidRPr="00DB622F" w:rsidRDefault="007A2801" w:rsidP="00734F5A">
            <w:pPr>
              <w:pStyle w:val="Bulletleft1"/>
              <w:spacing w:line="240" w:lineRule="auto"/>
            </w:pPr>
            <w:r w:rsidRPr="00DB622F">
              <w:t>Are the summaries of clinical and cost effectiveness reasonable interpretations of the evidence?</w:t>
            </w:r>
          </w:p>
          <w:p w14:paraId="33A89778" w14:textId="77777777" w:rsidR="007A2801" w:rsidRPr="00DB622F" w:rsidRDefault="007A2801" w:rsidP="00734F5A">
            <w:pPr>
              <w:pStyle w:val="Bulletleft1"/>
              <w:spacing w:line="240" w:lineRule="auto"/>
            </w:pPr>
            <w:r w:rsidRPr="00DB622F">
              <w:t>Are the recommendations sound and a suitable basis for guidance to the NHS?</w:t>
            </w:r>
          </w:p>
          <w:p w14:paraId="65C7A75D" w14:textId="77777777" w:rsidR="007A2801" w:rsidRPr="00DB622F" w:rsidRDefault="007A2801" w:rsidP="00734F5A">
            <w:pPr>
              <w:pStyle w:val="Bulletleft1"/>
              <w:spacing w:line="240" w:lineRule="auto"/>
            </w:pPr>
            <w:r w:rsidRPr="00DB622F">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5B68FA41" w14:textId="77777777" w:rsidR="007A2801" w:rsidRPr="00DB622F" w:rsidRDefault="007A2801">
      <w:pPr>
        <w:rPr>
          <w:rFonts w:ascii="Arial" w:hAnsi="Arial"/>
        </w:rPr>
      </w:pPr>
      <w:r w:rsidRPr="00DB622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DB622F" w14:paraId="743548DF" w14:textId="77777777" w:rsidTr="00734F5A">
        <w:tc>
          <w:tcPr>
            <w:tcW w:w="8529" w:type="dxa"/>
            <w:shd w:val="clear" w:color="auto" w:fill="auto"/>
          </w:tcPr>
          <w:p w14:paraId="65557D3B" w14:textId="77777777" w:rsidR="007A2801" w:rsidRPr="00DB622F" w:rsidRDefault="007A2801" w:rsidP="00734F5A">
            <w:pPr>
              <w:pStyle w:val="NICEnormalsinglespacing"/>
              <w:rPr>
                <w:b/>
                <w:bCs/>
              </w:rPr>
            </w:pPr>
            <w:bookmarkStart w:id="0" w:name="_GoBack"/>
            <w:r w:rsidRPr="00DB622F">
              <w:rPr>
                <w:b/>
                <w:bCs/>
              </w:rPr>
              <w:lastRenderedPageBreak/>
              <w:t>Note that this document is not NICE's final guidance on this technology. The recommendations in section 1 may change after consultation.</w:t>
            </w:r>
          </w:p>
          <w:p w14:paraId="1BB236AC" w14:textId="77777777" w:rsidR="007A2801" w:rsidRPr="00DB622F" w:rsidRDefault="007A2801" w:rsidP="00734F5A">
            <w:pPr>
              <w:pStyle w:val="NICEnormalsinglespacing"/>
            </w:pPr>
            <w:r w:rsidRPr="00DB622F">
              <w:t>After consultation:</w:t>
            </w:r>
          </w:p>
          <w:p w14:paraId="1EE83017" w14:textId="77777777" w:rsidR="007A2801" w:rsidRPr="00DB622F" w:rsidRDefault="007A2801" w:rsidP="00734F5A">
            <w:pPr>
              <w:pStyle w:val="Bulletleft1"/>
              <w:spacing w:line="240" w:lineRule="auto"/>
            </w:pPr>
            <w:r w:rsidRPr="00DB622F">
              <w:t>The appraisal committee will meet again to consider the evidence, this appraisal consultation document and comments from the consultees.</w:t>
            </w:r>
          </w:p>
          <w:p w14:paraId="4C89A065" w14:textId="77777777" w:rsidR="007A2801" w:rsidRPr="00DB622F" w:rsidRDefault="007A2801" w:rsidP="00734F5A">
            <w:pPr>
              <w:pStyle w:val="Bulletleft1"/>
              <w:spacing w:line="240" w:lineRule="auto"/>
            </w:pPr>
            <w:r w:rsidRPr="00DB622F">
              <w:t>At that meeting, the committee will also consider comments made by people who are not consultees.</w:t>
            </w:r>
          </w:p>
          <w:p w14:paraId="56DB2BD1" w14:textId="77777777" w:rsidR="007A2801" w:rsidRPr="00DB622F" w:rsidRDefault="007A2801" w:rsidP="00734F5A">
            <w:pPr>
              <w:pStyle w:val="Bulletleft1"/>
              <w:spacing w:line="240" w:lineRule="auto"/>
            </w:pPr>
            <w:r w:rsidRPr="00DB622F">
              <w:t>After considering these comments, the committee will prepare the final appraisal document.</w:t>
            </w:r>
          </w:p>
          <w:p w14:paraId="312CC4B2" w14:textId="7F5CF00C" w:rsidR="007A2801" w:rsidRPr="00DB622F" w:rsidRDefault="007A2801" w:rsidP="00734F5A">
            <w:pPr>
              <w:pStyle w:val="Bulletleft1last"/>
              <w:spacing w:line="240" w:lineRule="auto"/>
            </w:pPr>
            <w:r w:rsidRPr="00DB622F">
              <w:t>Subject to any appeal by consultees, the final appraisal document may be used as the basis for NICE’s guidance on using</w:t>
            </w:r>
            <w:r w:rsidR="00F80253" w:rsidRPr="00DB622F">
              <w:rPr>
                <w:rFonts w:ascii="Times New Roman" w:hAnsi="Times New Roman"/>
              </w:rPr>
              <w:t xml:space="preserve"> </w:t>
            </w:r>
            <w:r w:rsidR="00F80253" w:rsidRPr="00DB622F">
              <w:t xml:space="preserve">pembrolizumab with </w:t>
            </w:r>
            <w:proofErr w:type="spellStart"/>
            <w:r w:rsidR="00F80253" w:rsidRPr="00DB622F">
              <w:t>axitinib</w:t>
            </w:r>
            <w:proofErr w:type="spellEnd"/>
            <w:r w:rsidRPr="00DB622F">
              <w:t xml:space="preserve"> in the NHS in England. </w:t>
            </w:r>
          </w:p>
          <w:p w14:paraId="1D82BD5A" w14:textId="77777777" w:rsidR="007A2801" w:rsidRPr="00DB622F" w:rsidRDefault="007A2801" w:rsidP="00734F5A">
            <w:pPr>
              <w:pStyle w:val="NICEnormalsinglespacing"/>
            </w:pPr>
            <w:r w:rsidRPr="00DB622F">
              <w:t xml:space="preserve">For further details, see NICE’s </w:t>
            </w:r>
            <w:hyperlink r:id="rId9" w:history="1">
              <w:r w:rsidRPr="00DB622F">
                <w:rPr>
                  <w:rStyle w:val="Hyperlink"/>
                </w:rPr>
                <w:t>guide to the processes of technology appraisal</w:t>
              </w:r>
            </w:hyperlink>
            <w:r w:rsidRPr="00DB622F">
              <w:t>.</w:t>
            </w:r>
          </w:p>
          <w:p w14:paraId="3BA6F39F" w14:textId="77777777" w:rsidR="007A2801" w:rsidRPr="00DB622F" w:rsidRDefault="007A2801" w:rsidP="00734F5A">
            <w:pPr>
              <w:pStyle w:val="NICEnormalsinglespacing"/>
              <w:rPr>
                <w:b/>
                <w:bCs/>
              </w:rPr>
            </w:pPr>
            <w:r w:rsidRPr="00DB622F">
              <w:rPr>
                <w:b/>
                <w:bCs/>
              </w:rPr>
              <w:t>The key dates for this appraisal are:</w:t>
            </w:r>
          </w:p>
          <w:p w14:paraId="0EDCF102" w14:textId="5F506CE0" w:rsidR="007A2801" w:rsidRPr="00DB622F" w:rsidRDefault="007A2801" w:rsidP="00734F5A">
            <w:pPr>
              <w:pStyle w:val="NICEnormalsinglespacing"/>
            </w:pPr>
            <w:r w:rsidRPr="00DB622F">
              <w:t xml:space="preserve">Closing date for comments: </w:t>
            </w:r>
            <w:r w:rsidR="00F80253" w:rsidRPr="00DB622F">
              <w:t>4 March 2020</w:t>
            </w:r>
          </w:p>
          <w:p w14:paraId="4D168FD3" w14:textId="50E15BD1" w:rsidR="007A2801" w:rsidRPr="00DB622F" w:rsidRDefault="007A2801" w:rsidP="00734F5A">
            <w:pPr>
              <w:pStyle w:val="NICEnormalsinglespacing"/>
            </w:pPr>
            <w:r w:rsidRPr="00DB622F">
              <w:t xml:space="preserve">Second appraisal committee meeting: </w:t>
            </w:r>
            <w:r w:rsidR="00F80253" w:rsidRPr="00DB622F">
              <w:t>TBC</w:t>
            </w:r>
          </w:p>
          <w:p w14:paraId="75987108" w14:textId="4CF3F72E" w:rsidR="007A2801" w:rsidRPr="00DB622F" w:rsidRDefault="007A2801">
            <w:pPr>
              <w:pStyle w:val="NICEnormalsinglespacing"/>
            </w:pPr>
            <w:r w:rsidRPr="00DB622F">
              <w:t>Details of membership of the appraisal committee are given in section</w:t>
            </w:r>
            <w:r w:rsidR="00F80253" w:rsidRPr="00DB622F">
              <w:t xml:space="preserve"> 5</w:t>
            </w:r>
            <w:r w:rsidRPr="00DB622F">
              <w:t>.</w:t>
            </w:r>
          </w:p>
        </w:tc>
      </w:tr>
      <w:bookmarkEnd w:id="0"/>
    </w:tbl>
    <w:p w14:paraId="3B3994B7" w14:textId="77777777" w:rsidR="007A2801" w:rsidRPr="00DB622F" w:rsidRDefault="007A2801" w:rsidP="00C76DDA">
      <w:pPr>
        <w:pStyle w:val="NICEnormal"/>
      </w:pPr>
    </w:p>
    <w:p w14:paraId="2B0AF424" w14:textId="77777777" w:rsidR="007A2801" w:rsidRPr="00DB622F" w:rsidRDefault="007A2801">
      <w:pPr>
        <w:rPr>
          <w:rFonts w:ascii="Arial" w:hAnsi="Arial"/>
        </w:rPr>
      </w:pPr>
      <w:r w:rsidRPr="00DB622F">
        <w:br w:type="page"/>
      </w:r>
    </w:p>
    <w:p w14:paraId="5E44E3BD" w14:textId="77777777" w:rsidR="000F48EC" w:rsidRPr="00DB622F" w:rsidRDefault="00B379C5" w:rsidP="00F130AD">
      <w:pPr>
        <w:pStyle w:val="Numberedheading1"/>
      </w:pPr>
      <w:r w:rsidRPr="00DB622F">
        <w:lastRenderedPageBreak/>
        <w:t>Recommendations</w:t>
      </w:r>
    </w:p>
    <w:p w14:paraId="265CEB52" w14:textId="2BA8B8A4" w:rsidR="00CB0833" w:rsidRPr="006B6EAF" w:rsidRDefault="007E2F8B" w:rsidP="00C52D9A">
      <w:pPr>
        <w:pStyle w:val="Numberedlevel2text"/>
        <w:rPr>
          <w:lang w:val="en-GB"/>
        </w:rPr>
      </w:pPr>
      <w:bookmarkStart w:id="1" w:name="Text2"/>
      <w:r w:rsidRPr="00795C84">
        <w:rPr>
          <w:rStyle w:val="Numberedlevel2textChar"/>
          <w:lang w:val="en-GB"/>
        </w:rPr>
        <w:t xml:space="preserve">Pembrolizumab with </w:t>
      </w:r>
      <w:proofErr w:type="spellStart"/>
      <w:r w:rsidRPr="00795C84">
        <w:rPr>
          <w:rStyle w:val="Numberedlevel2textChar"/>
          <w:lang w:val="en-GB"/>
        </w:rPr>
        <w:t>axitinib</w:t>
      </w:r>
      <w:proofErr w:type="spellEnd"/>
      <w:r w:rsidRPr="00795C84">
        <w:rPr>
          <w:rStyle w:val="Numberedlevel2textChar"/>
          <w:lang w:val="en-GB"/>
        </w:rPr>
        <w:t xml:space="preserve"> </w:t>
      </w:r>
      <w:r w:rsidRPr="00795C84">
        <w:rPr>
          <w:lang w:val="en-GB"/>
        </w:rPr>
        <w:t xml:space="preserve">is not recommended, within its marketing authorisation, for untreated advanced renal cell carcinoma </w:t>
      </w:r>
      <w:r w:rsidRPr="006B6EAF">
        <w:rPr>
          <w:lang w:val="en-GB"/>
        </w:rPr>
        <w:t>in adults</w:t>
      </w:r>
      <w:r w:rsidR="00B973B0" w:rsidRPr="006B6EAF">
        <w:rPr>
          <w:lang w:val="en-GB"/>
        </w:rPr>
        <w:t>.</w:t>
      </w:r>
      <w:bookmarkEnd w:id="1"/>
    </w:p>
    <w:p w14:paraId="370CA44A" w14:textId="10586434" w:rsidR="002F2C1A" w:rsidRPr="000956D4" w:rsidRDefault="002F2C1A" w:rsidP="00C52D9A">
      <w:pPr>
        <w:pStyle w:val="Numberedlevel2text"/>
        <w:numPr>
          <w:ilvl w:val="1"/>
          <w:numId w:val="1"/>
        </w:numPr>
        <w:rPr>
          <w:rStyle w:val="Numberedlevel2textChar"/>
          <w:lang w:val="en-GB"/>
        </w:rPr>
      </w:pPr>
      <w:r w:rsidRPr="006B6EAF">
        <w:rPr>
          <w:lang w:val="en-GB"/>
        </w:rPr>
        <w:t xml:space="preserve">This recommendation is not intended to affect treatment with </w:t>
      </w:r>
      <w:r w:rsidR="007E2F8B" w:rsidRPr="006B6EAF">
        <w:rPr>
          <w:lang w:val="en-GB"/>
        </w:rPr>
        <w:t xml:space="preserve">pembrolizumab </w:t>
      </w:r>
      <w:r w:rsidR="006726DF" w:rsidRPr="006B6EAF">
        <w:rPr>
          <w:lang w:val="en-GB"/>
        </w:rPr>
        <w:t>plus</w:t>
      </w:r>
      <w:r w:rsidR="007E2F8B" w:rsidRPr="000956D4">
        <w:rPr>
          <w:lang w:val="en-GB"/>
        </w:rPr>
        <w:t xml:space="preserve"> </w:t>
      </w:r>
      <w:proofErr w:type="spellStart"/>
      <w:r w:rsidR="007E2F8B" w:rsidRPr="000956D4">
        <w:rPr>
          <w:lang w:val="en-GB"/>
        </w:rPr>
        <w:t>axitinib</w:t>
      </w:r>
      <w:proofErr w:type="spellEnd"/>
      <w:r w:rsidRPr="000956D4">
        <w:rPr>
          <w:lang w:val="en-GB"/>
        </w:rPr>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r w:rsidR="007E2F8B" w:rsidRPr="000956D4" w:rsidDel="007E2F8B">
        <w:rPr>
          <w:lang w:val="en-GB"/>
        </w:rPr>
        <w:t xml:space="preserve"> </w:t>
      </w:r>
    </w:p>
    <w:p w14:paraId="4AFF5AE6" w14:textId="77777777" w:rsidR="00C11F58" w:rsidRPr="00B615A0" w:rsidRDefault="00C11F58" w:rsidP="008522C6">
      <w:pPr>
        <w:pStyle w:val="NICEnormal"/>
        <w:rPr>
          <w:b/>
        </w:rPr>
      </w:pPr>
      <w:r w:rsidRPr="00DB622F">
        <w:rPr>
          <w:b/>
        </w:rPr>
        <w:t>Why the committee made these recommendations</w:t>
      </w:r>
    </w:p>
    <w:p w14:paraId="3C6490D4" w14:textId="2DDB44DB" w:rsidR="0020632C" w:rsidRPr="00DB622F" w:rsidRDefault="0020632C" w:rsidP="00910F46">
      <w:pPr>
        <w:pStyle w:val="NICEnormal"/>
      </w:pPr>
      <w:r w:rsidRPr="00DB622F">
        <w:t>Current treatment for untreated advanced renal cell carcinoma i</w:t>
      </w:r>
      <w:r w:rsidR="00294445" w:rsidRPr="00DB622F">
        <w:t>ncludes</w:t>
      </w:r>
      <w:r w:rsidRPr="00DB622F">
        <w:t xml:space="preserve"> pazopanib, tivozanib or sunitinib. </w:t>
      </w:r>
      <w:r w:rsidR="00CB75BE">
        <w:t xml:space="preserve">Also, </w:t>
      </w:r>
      <w:proofErr w:type="spellStart"/>
      <w:r w:rsidR="00CB75BE">
        <w:t>c</w:t>
      </w:r>
      <w:r w:rsidRPr="00DB622F">
        <w:t>abozantinib</w:t>
      </w:r>
      <w:proofErr w:type="spellEnd"/>
      <w:r w:rsidRPr="00DB622F">
        <w:t xml:space="preserve"> is recommended for </w:t>
      </w:r>
      <w:r w:rsidR="00C634D7" w:rsidRPr="00DB622F">
        <w:t xml:space="preserve">patients with </w:t>
      </w:r>
      <w:r w:rsidRPr="00DB622F">
        <w:t xml:space="preserve">intermediate or poor-risk </w:t>
      </w:r>
      <w:r w:rsidR="007E29CD">
        <w:t>cancer</w:t>
      </w:r>
      <w:r w:rsidRPr="00DB622F">
        <w:t xml:space="preserve"> as defined by the International Metastatic Renal Cell Carcinoma Database Consortium. Nivolumab with ipilimumab </w:t>
      </w:r>
      <w:r w:rsidR="00570EDA">
        <w:t xml:space="preserve">and </w:t>
      </w:r>
      <w:proofErr w:type="spellStart"/>
      <w:r w:rsidR="00570EDA">
        <w:t>avelumab</w:t>
      </w:r>
      <w:proofErr w:type="spellEnd"/>
      <w:r w:rsidR="00570EDA">
        <w:t xml:space="preserve"> with </w:t>
      </w:r>
      <w:proofErr w:type="spellStart"/>
      <w:r w:rsidR="00570EDA">
        <w:t>axitinib</w:t>
      </w:r>
      <w:proofErr w:type="spellEnd"/>
      <w:r w:rsidR="00570EDA">
        <w:t xml:space="preserve"> cannot be comparators in this appraisal</w:t>
      </w:r>
      <w:r w:rsidR="0017073F">
        <w:t xml:space="preserve"> because they are not established practice</w:t>
      </w:r>
      <w:r w:rsidR="00910F46">
        <w:t xml:space="preserve">. </w:t>
      </w:r>
      <w:r w:rsidR="00910F46" w:rsidRPr="00910F46">
        <w:t xml:space="preserve">Nivolumab with ipilimumab is recommended through the Cancer Drugs Fund (and so not routinely commissioned) and </w:t>
      </w:r>
      <w:proofErr w:type="spellStart"/>
      <w:r w:rsidR="00910F46" w:rsidRPr="00910F46">
        <w:t>avelumab</w:t>
      </w:r>
      <w:proofErr w:type="spellEnd"/>
      <w:r w:rsidR="00910F46" w:rsidRPr="00910F46">
        <w:t xml:space="preserve"> with </w:t>
      </w:r>
      <w:proofErr w:type="spellStart"/>
      <w:r w:rsidR="00910F46" w:rsidRPr="00910F46">
        <w:t>axitinib</w:t>
      </w:r>
      <w:proofErr w:type="spellEnd"/>
      <w:r w:rsidR="00910F46" w:rsidRPr="00910F46">
        <w:t xml:space="preserve"> is currently being appraised by NICE.</w:t>
      </w:r>
    </w:p>
    <w:p w14:paraId="7914E077" w14:textId="0F750B12" w:rsidR="0020632C" w:rsidRPr="00DB622F" w:rsidRDefault="0020632C" w:rsidP="00910F46">
      <w:pPr>
        <w:pStyle w:val="NICEnormal"/>
      </w:pPr>
      <w:r w:rsidRPr="00DB622F">
        <w:t xml:space="preserve">Clinical trial evidence shows that pembrolizumab with </w:t>
      </w:r>
      <w:proofErr w:type="spellStart"/>
      <w:r w:rsidRPr="00DB622F">
        <w:t>axitinib</w:t>
      </w:r>
      <w:proofErr w:type="spellEnd"/>
      <w:r w:rsidRPr="00DB622F">
        <w:t xml:space="preserve"> is </w:t>
      </w:r>
      <w:r w:rsidRPr="00B66941">
        <w:t xml:space="preserve">more effective than sunitinib for people with untreated renal cell carcinoma, </w:t>
      </w:r>
      <w:r w:rsidR="00D05717" w:rsidRPr="00DB622F">
        <w:t>but</w:t>
      </w:r>
      <w:r w:rsidRPr="00DB622F">
        <w:t xml:space="preserve"> it is uncertain if th</w:t>
      </w:r>
      <w:r w:rsidR="00422385" w:rsidRPr="00DB622F">
        <w:t>ere is</w:t>
      </w:r>
      <w:r w:rsidRPr="00DB622F">
        <w:t xml:space="preserve"> </w:t>
      </w:r>
      <w:r w:rsidR="00422385" w:rsidRPr="00DB622F">
        <w:t xml:space="preserve">a long-term </w:t>
      </w:r>
      <w:r w:rsidRPr="00DB622F">
        <w:t>benefit. This m</w:t>
      </w:r>
      <w:r w:rsidR="00422385" w:rsidRPr="00B615A0">
        <w:t>eans the</w:t>
      </w:r>
      <w:r w:rsidRPr="00DB622F">
        <w:t xml:space="preserve"> cost-effectiveness </w:t>
      </w:r>
      <w:r w:rsidR="00422385" w:rsidRPr="00DB622F">
        <w:t xml:space="preserve">estimates </w:t>
      </w:r>
      <w:r w:rsidR="00F71FE2" w:rsidRPr="00DB622F">
        <w:t xml:space="preserve">are </w:t>
      </w:r>
      <w:r w:rsidRPr="00DB622F">
        <w:t>uncertain.</w:t>
      </w:r>
    </w:p>
    <w:p w14:paraId="70D382C4" w14:textId="5EADDE95" w:rsidR="00D12B2D" w:rsidRPr="00DB622F" w:rsidRDefault="00D12B2D" w:rsidP="00910F46">
      <w:pPr>
        <w:pStyle w:val="NICEnormal"/>
      </w:pPr>
      <w:r w:rsidRPr="00DB622F">
        <w:t>Uncertainties in the</w:t>
      </w:r>
      <w:r w:rsidR="00EB5918" w:rsidRPr="00DB622F">
        <w:t xml:space="preserve"> clinical</w:t>
      </w:r>
      <w:r w:rsidRPr="00DB622F">
        <w:t xml:space="preserve"> evidence </w:t>
      </w:r>
      <w:r w:rsidR="00EB5918" w:rsidRPr="00DB622F">
        <w:t>w</w:t>
      </w:r>
      <w:r w:rsidRPr="00DB622F">
        <w:t xml:space="preserve">ould not be resolved through data collection in the Cancer Drugs Fund. So, pembrolizumab with </w:t>
      </w:r>
      <w:proofErr w:type="spellStart"/>
      <w:r w:rsidRPr="00DB622F">
        <w:t>axitinib</w:t>
      </w:r>
      <w:proofErr w:type="spellEnd"/>
      <w:r w:rsidRPr="00DB622F">
        <w:t xml:space="preserve"> is not recommended for use in the fund. </w:t>
      </w:r>
    </w:p>
    <w:p w14:paraId="30F43210" w14:textId="6EC77953" w:rsidR="0020632C" w:rsidRPr="00B615A0" w:rsidRDefault="0020632C" w:rsidP="00910F46">
      <w:pPr>
        <w:pStyle w:val="NICEnormal"/>
      </w:pPr>
      <w:r w:rsidRPr="00DB622F">
        <w:t xml:space="preserve">Pembrolizumab with </w:t>
      </w:r>
      <w:proofErr w:type="spellStart"/>
      <w:r w:rsidRPr="00DB622F">
        <w:t>axitinib</w:t>
      </w:r>
      <w:proofErr w:type="spellEnd"/>
      <w:r w:rsidRPr="00DB622F">
        <w:t xml:space="preserve"> does not meet NICE’s criteria</w:t>
      </w:r>
      <w:r w:rsidR="00B66941" w:rsidRPr="00B66941">
        <w:t xml:space="preserve"> </w:t>
      </w:r>
      <w:r w:rsidR="00B66941">
        <w:t xml:space="preserve">to be </w:t>
      </w:r>
      <w:r w:rsidR="00B66941" w:rsidRPr="006D32F7">
        <w:t>a life-extending treatment at the end of life</w:t>
      </w:r>
      <w:r w:rsidRPr="00DB622F">
        <w:t xml:space="preserve">. </w:t>
      </w:r>
      <w:r w:rsidRPr="00064E01">
        <w:t>The cost-effectiveness estimates are higher</w:t>
      </w:r>
      <w:r w:rsidRPr="00DB622F">
        <w:t xml:space="preserve"> than what NICE normally considers </w:t>
      </w:r>
      <w:r w:rsidR="00221F51" w:rsidRPr="00DB622F">
        <w:t xml:space="preserve">an </w:t>
      </w:r>
      <w:r w:rsidRPr="00DB622F">
        <w:t xml:space="preserve">acceptable use of NHS resources. Therefore, </w:t>
      </w:r>
      <w:r w:rsidRPr="00B615A0">
        <w:t xml:space="preserve">pembrolizumab with </w:t>
      </w:r>
      <w:proofErr w:type="spellStart"/>
      <w:r w:rsidRPr="00B615A0">
        <w:t>axitinib</w:t>
      </w:r>
      <w:proofErr w:type="spellEnd"/>
      <w:r w:rsidRPr="00DB622F">
        <w:t xml:space="preserve"> is not recommended.</w:t>
      </w:r>
    </w:p>
    <w:p w14:paraId="114D4237" w14:textId="7EEC2716" w:rsidR="00EA1CB1" w:rsidRPr="00DB622F" w:rsidRDefault="00EA1CB1" w:rsidP="00F80253">
      <w:pPr>
        <w:pStyle w:val="Numberedheading1"/>
      </w:pPr>
      <w:r w:rsidRPr="00DB622F">
        <w:lastRenderedPageBreak/>
        <w:t xml:space="preserve">Information about </w:t>
      </w:r>
      <w:r w:rsidR="00F80253" w:rsidRPr="00DB622F">
        <w:t xml:space="preserve">pembrolizumab with </w:t>
      </w:r>
      <w:proofErr w:type="spellStart"/>
      <w:r w:rsidR="00F80253" w:rsidRPr="00DB622F">
        <w:t>axitinib</w:t>
      </w:r>
      <w:proofErr w:type="spellEnd"/>
    </w:p>
    <w:p w14:paraId="5BF1F771" w14:textId="575D02DA" w:rsidR="00B82A82" w:rsidRPr="00DB622F" w:rsidRDefault="00B82A82" w:rsidP="00B82A82">
      <w:pPr>
        <w:pStyle w:val="Heading2"/>
      </w:pPr>
      <w:r w:rsidRPr="00DB622F">
        <w:t>Marketing authorisation indication</w:t>
      </w:r>
    </w:p>
    <w:p w14:paraId="43D0D500" w14:textId="4C8C317C" w:rsidR="005B35BF" w:rsidRPr="006B6EAF" w:rsidRDefault="005B35BF" w:rsidP="00734474">
      <w:pPr>
        <w:pStyle w:val="Numberedlevel2text"/>
        <w:rPr>
          <w:lang w:val="en-GB"/>
        </w:rPr>
      </w:pPr>
      <w:r w:rsidRPr="006B6EAF">
        <w:rPr>
          <w:lang w:val="en-GB"/>
        </w:rPr>
        <w:t xml:space="preserve">Pembrolizumab (Keytruda, Merck Sharp &amp; Dohme), in combination with </w:t>
      </w:r>
      <w:proofErr w:type="spellStart"/>
      <w:r w:rsidRPr="006B6EAF">
        <w:rPr>
          <w:lang w:val="en-GB"/>
        </w:rPr>
        <w:t>axitinib</w:t>
      </w:r>
      <w:proofErr w:type="spellEnd"/>
      <w:r w:rsidRPr="006B6EAF">
        <w:rPr>
          <w:lang w:val="en-GB"/>
        </w:rPr>
        <w:t xml:space="preserve"> (</w:t>
      </w:r>
      <w:proofErr w:type="spellStart"/>
      <w:r w:rsidRPr="006B6EAF">
        <w:rPr>
          <w:lang w:val="en-GB"/>
        </w:rPr>
        <w:t>Inlyta</w:t>
      </w:r>
      <w:proofErr w:type="spellEnd"/>
      <w:r w:rsidRPr="006B6EAF">
        <w:rPr>
          <w:lang w:val="en-GB"/>
        </w:rPr>
        <w:t xml:space="preserve">, Pfizer), is indicated </w:t>
      </w:r>
      <w:r w:rsidR="00CA18B7" w:rsidRPr="006B6EAF">
        <w:rPr>
          <w:lang w:val="en-GB"/>
        </w:rPr>
        <w:t>‘</w:t>
      </w:r>
      <w:r w:rsidRPr="006B6EAF">
        <w:rPr>
          <w:lang w:val="en-GB"/>
        </w:rPr>
        <w:t>for the first-line treatment of advanced renal cell carcinoma (RCC) in adults</w:t>
      </w:r>
      <w:r w:rsidR="00CA18B7" w:rsidRPr="006B6EAF">
        <w:rPr>
          <w:lang w:val="en-GB"/>
        </w:rPr>
        <w:t>’</w:t>
      </w:r>
      <w:r w:rsidRPr="006B6EAF">
        <w:rPr>
          <w:lang w:val="en-GB"/>
        </w:rPr>
        <w:t>.</w:t>
      </w:r>
    </w:p>
    <w:p w14:paraId="11F32E40" w14:textId="77777777" w:rsidR="00B82A82" w:rsidRPr="00B615A0" w:rsidRDefault="00B82A82" w:rsidP="00B82A82">
      <w:pPr>
        <w:pStyle w:val="Heading2"/>
      </w:pPr>
      <w:r w:rsidRPr="00DB622F">
        <w:t>Dosage in the marketing authorisation</w:t>
      </w:r>
    </w:p>
    <w:p w14:paraId="32CF8081" w14:textId="3AE1AFF1" w:rsidR="00B82A82" w:rsidRPr="006B6EAF" w:rsidRDefault="00B2467E" w:rsidP="00C52D9A">
      <w:pPr>
        <w:pStyle w:val="Numberedlevel2text"/>
        <w:numPr>
          <w:ilvl w:val="1"/>
          <w:numId w:val="1"/>
        </w:numPr>
        <w:rPr>
          <w:rStyle w:val="Numberedlevel2textChar"/>
          <w:bCs/>
          <w:iCs/>
          <w:lang w:val="en-GB"/>
        </w:rPr>
      </w:pPr>
      <w:r w:rsidRPr="006B6EAF">
        <w:rPr>
          <w:rStyle w:val="Numberedlevel2textChar"/>
          <w:bCs/>
          <w:iCs/>
          <w:lang w:val="en-GB"/>
        </w:rPr>
        <w:t>Pembrolizumab</w:t>
      </w:r>
      <w:r w:rsidR="00C17ED5" w:rsidRPr="006B6EAF">
        <w:rPr>
          <w:rStyle w:val="Numberedlevel2textChar"/>
          <w:bCs/>
          <w:iCs/>
          <w:lang w:val="en-GB"/>
        </w:rPr>
        <w:t>,</w:t>
      </w:r>
      <w:r w:rsidRPr="006B6EAF">
        <w:rPr>
          <w:rStyle w:val="Numberedlevel2textChar"/>
          <w:bCs/>
          <w:iCs/>
          <w:lang w:val="en-GB"/>
        </w:rPr>
        <w:t xml:space="preserve"> 200</w:t>
      </w:r>
      <w:r w:rsidR="00107835" w:rsidRPr="006B6EAF">
        <w:rPr>
          <w:rStyle w:val="Numberedlevel2textChar"/>
          <w:bCs/>
          <w:iCs/>
          <w:lang w:val="en-GB"/>
        </w:rPr>
        <w:t> </w:t>
      </w:r>
      <w:r w:rsidRPr="006B6EAF">
        <w:rPr>
          <w:rStyle w:val="Numberedlevel2textChar"/>
          <w:bCs/>
          <w:iCs/>
          <w:lang w:val="en-GB"/>
        </w:rPr>
        <w:t>mg intravenously every 3</w:t>
      </w:r>
      <w:r w:rsidR="00107835" w:rsidRPr="006B6EAF">
        <w:rPr>
          <w:rStyle w:val="Numberedlevel2textChar"/>
          <w:bCs/>
          <w:iCs/>
          <w:lang w:val="en-GB"/>
        </w:rPr>
        <w:t> </w:t>
      </w:r>
      <w:r w:rsidRPr="006B6EAF">
        <w:rPr>
          <w:rStyle w:val="Numberedlevel2textChar"/>
          <w:bCs/>
          <w:iCs/>
          <w:lang w:val="en-GB"/>
        </w:rPr>
        <w:t>weeks</w:t>
      </w:r>
      <w:r w:rsidR="00C17ED5" w:rsidRPr="006B6EAF">
        <w:rPr>
          <w:rStyle w:val="Numberedlevel2textChar"/>
          <w:bCs/>
          <w:iCs/>
          <w:lang w:val="en-GB"/>
        </w:rPr>
        <w:t>,</w:t>
      </w:r>
      <w:r w:rsidRPr="006B6EAF">
        <w:rPr>
          <w:rStyle w:val="Numberedlevel2textChar"/>
          <w:bCs/>
          <w:iCs/>
          <w:lang w:val="en-GB"/>
        </w:rPr>
        <w:t xml:space="preserve"> with </w:t>
      </w:r>
      <w:proofErr w:type="spellStart"/>
      <w:r w:rsidRPr="006B6EAF">
        <w:rPr>
          <w:rStyle w:val="Numberedlevel2textChar"/>
          <w:bCs/>
          <w:iCs/>
          <w:lang w:val="en-GB"/>
        </w:rPr>
        <w:t>axitinib</w:t>
      </w:r>
      <w:proofErr w:type="spellEnd"/>
      <w:r w:rsidR="00C17ED5" w:rsidRPr="006B6EAF">
        <w:rPr>
          <w:rStyle w:val="Numberedlevel2textChar"/>
          <w:bCs/>
          <w:iCs/>
          <w:lang w:val="en-GB"/>
        </w:rPr>
        <w:t>,</w:t>
      </w:r>
      <w:r w:rsidRPr="006B6EAF">
        <w:rPr>
          <w:rStyle w:val="Numberedlevel2textChar"/>
          <w:bCs/>
          <w:iCs/>
          <w:lang w:val="en-GB"/>
        </w:rPr>
        <w:t xml:space="preserve"> 5</w:t>
      </w:r>
      <w:r w:rsidR="00C17ED5" w:rsidRPr="006B6EAF">
        <w:rPr>
          <w:rStyle w:val="Numberedlevel2textChar"/>
          <w:bCs/>
          <w:iCs/>
          <w:lang w:val="en-GB"/>
        </w:rPr>
        <w:t> </w:t>
      </w:r>
      <w:r w:rsidRPr="006B6EAF">
        <w:rPr>
          <w:rStyle w:val="Numberedlevel2textChar"/>
          <w:bCs/>
          <w:iCs/>
          <w:lang w:val="en-GB"/>
        </w:rPr>
        <w:t>mg orally twice daily.</w:t>
      </w:r>
    </w:p>
    <w:p w14:paraId="5D81A1D0" w14:textId="77777777" w:rsidR="00B82A82" w:rsidRPr="00B615A0" w:rsidRDefault="00B82A82" w:rsidP="00B82A82">
      <w:pPr>
        <w:pStyle w:val="Heading2"/>
      </w:pPr>
      <w:r w:rsidRPr="00DB622F">
        <w:t>Price</w:t>
      </w:r>
    </w:p>
    <w:p w14:paraId="5129974E" w14:textId="4FED4B8A" w:rsidR="00737BED" w:rsidRPr="006B6EAF" w:rsidRDefault="00737BED" w:rsidP="00737BED">
      <w:pPr>
        <w:pStyle w:val="Numberedlevel2text"/>
        <w:rPr>
          <w:lang w:val="en-GB"/>
        </w:rPr>
      </w:pPr>
      <w:r w:rsidRPr="006B6EAF">
        <w:rPr>
          <w:lang w:val="en-GB"/>
        </w:rPr>
        <w:t>The list price of pembrolizumab is £2,630 per 100</w:t>
      </w:r>
      <w:r w:rsidR="00240086" w:rsidRPr="006B6EAF">
        <w:rPr>
          <w:lang w:val="en-GB"/>
        </w:rPr>
        <w:t> </w:t>
      </w:r>
      <w:r w:rsidRPr="006B6EAF">
        <w:rPr>
          <w:lang w:val="en-GB"/>
        </w:rPr>
        <w:t>mg vial</w:t>
      </w:r>
      <w:r w:rsidRPr="00DB622F">
        <w:rPr>
          <w:lang w:val="en-GB"/>
        </w:rPr>
        <w:t xml:space="preserve"> </w:t>
      </w:r>
      <w:r w:rsidRPr="006B6EAF">
        <w:rPr>
          <w:lang w:val="en-GB"/>
        </w:rPr>
        <w:t>(excluding VAT; B</w:t>
      </w:r>
      <w:r w:rsidR="00A4232B" w:rsidRPr="00B615A0">
        <w:rPr>
          <w:lang w:val="en-GB"/>
        </w:rPr>
        <w:t>NF</w:t>
      </w:r>
      <w:r w:rsidR="00A4232B" w:rsidRPr="00DB622F">
        <w:rPr>
          <w:lang w:val="en-GB"/>
        </w:rPr>
        <w:t xml:space="preserve"> </w:t>
      </w:r>
      <w:r w:rsidRPr="006B6EAF">
        <w:rPr>
          <w:lang w:val="en-GB"/>
        </w:rPr>
        <w:t xml:space="preserve">online, assessed </w:t>
      </w:r>
      <w:r w:rsidR="008944D3" w:rsidRPr="00DB622F">
        <w:rPr>
          <w:lang w:val="en-GB"/>
        </w:rPr>
        <w:t>January</w:t>
      </w:r>
      <w:r w:rsidR="00273362" w:rsidRPr="00B615A0">
        <w:rPr>
          <w:lang w:val="en-GB"/>
        </w:rPr>
        <w:t> </w:t>
      </w:r>
      <w:r w:rsidR="008944D3" w:rsidRPr="00DB622F">
        <w:rPr>
          <w:lang w:val="en-GB"/>
        </w:rPr>
        <w:t>2020</w:t>
      </w:r>
      <w:r w:rsidRPr="00DB622F">
        <w:rPr>
          <w:lang w:val="en-GB"/>
        </w:rPr>
        <w:t>)</w:t>
      </w:r>
      <w:r w:rsidR="00FC7BC0" w:rsidRPr="006B6EAF">
        <w:rPr>
          <w:lang w:val="en-GB"/>
        </w:rPr>
        <w:t>.</w:t>
      </w:r>
      <w:r w:rsidRPr="006B6EAF">
        <w:rPr>
          <w:lang w:val="en-GB"/>
        </w:rPr>
        <w:t xml:space="preserve"> </w:t>
      </w:r>
      <w:r w:rsidR="00FC7BC0" w:rsidRPr="006B6EAF">
        <w:rPr>
          <w:lang w:val="en-GB"/>
        </w:rPr>
        <w:t>T</w:t>
      </w:r>
      <w:r w:rsidRPr="006B6EAF">
        <w:rPr>
          <w:lang w:val="en-GB"/>
        </w:rPr>
        <w:t xml:space="preserve">he cost of a single administration </w:t>
      </w:r>
      <w:r w:rsidR="00FC7BC0" w:rsidRPr="006B6EAF">
        <w:rPr>
          <w:lang w:val="en-GB"/>
        </w:rPr>
        <w:t>is</w:t>
      </w:r>
      <w:r w:rsidRPr="006B6EAF">
        <w:rPr>
          <w:lang w:val="en-GB"/>
        </w:rPr>
        <w:t xml:space="preserve"> £5,260. </w:t>
      </w:r>
      <w:r w:rsidR="00460908">
        <w:rPr>
          <w:lang w:val="en-GB"/>
        </w:rPr>
        <w:t>This represents approximately 3</w:t>
      </w:r>
      <w:r w:rsidR="007F2F03">
        <w:rPr>
          <w:lang w:val="en-GB"/>
        </w:rPr>
        <w:t> </w:t>
      </w:r>
      <w:r w:rsidR="00460908">
        <w:rPr>
          <w:lang w:val="en-GB"/>
        </w:rPr>
        <w:t>weeks of treatment.</w:t>
      </w:r>
    </w:p>
    <w:p w14:paraId="49F4DF79" w14:textId="7B5F5228" w:rsidR="00B82A82" w:rsidRPr="00DB622F" w:rsidRDefault="00B82A82" w:rsidP="00B82A82">
      <w:pPr>
        <w:pStyle w:val="NICEnormalindented"/>
      </w:pPr>
      <w:bookmarkStart w:id="2" w:name="_Hlk24530292"/>
      <w:r w:rsidRPr="00DB622F">
        <w:t>The company has a commercial arrangement</w:t>
      </w:r>
      <w:r w:rsidR="00B24FEF" w:rsidRPr="00B615A0">
        <w:t xml:space="preserve"> for pembrolizumab</w:t>
      </w:r>
      <w:r w:rsidRPr="00DB622F">
        <w:t xml:space="preserve">. This makes </w:t>
      </w:r>
      <w:r w:rsidR="00156DFA" w:rsidRPr="00DB622F">
        <w:t>pembrolizumab</w:t>
      </w:r>
      <w:r w:rsidRPr="00DB622F">
        <w:t xml:space="preserve"> available to the NHS with a discount and it would have also applied to this indication if the technology had been recommended. The size of the discount is commercial in confidence. It is the company’s responsibility to let relevant NHS organisations know details of the discount.</w:t>
      </w:r>
    </w:p>
    <w:p w14:paraId="06B8AD42" w14:textId="5D77DFFF" w:rsidR="00F83873" w:rsidRPr="000956D4" w:rsidRDefault="00B24FEF" w:rsidP="000956D4">
      <w:pPr>
        <w:pStyle w:val="Numberedlevel2text"/>
        <w:rPr>
          <w:lang w:val="en-GB"/>
        </w:rPr>
      </w:pPr>
      <w:r w:rsidRPr="000956D4">
        <w:rPr>
          <w:lang w:val="en-GB"/>
        </w:rPr>
        <w:t xml:space="preserve">The list price of </w:t>
      </w:r>
      <w:proofErr w:type="spellStart"/>
      <w:r w:rsidRPr="000956D4">
        <w:rPr>
          <w:lang w:val="en-GB"/>
        </w:rPr>
        <w:t>axitinib</w:t>
      </w:r>
      <w:proofErr w:type="spellEnd"/>
      <w:r w:rsidRPr="000956D4">
        <w:rPr>
          <w:lang w:val="en-GB"/>
        </w:rPr>
        <w:t xml:space="preserve"> is £3,517 per 56 5</w:t>
      </w:r>
      <w:r w:rsidR="00D46C0C" w:rsidRPr="000956D4">
        <w:rPr>
          <w:lang w:val="en-GB"/>
        </w:rPr>
        <w:t> </w:t>
      </w:r>
      <w:r w:rsidRPr="000956D4">
        <w:rPr>
          <w:lang w:val="en-GB"/>
        </w:rPr>
        <w:t>mg tablets</w:t>
      </w:r>
      <w:r w:rsidR="00B60DC7" w:rsidRPr="000956D4">
        <w:rPr>
          <w:lang w:val="en-GB"/>
        </w:rPr>
        <w:t xml:space="preserve"> </w:t>
      </w:r>
      <w:r w:rsidR="00A4232B" w:rsidRPr="000956D4">
        <w:rPr>
          <w:lang w:val="en-GB"/>
        </w:rPr>
        <w:t xml:space="preserve">(excluding VAT; BNF online, assessed </w:t>
      </w:r>
      <w:r w:rsidR="00A4232B" w:rsidRPr="00DB622F">
        <w:rPr>
          <w:lang w:val="en-GB"/>
        </w:rPr>
        <w:t>January 2020)</w:t>
      </w:r>
      <w:r w:rsidRPr="000956D4">
        <w:rPr>
          <w:lang w:val="en-GB"/>
        </w:rPr>
        <w:t xml:space="preserve">. </w:t>
      </w:r>
      <w:r w:rsidR="00460908">
        <w:rPr>
          <w:lang w:val="en-GB"/>
        </w:rPr>
        <w:t>This represents approximately 28</w:t>
      </w:r>
      <w:r w:rsidR="006041D0">
        <w:rPr>
          <w:lang w:val="en-GB"/>
        </w:rPr>
        <w:t> </w:t>
      </w:r>
      <w:r w:rsidR="00460908">
        <w:rPr>
          <w:lang w:val="en-GB"/>
        </w:rPr>
        <w:t>days of treatment.</w:t>
      </w:r>
    </w:p>
    <w:p w14:paraId="66E98069" w14:textId="6933C63F" w:rsidR="00F83873" w:rsidRPr="00DB622F" w:rsidRDefault="00F83873" w:rsidP="00F83873">
      <w:pPr>
        <w:pStyle w:val="NICEnormalindented"/>
      </w:pPr>
      <w:r w:rsidRPr="00DB622F">
        <w:t xml:space="preserve">The company has a commercial arrangement for </w:t>
      </w:r>
      <w:proofErr w:type="spellStart"/>
      <w:r w:rsidRPr="00DB622F">
        <w:t>axitinib</w:t>
      </w:r>
      <w:proofErr w:type="spellEnd"/>
      <w:r w:rsidRPr="00DB622F">
        <w:t xml:space="preserve">. This makes </w:t>
      </w:r>
      <w:proofErr w:type="spellStart"/>
      <w:r w:rsidRPr="00DB622F">
        <w:t>axitinib</w:t>
      </w:r>
      <w:proofErr w:type="spellEnd"/>
      <w:r w:rsidRPr="00DB622F">
        <w:t xml:space="preserve"> available to the NHS with a discount and it would have also applied to this indication if the technology had been recommended. The size of the discount is commercial in confidence. It is the company’s responsibility to let relevant NHS organisations know details of the discount.</w:t>
      </w:r>
    </w:p>
    <w:bookmarkEnd w:id="2"/>
    <w:p w14:paraId="635551CF" w14:textId="75026E1E" w:rsidR="00F130AD" w:rsidRPr="00DB622F" w:rsidRDefault="00222BEA" w:rsidP="00F130AD">
      <w:pPr>
        <w:pStyle w:val="Numberedheading1"/>
      </w:pPr>
      <w:r w:rsidRPr="00DB622F">
        <w:lastRenderedPageBreak/>
        <w:t>Committee discussion</w:t>
      </w:r>
    </w:p>
    <w:p w14:paraId="5B30642A" w14:textId="189E0B4C" w:rsidR="002B5772" w:rsidRPr="00DB622F" w:rsidRDefault="00BC7D9E" w:rsidP="002B5772">
      <w:pPr>
        <w:pStyle w:val="NICEnormal"/>
      </w:pPr>
      <w:r w:rsidRPr="00DB622F">
        <w:t xml:space="preserve">The </w:t>
      </w:r>
      <w:r w:rsidR="00343B53" w:rsidRPr="00DB622F">
        <w:t>a</w:t>
      </w:r>
      <w:r w:rsidRPr="00DB622F">
        <w:t xml:space="preserve">ppraisal </w:t>
      </w:r>
      <w:r w:rsidR="00343B53" w:rsidRPr="00DB622F">
        <w:t>c</w:t>
      </w:r>
      <w:r w:rsidRPr="00DB622F">
        <w:t xml:space="preserve">ommittee </w:t>
      </w:r>
      <w:r w:rsidR="00CD7BFC" w:rsidRPr="00DB622F">
        <w:t xml:space="preserve">(section </w:t>
      </w:r>
      <w:r w:rsidR="00B24FEF" w:rsidRPr="00DB622F">
        <w:t>5</w:t>
      </w:r>
      <w:r w:rsidR="00CD7BFC" w:rsidRPr="00DB622F">
        <w:t xml:space="preserve">) </w:t>
      </w:r>
      <w:r w:rsidRPr="00DB622F">
        <w:t>considered evidence submitted by</w:t>
      </w:r>
      <w:r w:rsidR="00435FEB" w:rsidRPr="00DB622F">
        <w:t xml:space="preserve"> Merck Sharp &amp; Dohme</w:t>
      </w:r>
      <w:r w:rsidR="002B5772" w:rsidRPr="00DB622F">
        <w:t>,</w:t>
      </w:r>
      <w:r w:rsidRPr="00DB622F">
        <w:t xml:space="preserve"> a review of this submission by the </w:t>
      </w:r>
      <w:r w:rsidR="00343B53" w:rsidRPr="00DB622F">
        <w:t>e</w:t>
      </w:r>
      <w:r w:rsidRPr="00DB622F">
        <w:t xml:space="preserve">vidence </w:t>
      </w:r>
      <w:r w:rsidR="00343B53" w:rsidRPr="00DB622F">
        <w:t>r</w:t>
      </w:r>
      <w:r w:rsidRPr="00DB622F">
        <w:t xml:space="preserve">eview </w:t>
      </w:r>
      <w:r w:rsidR="00343B53" w:rsidRPr="00DB622F">
        <w:t>g</w:t>
      </w:r>
      <w:r w:rsidRPr="00DB622F">
        <w:t>roup (ERG)</w:t>
      </w:r>
      <w:r w:rsidR="002B5772" w:rsidRPr="00DB622F">
        <w:t xml:space="preserve">, and the technical </w:t>
      </w:r>
      <w:r w:rsidR="00E9265B" w:rsidRPr="00DB622F">
        <w:t>report</w:t>
      </w:r>
      <w:r w:rsidR="007E013D" w:rsidRPr="00DB622F">
        <w:t xml:space="preserve"> developed</w:t>
      </w:r>
      <w:r w:rsidR="00E9265B" w:rsidRPr="00DB622F">
        <w:t xml:space="preserve"> through engagement with stakeholders</w:t>
      </w:r>
      <w:r w:rsidRPr="00DB622F">
        <w:t>.</w:t>
      </w:r>
      <w:r w:rsidR="00C63D4E" w:rsidRPr="00DB622F">
        <w:t xml:space="preserve"> </w:t>
      </w:r>
      <w:r w:rsidR="002B5772" w:rsidRPr="00DB622F">
        <w:t xml:space="preserve">See the </w:t>
      </w:r>
      <w:hyperlink r:id="rId10" w:history="1">
        <w:r w:rsidR="002B5772" w:rsidRPr="00DB622F">
          <w:rPr>
            <w:rStyle w:val="Hyperlink"/>
          </w:rPr>
          <w:t>committee pap</w:t>
        </w:r>
        <w:r w:rsidR="002B5772" w:rsidRPr="00DB622F">
          <w:rPr>
            <w:rStyle w:val="Hyperlink"/>
          </w:rPr>
          <w:t>e</w:t>
        </w:r>
        <w:r w:rsidR="002B5772" w:rsidRPr="00DB622F">
          <w:rPr>
            <w:rStyle w:val="Hyperlink"/>
          </w:rPr>
          <w:t>rs</w:t>
        </w:r>
      </w:hyperlink>
      <w:r w:rsidR="002B5772" w:rsidRPr="00DB622F">
        <w:t xml:space="preserve"> for full details of the evidence.</w:t>
      </w:r>
    </w:p>
    <w:p w14:paraId="6A7F83A9" w14:textId="77777777" w:rsidR="006B0F36" w:rsidRPr="00DB622F" w:rsidRDefault="002B5772" w:rsidP="00D01B9F">
      <w:pPr>
        <w:pStyle w:val="NICEnormal"/>
      </w:pPr>
      <w:r w:rsidRPr="00DB622F">
        <w:t xml:space="preserve">The appraisal committee was aware </w:t>
      </w:r>
      <w:r w:rsidR="002555BE" w:rsidRPr="00DB622F">
        <w:t>that several</w:t>
      </w:r>
      <w:r w:rsidRPr="00DB622F">
        <w:t xml:space="preserve"> issues were resolved during </w:t>
      </w:r>
      <w:r w:rsidR="006D4D1A" w:rsidRPr="00DB622F">
        <w:t xml:space="preserve">the </w:t>
      </w:r>
      <w:r w:rsidR="00E95253" w:rsidRPr="00DB622F">
        <w:t>technical engagement</w:t>
      </w:r>
      <w:r w:rsidR="006D4D1A" w:rsidRPr="00DB622F">
        <w:t xml:space="preserve"> stage</w:t>
      </w:r>
      <w:r w:rsidR="007D1008" w:rsidRPr="00DB622F">
        <w:t>, and agreed that:</w:t>
      </w:r>
    </w:p>
    <w:p w14:paraId="4CF5FCB0" w14:textId="017A6A46" w:rsidR="00435FEB" w:rsidRPr="00DB622F" w:rsidRDefault="00435FEB" w:rsidP="00435FEB">
      <w:pPr>
        <w:pStyle w:val="Bulletleft1"/>
      </w:pPr>
      <w:r w:rsidRPr="00DB622F">
        <w:t>A time horizon of 40 years should be used to capture all relevant benefits and costs that arise f</w:t>
      </w:r>
      <w:r w:rsidR="007F6BEA" w:rsidRPr="00DB622F">
        <w:t>rom</w:t>
      </w:r>
      <w:r w:rsidRPr="00DB622F">
        <w:t xml:space="preserve"> treatment for untreated metastatic </w:t>
      </w:r>
      <w:r w:rsidR="003A174E" w:rsidRPr="00DB622F">
        <w:t>renal cell carcinoma</w:t>
      </w:r>
      <w:r w:rsidRPr="00DB622F">
        <w:t xml:space="preserve"> (</w:t>
      </w:r>
      <w:r w:rsidR="00AB427E" w:rsidRPr="00DB622F">
        <w:t>i</w:t>
      </w:r>
      <w:r w:rsidRPr="00DB622F">
        <w:t>ssue</w:t>
      </w:r>
      <w:r w:rsidR="00C03EC8" w:rsidRPr="00DB622F">
        <w:t> </w:t>
      </w:r>
      <w:r w:rsidRPr="00DB622F">
        <w:t>3, see technical report page</w:t>
      </w:r>
      <w:r w:rsidR="00164079" w:rsidRPr="00DB622F">
        <w:t> </w:t>
      </w:r>
      <w:r w:rsidR="00156DFA" w:rsidRPr="00DB622F">
        <w:t>27</w:t>
      </w:r>
      <w:r w:rsidRPr="00DB622F">
        <w:t>).</w:t>
      </w:r>
    </w:p>
    <w:p w14:paraId="13EBD990" w14:textId="368DB06F" w:rsidR="00435FEB" w:rsidRPr="00DB622F" w:rsidRDefault="00435FEB" w:rsidP="00435FEB">
      <w:pPr>
        <w:pStyle w:val="Bulletleft1"/>
      </w:pPr>
      <w:r w:rsidRPr="00DB622F">
        <w:t xml:space="preserve">Treatment </w:t>
      </w:r>
      <w:r w:rsidR="00FA0701" w:rsidRPr="00DB622F">
        <w:t>after</w:t>
      </w:r>
      <w:r w:rsidRPr="00DB622F">
        <w:t xml:space="preserve"> pembrolizumab with </w:t>
      </w:r>
      <w:proofErr w:type="spellStart"/>
      <w:r w:rsidRPr="00DB622F">
        <w:t>axitinib</w:t>
      </w:r>
      <w:proofErr w:type="spellEnd"/>
      <w:r w:rsidRPr="00DB622F">
        <w:t xml:space="preserve"> is likely to include </w:t>
      </w:r>
      <w:proofErr w:type="spellStart"/>
      <w:r w:rsidRPr="00DB622F">
        <w:t>cabozantinib</w:t>
      </w:r>
      <w:proofErr w:type="spellEnd"/>
      <w:r w:rsidRPr="00DB622F">
        <w:t xml:space="preserve"> in UK clinical practice (</w:t>
      </w:r>
      <w:r w:rsidR="004266F3" w:rsidRPr="00DB622F">
        <w:t>i</w:t>
      </w:r>
      <w:r w:rsidRPr="00DB622F">
        <w:t>ssue</w:t>
      </w:r>
      <w:r w:rsidR="00F92325" w:rsidRPr="00DB622F">
        <w:t> </w:t>
      </w:r>
      <w:r w:rsidRPr="00DB622F">
        <w:t>4, see technical report page</w:t>
      </w:r>
      <w:r w:rsidR="00F92325" w:rsidRPr="00DB622F">
        <w:t> </w:t>
      </w:r>
      <w:r w:rsidR="00156DFA" w:rsidRPr="00DB622F">
        <w:t>29</w:t>
      </w:r>
      <w:r w:rsidRPr="00DB622F">
        <w:t>).</w:t>
      </w:r>
    </w:p>
    <w:p w14:paraId="38EAD385" w14:textId="75B3D075" w:rsidR="006B0F36" w:rsidRPr="000E07AB" w:rsidRDefault="00435FEB" w:rsidP="006B6EAF">
      <w:pPr>
        <w:pStyle w:val="Bulletleft1last"/>
      </w:pPr>
      <w:r w:rsidRPr="0063396D">
        <w:t>The subgroup analysis for the intermediate</w:t>
      </w:r>
      <w:r w:rsidR="008B4E65" w:rsidRPr="000E07AB">
        <w:t xml:space="preserve"> and </w:t>
      </w:r>
      <w:r w:rsidRPr="000E07AB">
        <w:t>poor International Metastatic Renal Cell Carcinoma Database Consortium (IMDC) risk group should be informed by the constant hazard approach network meta-analysis (</w:t>
      </w:r>
      <w:r w:rsidR="008B4E65" w:rsidRPr="000E07AB">
        <w:t>i</w:t>
      </w:r>
      <w:r w:rsidRPr="000E07AB">
        <w:t>ssue</w:t>
      </w:r>
      <w:r w:rsidR="008B4E65" w:rsidRPr="000E07AB">
        <w:t> </w:t>
      </w:r>
      <w:r w:rsidRPr="000E07AB">
        <w:t>6, see technical report page</w:t>
      </w:r>
      <w:r w:rsidR="008F504A" w:rsidRPr="000E07AB">
        <w:t> </w:t>
      </w:r>
      <w:r w:rsidR="00156DFA" w:rsidRPr="000E07AB">
        <w:t>36</w:t>
      </w:r>
      <w:r w:rsidRPr="000E07AB">
        <w:t>).</w:t>
      </w:r>
    </w:p>
    <w:p w14:paraId="4DE94DAE" w14:textId="02609A7F" w:rsidR="002B5772" w:rsidRPr="00DB622F" w:rsidRDefault="00844111" w:rsidP="006B6EAF">
      <w:pPr>
        <w:pStyle w:val="NICEnormal"/>
      </w:pPr>
      <w:r w:rsidRPr="00DB622F">
        <w:t>The committee</w:t>
      </w:r>
      <w:r w:rsidR="002B5772" w:rsidRPr="00DB622F">
        <w:t xml:space="preserve"> recognised that there were remaining areas of uncertainty associated with the analyses presented (see technical report</w:t>
      </w:r>
      <w:r w:rsidR="00A33919" w:rsidRPr="00DB622F">
        <w:t>,</w:t>
      </w:r>
      <w:r w:rsidR="002B5772" w:rsidRPr="00DB622F">
        <w:t xml:space="preserve"> </w:t>
      </w:r>
      <w:r w:rsidR="00A33919" w:rsidRPr="00DB622F">
        <w:t>table</w:t>
      </w:r>
      <w:r w:rsidR="00C81779" w:rsidRPr="00DB622F">
        <w:t> </w:t>
      </w:r>
      <w:r w:rsidR="00A33919" w:rsidRPr="00DB622F">
        <w:t xml:space="preserve">2, </w:t>
      </w:r>
      <w:r w:rsidR="002B5772" w:rsidRPr="00DB622F">
        <w:t>page</w:t>
      </w:r>
      <w:r w:rsidR="00C81779" w:rsidRPr="00DB622F">
        <w:t> </w:t>
      </w:r>
      <w:r w:rsidR="00156DFA" w:rsidRPr="00DB622F">
        <w:t>49</w:t>
      </w:r>
      <w:r w:rsidR="002B5772" w:rsidRPr="00DB622F">
        <w:t>), and took these into account in its decision making. It discussed the following issues</w:t>
      </w:r>
      <w:r w:rsidR="00A33919" w:rsidRPr="00DB622F">
        <w:t xml:space="preserve"> (issues </w:t>
      </w:r>
      <w:r w:rsidR="006772F6" w:rsidRPr="00DB622F">
        <w:t>1</w:t>
      </w:r>
      <w:r w:rsidR="009D783B" w:rsidRPr="00DB622F">
        <w:t xml:space="preserve">, </w:t>
      </w:r>
      <w:r w:rsidR="006772F6" w:rsidRPr="00DB622F">
        <w:t xml:space="preserve">2, 5, 7, 8, </w:t>
      </w:r>
      <w:r w:rsidR="009D783B" w:rsidRPr="00DB622F">
        <w:t xml:space="preserve">and </w:t>
      </w:r>
      <w:r w:rsidR="006772F6" w:rsidRPr="00DB622F">
        <w:t>9</w:t>
      </w:r>
      <w:r w:rsidR="00A33919" w:rsidRPr="00DB622F">
        <w:t>)</w:t>
      </w:r>
      <w:r w:rsidR="002B5772" w:rsidRPr="00DB622F">
        <w:t xml:space="preserve">, which were outstanding </w:t>
      </w:r>
      <w:r w:rsidR="00E95253" w:rsidRPr="00DB622F">
        <w:t>after</w:t>
      </w:r>
      <w:r w:rsidR="002B5772" w:rsidRPr="00DB622F">
        <w:t xml:space="preserve"> </w:t>
      </w:r>
      <w:r w:rsidR="000205C6" w:rsidRPr="00DB622F">
        <w:t xml:space="preserve">the </w:t>
      </w:r>
      <w:r w:rsidR="002B5772" w:rsidRPr="00DB622F">
        <w:t>technical engagement</w:t>
      </w:r>
      <w:r w:rsidR="000205C6" w:rsidRPr="00DB622F">
        <w:t xml:space="preserve"> stage</w:t>
      </w:r>
      <w:r w:rsidR="002B5772" w:rsidRPr="00DB622F">
        <w:t xml:space="preserve">. </w:t>
      </w:r>
    </w:p>
    <w:p w14:paraId="2194E372" w14:textId="7BE9D697" w:rsidR="00643582" w:rsidRPr="00DB622F" w:rsidRDefault="000A2E61" w:rsidP="00643582">
      <w:pPr>
        <w:pStyle w:val="Heading2"/>
      </w:pPr>
      <w:bookmarkStart w:id="3" w:name="_Hlk30714245"/>
      <w:r w:rsidRPr="00DB622F">
        <w:t>New treatment option</w:t>
      </w:r>
    </w:p>
    <w:bookmarkEnd w:id="3"/>
    <w:p w14:paraId="520582E8" w14:textId="77777777" w:rsidR="000A2E61" w:rsidRPr="00DB622F" w:rsidRDefault="000A2E61" w:rsidP="00C52D9A">
      <w:pPr>
        <w:pStyle w:val="Heading3"/>
      </w:pPr>
      <w:r w:rsidRPr="00DB622F">
        <w:t>People with untreated renal cell carcinoma would welcome a new treatment option</w:t>
      </w:r>
    </w:p>
    <w:p w14:paraId="2D67A2B8" w14:textId="47075046" w:rsidR="0088652B" w:rsidRPr="00AE29F5" w:rsidRDefault="0013356B" w:rsidP="00C52D9A">
      <w:pPr>
        <w:pStyle w:val="Numberedlevel2text"/>
        <w:rPr>
          <w:lang w:val="en-GB"/>
        </w:rPr>
      </w:pPr>
      <w:r>
        <w:rPr>
          <w:lang w:val="en-GB"/>
        </w:rPr>
        <w:t xml:space="preserve">In the UK, </w:t>
      </w:r>
      <w:r w:rsidR="003908AC">
        <w:rPr>
          <w:lang w:val="en-GB"/>
        </w:rPr>
        <w:t>k</w:t>
      </w:r>
      <w:r w:rsidR="00B24FEF" w:rsidRPr="006E54A3">
        <w:rPr>
          <w:lang w:val="en-GB"/>
        </w:rPr>
        <w:t xml:space="preserve">idney cancer is expected to </w:t>
      </w:r>
      <w:r w:rsidR="0088652B" w:rsidRPr="006E54A3">
        <w:rPr>
          <w:lang w:val="en-GB"/>
        </w:rPr>
        <w:t xml:space="preserve">cause approximately </w:t>
      </w:r>
      <w:r w:rsidR="00B24FEF" w:rsidRPr="006E54A3">
        <w:rPr>
          <w:lang w:val="en-GB"/>
        </w:rPr>
        <w:t>4,500</w:t>
      </w:r>
      <w:r w:rsidR="00820C9C">
        <w:rPr>
          <w:lang w:val="en-GB"/>
        </w:rPr>
        <w:t> </w:t>
      </w:r>
      <w:r w:rsidR="00B24FEF" w:rsidRPr="006E54A3">
        <w:rPr>
          <w:lang w:val="en-GB"/>
        </w:rPr>
        <w:t xml:space="preserve">deaths </w:t>
      </w:r>
      <w:r w:rsidR="003F0783" w:rsidRPr="006E54A3">
        <w:rPr>
          <w:lang w:val="en-GB"/>
        </w:rPr>
        <w:t>every year</w:t>
      </w:r>
      <w:r w:rsidR="00B24FEF" w:rsidRPr="006E54A3">
        <w:rPr>
          <w:lang w:val="en-GB"/>
        </w:rPr>
        <w:t>, with 12,</w:t>
      </w:r>
      <w:r>
        <w:rPr>
          <w:lang w:val="en-GB"/>
        </w:rPr>
        <w:t>6</w:t>
      </w:r>
      <w:r w:rsidR="00B24FEF" w:rsidRPr="006E54A3">
        <w:rPr>
          <w:lang w:val="en-GB"/>
        </w:rPr>
        <w:t>00 new cases per year.</w:t>
      </w:r>
      <w:r w:rsidR="0088652B" w:rsidRPr="006E54A3">
        <w:rPr>
          <w:lang w:val="en-GB"/>
        </w:rPr>
        <w:t xml:space="preserve"> </w:t>
      </w:r>
      <w:r w:rsidR="00AC556E" w:rsidRPr="006E54A3">
        <w:rPr>
          <w:lang w:val="en-GB"/>
        </w:rPr>
        <w:t>O</w:t>
      </w:r>
      <w:r w:rsidR="0088652B" w:rsidRPr="006E54A3">
        <w:rPr>
          <w:lang w:val="en-GB"/>
        </w:rPr>
        <w:t>f</w:t>
      </w:r>
      <w:r w:rsidR="00A4232B" w:rsidRPr="00DB622F">
        <w:rPr>
          <w:lang w:val="en-GB"/>
        </w:rPr>
        <w:t xml:space="preserve"> people with</w:t>
      </w:r>
      <w:r w:rsidR="0088652B" w:rsidRPr="006E54A3">
        <w:rPr>
          <w:lang w:val="en-GB"/>
        </w:rPr>
        <w:t xml:space="preserve"> kidney cancer</w:t>
      </w:r>
      <w:r w:rsidR="00AC556E" w:rsidRPr="006E54A3">
        <w:rPr>
          <w:lang w:val="en-GB"/>
        </w:rPr>
        <w:t>, 80%</w:t>
      </w:r>
      <w:r w:rsidR="0088652B" w:rsidRPr="006E54A3">
        <w:rPr>
          <w:lang w:val="en-GB"/>
        </w:rPr>
        <w:t xml:space="preserve"> </w:t>
      </w:r>
      <w:r w:rsidR="00A4232B" w:rsidRPr="00DB622F">
        <w:rPr>
          <w:lang w:val="en-GB"/>
        </w:rPr>
        <w:t>have renal cell carcinoma</w:t>
      </w:r>
      <w:r w:rsidR="0088652B" w:rsidRPr="006B6EAF">
        <w:rPr>
          <w:lang w:val="en-GB"/>
        </w:rPr>
        <w:t xml:space="preserve">. </w:t>
      </w:r>
      <w:r w:rsidR="00B24FEF" w:rsidRPr="006B6EAF">
        <w:rPr>
          <w:lang w:val="en-GB"/>
        </w:rPr>
        <w:t xml:space="preserve">A patient expert explained </w:t>
      </w:r>
      <w:r w:rsidR="0088652B" w:rsidRPr="006B6EAF">
        <w:rPr>
          <w:lang w:val="en-GB"/>
        </w:rPr>
        <w:t xml:space="preserve">that treatment with pembrolizumab </w:t>
      </w:r>
      <w:r w:rsidR="00C715D0">
        <w:rPr>
          <w:lang w:val="en-GB"/>
        </w:rPr>
        <w:t>with</w:t>
      </w:r>
      <w:r w:rsidR="0088652B" w:rsidRPr="006B6EAF">
        <w:rPr>
          <w:lang w:val="en-GB"/>
        </w:rPr>
        <w:t xml:space="preserve"> </w:t>
      </w:r>
      <w:proofErr w:type="spellStart"/>
      <w:r w:rsidR="0088652B" w:rsidRPr="006B6EAF">
        <w:rPr>
          <w:lang w:val="en-GB"/>
        </w:rPr>
        <w:t>axitinib</w:t>
      </w:r>
      <w:proofErr w:type="spellEnd"/>
      <w:r w:rsidR="0088652B" w:rsidRPr="006B6EAF">
        <w:rPr>
          <w:lang w:val="en-GB"/>
        </w:rPr>
        <w:t xml:space="preserve"> had been positive because the</w:t>
      </w:r>
      <w:r w:rsidR="00064C9E" w:rsidRPr="006B6EAF">
        <w:rPr>
          <w:lang w:val="en-GB"/>
        </w:rPr>
        <w:t>ir</w:t>
      </w:r>
      <w:r w:rsidR="0088652B" w:rsidRPr="006B6EAF">
        <w:rPr>
          <w:lang w:val="en-GB"/>
        </w:rPr>
        <w:t xml:space="preserve"> </w:t>
      </w:r>
      <w:r w:rsidR="00B24FEF" w:rsidRPr="006B6EAF">
        <w:rPr>
          <w:lang w:val="en-GB"/>
        </w:rPr>
        <w:t xml:space="preserve">tumour </w:t>
      </w:r>
      <w:r w:rsidR="00064C9E" w:rsidRPr="006B6EAF">
        <w:rPr>
          <w:lang w:val="en-GB"/>
        </w:rPr>
        <w:t xml:space="preserve">had </w:t>
      </w:r>
      <w:r w:rsidR="00B24FEF" w:rsidRPr="006B6EAF">
        <w:rPr>
          <w:lang w:val="en-GB"/>
        </w:rPr>
        <w:t>reduc</w:t>
      </w:r>
      <w:r w:rsidR="00064C9E" w:rsidRPr="006B6EAF">
        <w:rPr>
          <w:lang w:val="en-GB"/>
        </w:rPr>
        <w:t>ed</w:t>
      </w:r>
      <w:r w:rsidR="00B24FEF" w:rsidRPr="006B6EAF">
        <w:rPr>
          <w:lang w:val="en-GB"/>
        </w:rPr>
        <w:t xml:space="preserve"> and</w:t>
      </w:r>
      <w:r w:rsidR="009740A6" w:rsidRPr="006B6EAF">
        <w:rPr>
          <w:lang w:val="en-GB"/>
        </w:rPr>
        <w:t xml:space="preserve"> there were</w:t>
      </w:r>
      <w:r w:rsidR="00B24FEF" w:rsidRPr="006B6EAF">
        <w:rPr>
          <w:lang w:val="en-GB"/>
        </w:rPr>
        <w:t xml:space="preserve"> no</w:t>
      </w:r>
      <w:r w:rsidR="0088652B" w:rsidRPr="006B6EAF">
        <w:rPr>
          <w:lang w:val="en-GB"/>
        </w:rPr>
        <w:t xml:space="preserve"> notable side effects with the </w:t>
      </w:r>
      <w:r w:rsidR="0088652B" w:rsidRPr="006B6EAF">
        <w:rPr>
          <w:lang w:val="en-GB"/>
        </w:rPr>
        <w:lastRenderedPageBreak/>
        <w:t xml:space="preserve">treatment, </w:t>
      </w:r>
      <w:r w:rsidR="009F7953" w:rsidRPr="006B6EAF">
        <w:rPr>
          <w:lang w:val="en-GB"/>
        </w:rPr>
        <w:t>unlike</w:t>
      </w:r>
      <w:r w:rsidR="0088652B" w:rsidRPr="006B6EAF">
        <w:rPr>
          <w:lang w:val="en-GB"/>
        </w:rPr>
        <w:t xml:space="preserve"> their experience with other treatment options. Patient experts confirmed that people with untreated renal cell carcinoma felt that the side effects of treatment could</w:t>
      </w:r>
      <w:r w:rsidR="00D94378" w:rsidRPr="006B6EAF">
        <w:rPr>
          <w:lang w:val="en-GB"/>
        </w:rPr>
        <w:t xml:space="preserve"> </w:t>
      </w:r>
      <w:r w:rsidR="005A15CC" w:rsidRPr="006B6EAF">
        <w:rPr>
          <w:lang w:val="en-GB"/>
        </w:rPr>
        <w:t>substantially</w:t>
      </w:r>
      <w:r w:rsidR="00D94378" w:rsidRPr="006B6EAF">
        <w:rPr>
          <w:lang w:val="en-GB"/>
        </w:rPr>
        <w:t xml:space="preserve"> </w:t>
      </w:r>
      <w:r w:rsidR="00B91B49" w:rsidRPr="006B6EAF">
        <w:rPr>
          <w:lang w:val="en-GB"/>
        </w:rPr>
        <w:t xml:space="preserve">affect </w:t>
      </w:r>
      <w:r w:rsidR="0088652B" w:rsidRPr="006B6EAF">
        <w:rPr>
          <w:lang w:val="en-GB"/>
        </w:rPr>
        <w:t xml:space="preserve">quality </w:t>
      </w:r>
      <w:r w:rsidR="0088652B" w:rsidRPr="00AE29F5">
        <w:rPr>
          <w:lang w:val="en-GB"/>
        </w:rPr>
        <w:t xml:space="preserve">of life. </w:t>
      </w:r>
      <w:r w:rsidR="00D94378" w:rsidRPr="00AE29F5">
        <w:rPr>
          <w:lang w:val="en-GB"/>
        </w:rPr>
        <w:t>The committee recognised that</w:t>
      </w:r>
      <w:r w:rsidR="0016095B" w:rsidRPr="00AE29F5">
        <w:rPr>
          <w:lang w:val="en-GB"/>
        </w:rPr>
        <w:t xml:space="preserve"> for advanced renal cell carcinoma</w:t>
      </w:r>
      <w:r w:rsidR="00D94378" w:rsidRPr="00AE29F5">
        <w:rPr>
          <w:lang w:val="en-GB"/>
        </w:rPr>
        <w:t xml:space="preserve"> there is a high unmet need for both patients and healthcare professionals</w:t>
      </w:r>
      <w:r w:rsidR="0016095B" w:rsidRPr="00AE29F5">
        <w:rPr>
          <w:lang w:val="en-GB"/>
        </w:rPr>
        <w:t>. Also, there is an</w:t>
      </w:r>
      <w:r w:rsidR="00D94378" w:rsidRPr="00AE29F5">
        <w:rPr>
          <w:lang w:val="en-GB"/>
        </w:rPr>
        <w:t xml:space="preserve"> unmet need </w:t>
      </w:r>
      <w:r w:rsidR="0016095B" w:rsidRPr="00AE29F5">
        <w:rPr>
          <w:lang w:val="en-GB"/>
        </w:rPr>
        <w:t>for</w:t>
      </w:r>
      <w:r w:rsidR="00D94378" w:rsidRPr="00AE29F5">
        <w:rPr>
          <w:lang w:val="en-GB"/>
        </w:rPr>
        <w:t xml:space="preserve"> treat</w:t>
      </w:r>
      <w:r w:rsidR="0016095B" w:rsidRPr="00AE29F5">
        <w:rPr>
          <w:lang w:val="en-GB"/>
        </w:rPr>
        <w:t>ing</w:t>
      </w:r>
      <w:r w:rsidR="00D94378" w:rsidRPr="00AE29F5">
        <w:rPr>
          <w:lang w:val="en-GB"/>
        </w:rPr>
        <w:t xml:space="preserve"> non-cl</w:t>
      </w:r>
      <w:r w:rsidR="00D94378" w:rsidRPr="006E54A3">
        <w:rPr>
          <w:lang w:val="en-GB"/>
        </w:rPr>
        <w:t xml:space="preserve">ear cell </w:t>
      </w:r>
      <w:r w:rsidR="0016095B" w:rsidRPr="00AE29F5">
        <w:rPr>
          <w:lang w:val="en-GB"/>
        </w:rPr>
        <w:t>renal cell carcinoma</w:t>
      </w:r>
      <w:r w:rsidR="00603518">
        <w:rPr>
          <w:lang w:val="en-GB"/>
        </w:rPr>
        <w:t xml:space="preserve"> specifically</w:t>
      </w:r>
      <w:r w:rsidR="00D94378" w:rsidRPr="00AE29F5">
        <w:rPr>
          <w:lang w:val="en-GB"/>
        </w:rPr>
        <w:t>. Overall</w:t>
      </w:r>
      <w:r w:rsidR="00D94378" w:rsidRPr="006E54A3">
        <w:rPr>
          <w:lang w:val="en-GB"/>
        </w:rPr>
        <w:t>,</w:t>
      </w:r>
      <w:r w:rsidR="0088652B" w:rsidRPr="006E54A3">
        <w:rPr>
          <w:lang w:val="en-GB"/>
        </w:rPr>
        <w:t xml:space="preserve"> </w:t>
      </w:r>
      <w:r w:rsidR="00D94378" w:rsidRPr="006E54A3">
        <w:rPr>
          <w:lang w:val="en-GB"/>
        </w:rPr>
        <w:t>a</w:t>
      </w:r>
      <w:r w:rsidR="0088652B" w:rsidRPr="006E54A3">
        <w:rPr>
          <w:lang w:val="en-GB"/>
        </w:rPr>
        <w:t xml:space="preserve">n </w:t>
      </w:r>
      <w:r w:rsidR="0088652B" w:rsidRPr="00AE29F5">
        <w:rPr>
          <w:lang w:val="en-GB"/>
        </w:rPr>
        <w:t xml:space="preserve">option </w:t>
      </w:r>
      <w:r w:rsidR="000702FF" w:rsidRPr="00AE29F5">
        <w:rPr>
          <w:lang w:val="en-GB"/>
        </w:rPr>
        <w:t>that</w:t>
      </w:r>
      <w:r w:rsidR="0088652B" w:rsidRPr="00AE29F5">
        <w:rPr>
          <w:lang w:val="en-GB"/>
        </w:rPr>
        <w:t xml:space="preserve"> improved survival and reduced side effects would be welcomed by patients and clinicians to allow </w:t>
      </w:r>
      <w:r w:rsidR="00906A05" w:rsidRPr="00AE29F5">
        <w:rPr>
          <w:lang w:val="en-GB"/>
        </w:rPr>
        <w:t>more</w:t>
      </w:r>
      <w:r w:rsidR="0088652B" w:rsidRPr="00AE29F5">
        <w:rPr>
          <w:lang w:val="en-GB"/>
        </w:rPr>
        <w:t xml:space="preserve"> choice of treatment and individualised care plans.</w:t>
      </w:r>
    </w:p>
    <w:p w14:paraId="3DBC192B" w14:textId="7855A659" w:rsidR="0088652B" w:rsidRPr="00DB622F" w:rsidRDefault="0088652B" w:rsidP="00C52D9A">
      <w:pPr>
        <w:pStyle w:val="Heading3"/>
      </w:pPr>
      <w:r w:rsidRPr="00DB622F">
        <w:t xml:space="preserve">If recommended, pembrolizumab </w:t>
      </w:r>
      <w:r w:rsidR="00C715D0">
        <w:t>with</w:t>
      </w:r>
      <w:r w:rsidRPr="00DB622F">
        <w:t xml:space="preserve"> </w:t>
      </w:r>
      <w:proofErr w:type="spellStart"/>
      <w:r w:rsidRPr="00DB622F">
        <w:t>axitinib</w:t>
      </w:r>
      <w:proofErr w:type="spellEnd"/>
      <w:r w:rsidRPr="00DB622F">
        <w:t xml:space="preserve"> is likely to </w:t>
      </w:r>
      <w:r w:rsidR="00104ED7" w:rsidRPr="00DB622F">
        <w:t xml:space="preserve">affect eligibility for </w:t>
      </w:r>
      <w:r w:rsidR="005F0EA5" w:rsidRPr="00DB622F">
        <w:t xml:space="preserve">subsequent </w:t>
      </w:r>
      <w:r w:rsidR="00104ED7" w:rsidRPr="00DB622F">
        <w:t>treatments</w:t>
      </w:r>
    </w:p>
    <w:p w14:paraId="4E1F342E" w14:textId="7E9F7A26" w:rsidR="004A4A0C" w:rsidRPr="006E54A3" w:rsidRDefault="0088652B" w:rsidP="0033730A">
      <w:pPr>
        <w:pStyle w:val="Numberedlevel2text"/>
        <w:rPr>
          <w:lang w:val="en-GB"/>
        </w:rPr>
      </w:pPr>
      <w:r w:rsidRPr="000956D4">
        <w:rPr>
          <w:lang w:val="en-GB"/>
        </w:rPr>
        <w:t xml:space="preserve">The committee considered the </w:t>
      </w:r>
      <w:r w:rsidRPr="006E54A3">
        <w:rPr>
          <w:lang w:val="en-GB"/>
        </w:rPr>
        <w:t xml:space="preserve">potential </w:t>
      </w:r>
      <w:r w:rsidR="00BC3670" w:rsidRPr="006E54A3">
        <w:rPr>
          <w:lang w:val="en-GB"/>
        </w:rPr>
        <w:t>effect</w:t>
      </w:r>
      <w:r w:rsidRPr="006E54A3">
        <w:rPr>
          <w:lang w:val="en-GB"/>
        </w:rPr>
        <w:t xml:space="preserve"> of pembrolizumab </w:t>
      </w:r>
      <w:r w:rsidR="00C715D0">
        <w:rPr>
          <w:lang w:val="en-GB"/>
        </w:rPr>
        <w:t>with</w:t>
      </w:r>
      <w:r w:rsidRPr="006E54A3">
        <w:rPr>
          <w:lang w:val="en-GB"/>
        </w:rPr>
        <w:t xml:space="preserve"> </w:t>
      </w:r>
      <w:proofErr w:type="spellStart"/>
      <w:r w:rsidRPr="006E54A3">
        <w:rPr>
          <w:lang w:val="en-GB"/>
        </w:rPr>
        <w:t>axitinib</w:t>
      </w:r>
      <w:proofErr w:type="spellEnd"/>
      <w:r w:rsidRPr="006E54A3">
        <w:rPr>
          <w:lang w:val="en-GB"/>
        </w:rPr>
        <w:t xml:space="preserve"> </w:t>
      </w:r>
      <w:r w:rsidR="00985969" w:rsidRPr="006E54A3">
        <w:rPr>
          <w:lang w:val="en-GB"/>
        </w:rPr>
        <w:t>o</w:t>
      </w:r>
      <w:r w:rsidR="00490A69" w:rsidRPr="006E54A3">
        <w:rPr>
          <w:lang w:val="en-GB"/>
        </w:rPr>
        <w:t>n</w:t>
      </w:r>
      <w:r w:rsidRPr="006E54A3">
        <w:rPr>
          <w:lang w:val="en-GB"/>
        </w:rPr>
        <w:t xml:space="preserve"> the care pathway. </w:t>
      </w:r>
      <w:r w:rsidR="00857F6A" w:rsidRPr="006E54A3">
        <w:rPr>
          <w:lang w:val="en-GB"/>
        </w:rPr>
        <w:t>F</w:t>
      </w:r>
      <w:r w:rsidR="00D94378" w:rsidRPr="006E54A3">
        <w:rPr>
          <w:lang w:val="en-GB"/>
        </w:rPr>
        <w:t xml:space="preserve">irst-line options for treating metastatic </w:t>
      </w:r>
      <w:r w:rsidR="00BD6FAB" w:rsidRPr="006E54A3">
        <w:rPr>
          <w:lang w:val="en-GB"/>
        </w:rPr>
        <w:t>renal cell carcinoma</w:t>
      </w:r>
      <w:r w:rsidR="00D94378" w:rsidRPr="006E54A3">
        <w:rPr>
          <w:lang w:val="en-GB"/>
        </w:rPr>
        <w:t xml:space="preserve"> include tivozanib, sunitinib and pazopanib</w:t>
      </w:r>
      <w:r w:rsidR="00F85402" w:rsidRPr="006E54A3">
        <w:rPr>
          <w:lang w:val="en-GB"/>
        </w:rPr>
        <w:t>.</w:t>
      </w:r>
      <w:r w:rsidR="00D94378" w:rsidRPr="006E54A3">
        <w:rPr>
          <w:lang w:val="en-GB"/>
        </w:rPr>
        <w:t xml:space="preserve"> </w:t>
      </w:r>
      <w:r w:rsidR="00F85402" w:rsidRPr="006E54A3">
        <w:rPr>
          <w:lang w:val="en-GB"/>
        </w:rPr>
        <w:t>Pazopanib is</w:t>
      </w:r>
      <w:r w:rsidR="00D94378" w:rsidRPr="006E54A3">
        <w:rPr>
          <w:lang w:val="en-GB"/>
        </w:rPr>
        <w:t xml:space="preserve"> </w:t>
      </w:r>
      <w:r w:rsidR="00464ABE">
        <w:rPr>
          <w:lang w:val="en-GB"/>
        </w:rPr>
        <w:t xml:space="preserve">most </w:t>
      </w:r>
      <w:r w:rsidR="00D94378" w:rsidRPr="006E54A3">
        <w:rPr>
          <w:lang w:val="en-GB"/>
        </w:rPr>
        <w:t xml:space="preserve">likely to </w:t>
      </w:r>
      <w:r w:rsidR="00F85402" w:rsidRPr="006E54A3">
        <w:rPr>
          <w:lang w:val="en-GB"/>
        </w:rPr>
        <w:t>be used out of these</w:t>
      </w:r>
      <w:r w:rsidR="00D94378" w:rsidRPr="006E54A3">
        <w:rPr>
          <w:lang w:val="en-GB"/>
        </w:rPr>
        <w:t xml:space="preserve">. </w:t>
      </w:r>
      <w:proofErr w:type="spellStart"/>
      <w:r w:rsidR="00D94378" w:rsidRPr="006E54A3">
        <w:rPr>
          <w:lang w:val="en-GB"/>
        </w:rPr>
        <w:t>Cabozantinib</w:t>
      </w:r>
      <w:proofErr w:type="spellEnd"/>
      <w:r w:rsidR="00D94378" w:rsidRPr="006E54A3">
        <w:rPr>
          <w:lang w:val="en-GB"/>
        </w:rPr>
        <w:t xml:space="preserve"> is </w:t>
      </w:r>
      <w:r w:rsidR="00FC02BD">
        <w:rPr>
          <w:lang w:val="en-GB"/>
        </w:rPr>
        <w:t xml:space="preserve">only </w:t>
      </w:r>
      <w:r w:rsidR="00D94378" w:rsidRPr="006E54A3">
        <w:rPr>
          <w:lang w:val="en-GB"/>
        </w:rPr>
        <w:t xml:space="preserve">recommended for </w:t>
      </w:r>
      <w:r w:rsidR="00277B7B" w:rsidRPr="006E54A3">
        <w:rPr>
          <w:lang w:val="en-GB"/>
        </w:rPr>
        <w:t xml:space="preserve">patients with </w:t>
      </w:r>
      <w:r w:rsidR="00D94378" w:rsidRPr="006E54A3">
        <w:rPr>
          <w:lang w:val="en-GB"/>
        </w:rPr>
        <w:t>intermediate or poor</w:t>
      </w:r>
      <w:r w:rsidR="00277B7B" w:rsidRPr="006E54A3">
        <w:rPr>
          <w:lang w:val="en-GB"/>
        </w:rPr>
        <w:t xml:space="preserve"> </w:t>
      </w:r>
      <w:r w:rsidR="00D94378" w:rsidRPr="006E54A3">
        <w:rPr>
          <w:lang w:val="en-GB"/>
        </w:rPr>
        <w:t>risk.</w:t>
      </w:r>
      <w:r w:rsidR="00D94378" w:rsidRPr="006E54A3">
        <w:rPr>
          <w:bCs w:val="0"/>
          <w:iCs w:val="0"/>
          <w:lang w:val="en-GB"/>
        </w:rPr>
        <w:t xml:space="preserve"> </w:t>
      </w:r>
      <w:r w:rsidR="007D32B7" w:rsidRPr="006E54A3">
        <w:rPr>
          <w:lang w:val="en-GB"/>
        </w:rPr>
        <w:t>T</w:t>
      </w:r>
      <w:r w:rsidR="000A2E61" w:rsidRPr="006E54A3">
        <w:rPr>
          <w:lang w:val="en-GB"/>
        </w:rPr>
        <w:t xml:space="preserve">reatment options, in particular </w:t>
      </w:r>
      <w:proofErr w:type="spellStart"/>
      <w:r w:rsidR="000A2E61" w:rsidRPr="006E54A3">
        <w:rPr>
          <w:lang w:val="en-GB"/>
        </w:rPr>
        <w:t>cabozantinib</w:t>
      </w:r>
      <w:proofErr w:type="spellEnd"/>
      <w:r w:rsidR="000A2E61" w:rsidRPr="006E54A3">
        <w:rPr>
          <w:lang w:val="en-GB"/>
        </w:rPr>
        <w:t xml:space="preserve">, can be difficult to tolerate </w:t>
      </w:r>
      <w:r w:rsidR="00E21FE8" w:rsidRPr="006E54A3">
        <w:rPr>
          <w:lang w:val="en-GB"/>
        </w:rPr>
        <w:t>because of</w:t>
      </w:r>
      <w:r w:rsidR="000A2E61" w:rsidRPr="006E54A3">
        <w:rPr>
          <w:lang w:val="en-GB"/>
        </w:rPr>
        <w:t xml:space="preserve"> the side effect</w:t>
      </w:r>
      <w:r w:rsidR="00E6697A" w:rsidRPr="006E54A3">
        <w:rPr>
          <w:lang w:val="en-GB"/>
        </w:rPr>
        <w:t>s</w:t>
      </w:r>
      <w:r w:rsidR="000A2E61" w:rsidRPr="006E54A3">
        <w:rPr>
          <w:lang w:val="en-GB"/>
        </w:rPr>
        <w:t>. Clinical experts expected that</w:t>
      </w:r>
      <w:r w:rsidR="00980FC8" w:rsidRPr="00DB622F">
        <w:rPr>
          <w:lang w:val="en-GB"/>
        </w:rPr>
        <w:t xml:space="preserve"> </w:t>
      </w:r>
      <w:r w:rsidR="00C57D34" w:rsidRPr="00DB622F">
        <w:rPr>
          <w:lang w:val="en-GB"/>
        </w:rPr>
        <w:t xml:space="preserve">patients who are </w:t>
      </w:r>
      <w:r w:rsidR="00980FC8" w:rsidRPr="00DB622F">
        <w:rPr>
          <w:lang w:val="en-GB"/>
        </w:rPr>
        <w:t>less fragile</w:t>
      </w:r>
      <w:r w:rsidR="000A2E61" w:rsidRPr="006E54A3">
        <w:rPr>
          <w:lang w:val="en-GB"/>
        </w:rPr>
        <w:t xml:space="preserve"> </w:t>
      </w:r>
      <w:r w:rsidR="0013356B">
        <w:rPr>
          <w:lang w:val="en-GB"/>
        </w:rPr>
        <w:t xml:space="preserve">would </w:t>
      </w:r>
      <w:r w:rsidR="000A2E61" w:rsidRPr="006E54A3">
        <w:rPr>
          <w:lang w:val="en-GB"/>
        </w:rPr>
        <w:t xml:space="preserve">be offered combination therapy </w:t>
      </w:r>
      <w:r w:rsidR="003A1B9F">
        <w:rPr>
          <w:lang w:val="en-GB"/>
        </w:rPr>
        <w:t>instead of</w:t>
      </w:r>
      <w:r w:rsidR="000A2E61" w:rsidRPr="006E54A3">
        <w:rPr>
          <w:lang w:val="en-GB"/>
        </w:rPr>
        <w:t xml:space="preserve"> single agents</w:t>
      </w:r>
      <w:r w:rsidR="00D051CA" w:rsidRPr="006E54A3">
        <w:rPr>
          <w:lang w:val="en-GB"/>
        </w:rPr>
        <w:t>.</w:t>
      </w:r>
      <w:r w:rsidR="000A2E61" w:rsidRPr="006E54A3">
        <w:rPr>
          <w:lang w:val="en-GB"/>
        </w:rPr>
        <w:t xml:space="preserve"> </w:t>
      </w:r>
      <w:r w:rsidR="00D051CA" w:rsidRPr="006E54A3">
        <w:rPr>
          <w:lang w:val="en-GB"/>
        </w:rPr>
        <w:t xml:space="preserve">This is </w:t>
      </w:r>
      <w:r w:rsidR="003A1B9F">
        <w:rPr>
          <w:lang w:val="en-GB"/>
        </w:rPr>
        <w:t>because</w:t>
      </w:r>
      <w:r w:rsidR="000A2E61" w:rsidRPr="006E54A3">
        <w:rPr>
          <w:lang w:val="en-GB"/>
        </w:rPr>
        <w:t xml:space="preserve"> of enhanced tolerability and a longer duration of disease control</w:t>
      </w:r>
      <w:r w:rsidR="008F5D99" w:rsidRPr="006E54A3">
        <w:rPr>
          <w:lang w:val="en-GB"/>
        </w:rPr>
        <w:t xml:space="preserve"> (noting that the IMDC criteria corresponds to prognosis, rather than a score of </w:t>
      </w:r>
      <w:r w:rsidR="00556845" w:rsidRPr="006E54A3">
        <w:rPr>
          <w:lang w:val="en-GB"/>
        </w:rPr>
        <w:t>frailty</w:t>
      </w:r>
      <w:r w:rsidR="008F5D99" w:rsidRPr="006E54A3">
        <w:rPr>
          <w:lang w:val="en-GB"/>
        </w:rPr>
        <w:t>). During technical engagement, c</w:t>
      </w:r>
      <w:r w:rsidR="00D94378" w:rsidRPr="006E54A3">
        <w:rPr>
          <w:lang w:val="en-GB"/>
        </w:rPr>
        <w:t>linical experts estimated that over 50% of people who had first</w:t>
      </w:r>
      <w:r w:rsidR="00113412">
        <w:rPr>
          <w:lang w:val="en-GB"/>
        </w:rPr>
        <w:t>-</w:t>
      </w:r>
      <w:r w:rsidR="00D94378" w:rsidRPr="006E54A3">
        <w:rPr>
          <w:lang w:val="en-GB"/>
        </w:rPr>
        <w:t xml:space="preserve">line treatment would </w:t>
      </w:r>
      <w:r w:rsidR="007E583E">
        <w:rPr>
          <w:lang w:val="en-GB"/>
        </w:rPr>
        <w:t>have</w:t>
      </w:r>
      <w:r w:rsidR="005A15CC" w:rsidRPr="006E54A3">
        <w:rPr>
          <w:lang w:val="en-GB"/>
        </w:rPr>
        <w:t xml:space="preserve"> subsequent treatment. </w:t>
      </w:r>
      <w:r w:rsidR="00104ED7" w:rsidRPr="006E54A3">
        <w:rPr>
          <w:lang w:val="en-GB"/>
        </w:rPr>
        <w:t>The C</w:t>
      </w:r>
      <w:r w:rsidR="000E07AB">
        <w:rPr>
          <w:lang w:val="en-GB"/>
        </w:rPr>
        <w:t xml:space="preserve">ancer </w:t>
      </w:r>
      <w:r w:rsidR="00104ED7" w:rsidRPr="006E54A3">
        <w:rPr>
          <w:lang w:val="en-GB"/>
        </w:rPr>
        <w:t>D</w:t>
      </w:r>
      <w:r w:rsidR="000E07AB">
        <w:rPr>
          <w:lang w:val="en-GB"/>
        </w:rPr>
        <w:t xml:space="preserve">rugs </w:t>
      </w:r>
      <w:r w:rsidR="00104ED7" w:rsidRPr="006E54A3">
        <w:rPr>
          <w:lang w:val="en-GB"/>
        </w:rPr>
        <w:t>F</w:t>
      </w:r>
      <w:r w:rsidR="000E07AB">
        <w:rPr>
          <w:lang w:val="en-GB"/>
        </w:rPr>
        <w:t>und (CDF)</w:t>
      </w:r>
      <w:r w:rsidR="00104ED7" w:rsidRPr="006E54A3">
        <w:rPr>
          <w:lang w:val="en-GB"/>
        </w:rPr>
        <w:t xml:space="preserve"> clinical lead and the clinical experts </w:t>
      </w:r>
      <w:r w:rsidR="00DF7013">
        <w:rPr>
          <w:lang w:val="en-GB"/>
        </w:rPr>
        <w:t xml:space="preserve">explained </w:t>
      </w:r>
      <w:r w:rsidR="00104ED7" w:rsidRPr="006E54A3">
        <w:rPr>
          <w:lang w:val="en-GB"/>
        </w:rPr>
        <w:t xml:space="preserve">that if patients </w:t>
      </w:r>
      <w:r w:rsidR="00F1342A">
        <w:rPr>
          <w:lang w:val="en-GB"/>
        </w:rPr>
        <w:t>have</w:t>
      </w:r>
      <w:r w:rsidR="00104ED7" w:rsidRPr="006E54A3">
        <w:rPr>
          <w:lang w:val="en-GB"/>
        </w:rPr>
        <w:t xml:space="preserve"> first</w:t>
      </w:r>
      <w:r w:rsidR="0032639E">
        <w:rPr>
          <w:lang w:val="en-GB"/>
        </w:rPr>
        <w:t>-</w:t>
      </w:r>
      <w:r w:rsidR="00104ED7" w:rsidRPr="006E54A3">
        <w:rPr>
          <w:lang w:val="en-GB"/>
        </w:rPr>
        <w:t xml:space="preserve">line treatment with pembrolizumab </w:t>
      </w:r>
      <w:r w:rsidR="00232BB5">
        <w:rPr>
          <w:lang w:val="en-GB"/>
        </w:rPr>
        <w:t>(</w:t>
      </w:r>
      <w:r w:rsidR="00104ED7" w:rsidRPr="006E54A3">
        <w:rPr>
          <w:lang w:val="en-GB"/>
        </w:rPr>
        <w:t>a checkpoint inhibitor</w:t>
      </w:r>
      <w:r w:rsidR="00232BB5">
        <w:rPr>
          <w:lang w:val="en-GB"/>
        </w:rPr>
        <w:t>)</w:t>
      </w:r>
      <w:r w:rsidR="00104ED7" w:rsidRPr="006E54A3">
        <w:rPr>
          <w:lang w:val="en-GB"/>
        </w:rPr>
        <w:t xml:space="preserve"> plus </w:t>
      </w:r>
      <w:proofErr w:type="spellStart"/>
      <w:r w:rsidR="00104ED7" w:rsidRPr="006E54A3">
        <w:rPr>
          <w:lang w:val="en-GB"/>
        </w:rPr>
        <w:t>axitinib</w:t>
      </w:r>
      <w:proofErr w:type="spellEnd"/>
      <w:r w:rsidR="00104ED7" w:rsidRPr="006E54A3">
        <w:rPr>
          <w:lang w:val="en-GB"/>
        </w:rPr>
        <w:t xml:space="preserve"> </w:t>
      </w:r>
      <w:r w:rsidR="00232BB5">
        <w:rPr>
          <w:lang w:val="en-GB"/>
        </w:rPr>
        <w:t>(</w:t>
      </w:r>
      <w:r w:rsidR="00104ED7" w:rsidRPr="006E54A3">
        <w:rPr>
          <w:lang w:val="en-GB"/>
        </w:rPr>
        <w:t xml:space="preserve">a tyrosine kinase inhibitor </w:t>
      </w:r>
      <w:r w:rsidR="00232BB5">
        <w:rPr>
          <w:lang w:val="en-GB"/>
        </w:rPr>
        <w:t>[</w:t>
      </w:r>
      <w:r w:rsidR="00104ED7" w:rsidRPr="006E54A3">
        <w:rPr>
          <w:lang w:val="en-GB"/>
        </w:rPr>
        <w:t>TKI</w:t>
      </w:r>
      <w:r w:rsidR="00232BB5">
        <w:rPr>
          <w:lang w:val="en-GB"/>
        </w:rPr>
        <w:t>]</w:t>
      </w:r>
      <w:r w:rsidR="00104ED7" w:rsidRPr="006E54A3">
        <w:rPr>
          <w:lang w:val="en-GB"/>
        </w:rPr>
        <w:t xml:space="preserve">), then they would not be eligible for nivolumab </w:t>
      </w:r>
      <w:r w:rsidR="00740ADA">
        <w:rPr>
          <w:lang w:val="en-GB"/>
        </w:rPr>
        <w:t>(</w:t>
      </w:r>
      <w:r w:rsidR="00104ED7" w:rsidRPr="006E54A3">
        <w:rPr>
          <w:lang w:val="en-GB"/>
        </w:rPr>
        <w:t>another checkpoint inhibitor</w:t>
      </w:r>
      <w:r w:rsidR="00740ADA">
        <w:rPr>
          <w:lang w:val="en-GB"/>
        </w:rPr>
        <w:t>)</w:t>
      </w:r>
      <w:r w:rsidR="00104ED7" w:rsidRPr="006E54A3">
        <w:rPr>
          <w:lang w:val="en-GB"/>
        </w:rPr>
        <w:t xml:space="preserve"> or </w:t>
      </w:r>
      <w:proofErr w:type="spellStart"/>
      <w:r w:rsidR="00104ED7" w:rsidRPr="006E54A3">
        <w:rPr>
          <w:lang w:val="en-GB"/>
        </w:rPr>
        <w:t>axitinib</w:t>
      </w:r>
      <w:proofErr w:type="spellEnd"/>
      <w:r w:rsidR="00104ED7" w:rsidRPr="006E54A3">
        <w:rPr>
          <w:lang w:val="en-GB"/>
        </w:rPr>
        <w:t xml:space="preserve"> monotherapy later in the treatment pathway.</w:t>
      </w:r>
      <w:r w:rsidR="005A15CC" w:rsidRPr="006E54A3">
        <w:rPr>
          <w:lang w:val="en-GB"/>
        </w:rPr>
        <w:t xml:space="preserve"> </w:t>
      </w:r>
      <w:r w:rsidR="004A4A0C" w:rsidRPr="006E54A3">
        <w:rPr>
          <w:lang w:val="en-GB"/>
        </w:rPr>
        <w:t xml:space="preserve">It would be likely that </w:t>
      </w:r>
      <w:r w:rsidR="00104ED7" w:rsidRPr="006E54A3">
        <w:rPr>
          <w:lang w:val="en-GB"/>
        </w:rPr>
        <w:t>subsequent</w:t>
      </w:r>
      <w:r w:rsidR="004A4A0C" w:rsidRPr="006E54A3">
        <w:rPr>
          <w:lang w:val="en-GB"/>
        </w:rPr>
        <w:t xml:space="preserve"> treatment options would then be considered from a combination of current first-line and second</w:t>
      </w:r>
      <w:r w:rsidR="00EA5233">
        <w:rPr>
          <w:lang w:val="en-GB"/>
        </w:rPr>
        <w:t>-</w:t>
      </w:r>
      <w:r w:rsidR="004A4A0C" w:rsidRPr="006E54A3">
        <w:rPr>
          <w:lang w:val="en-GB"/>
        </w:rPr>
        <w:t>line options.</w:t>
      </w:r>
      <w:r w:rsidR="0016714B" w:rsidRPr="006E54A3">
        <w:rPr>
          <w:lang w:val="en-GB"/>
        </w:rPr>
        <w:t xml:space="preserve"> </w:t>
      </w:r>
      <w:r w:rsidR="00104ED7" w:rsidRPr="006E54A3">
        <w:rPr>
          <w:lang w:val="en-GB"/>
        </w:rPr>
        <w:t>T</w:t>
      </w:r>
      <w:r w:rsidR="0016714B" w:rsidRPr="006E54A3">
        <w:rPr>
          <w:lang w:val="en-GB"/>
        </w:rPr>
        <w:t xml:space="preserve">he </w:t>
      </w:r>
      <w:r w:rsidR="003C46E3" w:rsidRPr="006E54A3">
        <w:rPr>
          <w:lang w:val="en-GB"/>
        </w:rPr>
        <w:t xml:space="preserve">committee </w:t>
      </w:r>
      <w:r w:rsidR="003C46E3" w:rsidRPr="006E54A3">
        <w:rPr>
          <w:lang w:val="en-GB"/>
        </w:rPr>
        <w:lastRenderedPageBreak/>
        <w:t xml:space="preserve">concluded that the </w:t>
      </w:r>
      <w:r w:rsidR="0016714B" w:rsidRPr="006E54A3">
        <w:rPr>
          <w:lang w:val="en-GB"/>
        </w:rPr>
        <w:t xml:space="preserve">introduction of pembrolizumab with </w:t>
      </w:r>
      <w:proofErr w:type="spellStart"/>
      <w:r w:rsidR="0016714B" w:rsidRPr="006E54A3">
        <w:rPr>
          <w:lang w:val="en-GB"/>
        </w:rPr>
        <w:t>axitinib</w:t>
      </w:r>
      <w:proofErr w:type="spellEnd"/>
      <w:r w:rsidR="0016714B" w:rsidRPr="006E54A3">
        <w:rPr>
          <w:lang w:val="en-GB"/>
        </w:rPr>
        <w:t xml:space="preserve"> was likely to have a substantial </w:t>
      </w:r>
      <w:r w:rsidR="009B4FF9">
        <w:rPr>
          <w:lang w:val="en-GB"/>
        </w:rPr>
        <w:t>effect</w:t>
      </w:r>
      <w:r w:rsidR="009B4FF9" w:rsidRPr="006E54A3">
        <w:rPr>
          <w:lang w:val="en-GB"/>
        </w:rPr>
        <w:t xml:space="preserve"> </w:t>
      </w:r>
      <w:r w:rsidR="0016714B" w:rsidRPr="006E54A3">
        <w:rPr>
          <w:lang w:val="en-GB"/>
        </w:rPr>
        <w:t xml:space="preserve">on the care pathway. </w:t>
      </w:r>
    </w:p>
    <w:p w14:paraId="3F70C065" w14:textId="44A479BE" w:rsidR="00E55A08" w:rsidRPr="00DB622F" w:rsidRDefault="00E55A08" w:rsidP="00C52D9A">
      <w:pPr>
        <w:pStyle w:val="Heading2"/>
      </w:pPr>
      <w:r w:rsidRPr="00DB622F">
        <w:t>Clinical evidence</w:t>
      </w:r>
    </w:p>
    <w:p w14:paraId="6C1339E5" w14:textId="4095D8F2" w:rsidR="00E55A08" w:rsidRPr="00DB622F" w:rsidRDefault="00CA18B7" w:rsidP="00C52D9A">
      <w:pPr>
        <w:pStyle w:val="Heading3"/>
      </w:pPr>
      <w:r w:rsidRPr="00DB622F">
        <w:t>The key c</w:t>
      </w:r>
      <w:r w:rsidR="008F5D99" w:rsidRPr="00DB622F">
        <w:t xml:space="preserve">linical evidence </w:t>
      </w:r>
      <w:r w:rsidR="00E55A08" w:rsidRPr="00DB622F">
        <w:t xml:space="preserve">came from </w:t>
      </w:r>
      <w:r w:rsidR="00556845" w:rsidRPr="00DB622F">
        <w:t>KEYNOTE-426</w:t>
      </w:r>
    </w:p>
    <w:p w14:paraId="4BE4F297" w14:textId="70FBDAC9" w:rsidR="00E8349F" w:rsidRDefault="00E55A08" w:rsidP="00C52D9A">
      <w:pPr>
        <w:pStyle w:val="Numberedlevel2text"/>
        <w:rPr>
          <w:lang w:val="en-GB"/>
        </w:rPr>
      </w:pPr>
      <w:r w:rsidRPr="000956D4">
        <w:rPr>
          <w:lang w:val="en-GB"/>
        </w:rPr>
        <w:t xml:space="preserve">The </w:t>
      </w:r>
      <w:r w:rsidRPr="006E54A3">
        <w:rPr>
          <w:lang w:val="en-GB"/>
        </w:rPr>
        <w:t xml:space="preserve">clinical evidence came from </w:t>
      </w:r>
      <w:r w:rsidR="00556845" w:rsidRPr="006E54A3">
        <w:rPr>
          <w:lang w:val="en-GB"/>
        </w:rPr>
        <w:t>KEYNOTE</w:t>
      </w:r>
      <w:r w:rsidR="00BA3DCC">
        <w:rPr>
          <w:lang w:val="en-GB"/>
        </w:rPr>
        <w:noBreakHyphen/>
      </w:r>
      <w:r w:rsidR="00556845" w:rsidRPr="006E54A3">
        <w:rPr>
          <w:lang w:val="en-GB"/>
        </w:rPr>
        <w:t>426</w:t>
      </w:r>
      <w:r w:rsidRPr="006E54A3">
        <w:rPr>
          <w:lang w:val="en-GB"/>
        </w:rPr>
        <w:t>, an open-label, randomised phase</w:t>
      </w:r>
      <w:r w:rsidR="006B229F">
        <w:rPr>
          <w:lang w:val="en-GB"/>
        </w:rPr>
        <w:t> 3</w:t>
      </w:r>
      <w:r w:rsidRPr="006E54A3">
        <w:rPr>
          <w:lang w:val="en-GB"/>
        </w:rPr>
        <w:t xml:space="preserve"> trial </w:t>
      </w:r>
      <w:r w:rsidR="00EF250D">
        <w:rPr>
          <w:lang w:val="en-GB"/>
        </w:rPr>
        <w:t>that</w:t>
      </w:r>
      <w:r w:rsidRPr="006E54A3">
        <w:rPr>
          <w:lang w:val="en-GB"/>
        </w:rPr>
        <w:t xml:space="preserve"> compared pembrolizumab </w:t>
      </w:r>
      <w:r w:rsidR="00C707D3">
        <w:rPr>
          <w:lang w:val="en-GB"/>
        </w:rPr>
        <w:t>plus</w:t>
      </w:r>
      <w:r w:rsidRPr="006E54A3">
        <w:rPr>
          <w:lang w:val="en-GB"/>
        </w:rPr>
        <w:t xml:space="preserve"> </w:t>
      </w:r>
      <w:proofErr w:type="spellStart"/>
      <w:r w:rsidRPr="006E54A3">
        <w:rPr>
          <w:lang w:val="en-GB"/>
        </w:rPr>
        <w:t>axitinib</w:t>
      </w:r>
      <w:proofErr w:type="spellEnd"/>
      <w:r w:rsidRPr="006E54A3">
        <w:rPr>
          <w:lang w:val="en-GB"/>
        </w:rPr>
        <w:t xml:space="preserve"> with sunitinib</w:t>
      </w:r>
      <w:r w:rsidR="00417B24">
        <w:rPr>
          <w:lang w:val="en-GB"/>
        </w:rPr>
        <w:t xml:space="preserve"> </w:t>
      </w:r>
      <w:r w:rsidR="007E29CD">
        <w:rPr>
          <w:lang w:val="en-GB"/>
        </w:rPr>
        <w:t>(</w:t>
      </w:r>
      <w:r w:rsidR="00417B24">
        <w:rPr>
          <w:lang w:val="en-GB"/>
        </w:rPr>
        <w:t>median</w:t>
      </w:r>
      <w:r w:rsidR="007E29CD">
        <w:rPr>
          <w:lang w:val="en-GB"/>
        </w:rPr>
        <w:t xml:space="preserve"> follow up of 12.8</w:t>
      </w:r>
      <w:r w:rsidR="003E6D04">
        <w:rPr>
          <w:lang w:val="en-GB"/>
        </w:rPr>
        <w:t> </w:t>
      </w:r>
      <w:r w:rsidR="007E29CD">
        <w:rPr>
          <w:lang w:val="en-GB"/>
        </w:rPr>
        <w:t>months)</w:t>
      </w:r>
      <w:r w:rsidRPr="006E54A3">
        <w:rPr>
          <w:lang w:val="en-GB"/>
        </w:rPr>
        <w:t>. The primary outcome measure</w:t>
      </w:r>
      <w:r w:rsidR="00614E82" w:rsidRPr="006E54A3">
        <w:rPr>
          <w:lang w:val="en-GB"/>
        </w:rPr>
        <w:t>s</w:t>
      </w:r>
      <w:r w:rsidRPr="006E54A3">
        <w:rPr>
          <w:lang w:val="en-GB"/>
        </w:rPr>
        <w:t xml:space="preserve"> in </w:t>
      </w:r>
      <w:r w:rsidR="00556845" w:rsidRPr="006E54A3">
        <w:rPr>
          <w:lang w:val="en-GB"/>
        </w:rPr>
        <w:t>KEYNOTE</w:t>
      </w:r>
      <w:r w:rsidR="008C1560">
        <w:rPr>
          <w:lang w:val="en-GB"/>
        </w:rPr>
        <w:noBreakHyphen/>
      </w:r>
      <w:r w:rsidR="00556845" w:rsidRPr="006E54A3">
        <w:rPr>
          <w:lang w:val="en-GB"/>
        </w:rPr>
        <w:t xml:space="preserve">426 </w:t>
      </w:r>
      <w:r w:rsidRPr="006E54A3">
        <w:rPr>
          <w:lang w:val="en-GB"/>
        </w:rPr>
        <w:t>w</w:t>
      </w:r>
      <w:r w:rsidR="00614E82" w:rsidRPr="006E54A3">
        <w:rPr>
          <w:lang w:val="en-GB"/>
        </w:rPr>
        <w:t>ere</w:t>
      </w:r>
      <w:r w:rsidRPr="006E54A3">
        <w:rPr>
          <w:lang w:val="en-GB"/>
        </w:rPr>
        <w:t xml:space="preserve"> overall survival (hazard ratio 0.53; 95% confidence interval 0.38 to 0.74, p=0.00005) and progression</w:t>
      </w:r>
      <w:r w:rsidR="00E1034D">
        <w:rPr>
          <w:lang w:val="en-GB"/>
        </w:rPr>
        <w:t>-</w:t>
      </w:r>
      <w:r w:rsidRPr="006E54A3">
        <w:rPr>
          <w:lang w:val="en-GB"/>
        </w:rPr>
        <w:t xml:space="preserve">free survival (hazard ratio 0.69; 95% confidence interval 0.57 to 0.84, p=0.00014). Median survival was not reached in either arm. </w:t>
      </w:r>
      <w:r w:rsidR="00FB6631" w:rsidRPr="006E54A3">
        <w:rPr>
          <w:lang w:val="en-GB"/>
        </w:rPr>
        <w:t xml:space="preserve">There was no evidence </w:t>
      </w:r>
      <w:r w:rsidR="00427B70" w:rsidRPr="006E54A3">
        <w:rPr>
          <w:lang w:val="en-GB"/>
        </w:rPr>
        <w:t xml:space="preserve">presented </w:t>
      </w:r>
      <w:r w:rsidR="00FB6631" w:rsidRPr="006E54A3">
        <w:rPr>
          <w:lang w:val="en-GB"/>
        </w:rPr>
        <w:t>compar</w:t>
      </w:r>
      <w:r w:rsidR="00391CDC">
        <w:rPr>
          <w:lang w:val="en-GB"/>
        </w:rPr>
        <w:t>ing</w:t>
      </w:r>
      <w:r w:rsidR="00FB6631" w:rsidRPr="006E54A3">
        <w:rPr>
          <w:lang w:val="en-GB"/>
        </w:rPr>
        <w:t xml:space="preserve"> pembrolizumab </w:t>
      </w:r>
      <w:r w:rsidR="00391CDC">
        <w:rPr>
          <w:lang w:val="en-GB"/>
        </w:rPr>
        <w:t>plus</w:t>
      </w:r>
      <w:r w:rsidR="00FB6631" w:rsidRPr="006E54A3">
        <w:rPr>
          <w:lang w:val="en-GB"/>
        </w:rPr>
        <w:t xml:space="preserve"> </w:t>
      </w:r>
      <w:proofErr w:type="spellStart"/>
      <w:r w:rsidR="00FB6631" w:rsidRPr="006E54A3">
        <w:rPr>
          <w:lang w:val="en-GB"/>
        </w:rPr>
        <w:t>axitinib</w:t>
      </w:r>
      <w:proofErr w:type="spellEnd"/>
      <w:r w:rsidR="00FB6631" w:rsidRPr="006E54A3">
        <w:rPr>
          <w:lang w:val="en-GB"/>
        </w:rPr>
        <w:t xml:space="preserve"> with tivozanib or pazopanib</w:t>
      </w:r>
      <w:r w:rsidR="00582F4B">
        <w:rPr>
          <w:lang w:val="en-GB"/>
        </w:rPr>
        <w:t>.</w:t>
      </w:r>
      <w:r w:rsidR="00FB6631" w:rsidRPr="006E54A3">
        <w:rPr>
          <w:lang w:val="en-GB"/>
        </w:rPr>
        <w:t xml:space="preserve"> </w:t>
      </w:r>
      <w:r w:rsidR="00582F4B">
        <w:rPr>
          <w:lang w:val="en-GB"/>
        </w:rPr>
        <w:t>H</w:t>
      </w:r>
      <w:r w:rsidR="00FB6631" w:rsidRPr="006E54A3">
        <w:rPr>
          <w:lang w:val="en-GB"/>
        </w:rPr>
        <w:t>owever, tivozanib and pazopanib were assumed to have equal efficacy and safety to sunitinib</w:t>
      </w:r>
      <w:r w:rsidR="00502453">
        <w:rPr>
          <w:lang w:val="en-GB"/>
        </w:rPr>
        <w:t>. This was</w:t>
      </w:r>
      <w:r w:rsidR="00FB6631" w:rsidRPr="006E54A3">
        <w:rPr>
          <w:lang w:val="en-GB"/>
        </w:rPr>
        <w:t xml:space="preserve"> in line with</w:t>
      </w:r>
      <w:r w:rsidR="00104ED7" w:rsidRPr="006E54A3">
        <w:rPr>
          <w:lang w:val="en-GB"/>
        </w:rPr>
        <w:t xml:space="preserve"> previous appraisals</w:t>
      </w:r>
      <w:r w:rsidR="00E8349F">
        <w:rPr>
          <w:lang w:val="en-GB"/>
        </w:rPr>
        <w:t>:</w:t>
      </w:r>
      <w:r w:rsidR="00FB6631" w:rsidRPr="006E54A3">
        <w:rPr>
          <w:lang w:val="en-GB"/>
        </w:rPr>
        <w:t xml:space="preserve"> </w:t>
      </w:r>
    </w:p>
    <w:p w14:paraId="6764A8E5" w14:textId="78C739C3" w:rsidR="00E8349F" w:rsidRDefault="00FB5E6A" w:rsidP="00E8349F">
      <w:pPr>
        <w:pStyle w:val="Bulletindent1"/>
      </w:pPr>
      <w:hyperlink r:id="rId11" w:history="1">
        <w:r w:rsidR="00E8349F" w:rsidRPr="00560F3C">
          <w:rPr>
            <w:rStyle w:val="Hyperlink"/>
          </w:rPr>
          <w:t>NICE technology appraisal on pazopanib for the first-line treat</w:t>
        </w:r>
        <w:r w:rsidR="00E8349F" w:rsidRPr="00560F3C">
          <w:rPr>
            <w:rStyle w:val="Hyperlink"/>
          </w:rPr>
          <w:t>m</w:t>
        </w:r>
        <w:r w:rsidR="00E8349F" w:rsidRPr="00560F3C">
          <w:rPr>
            <w:rStyle w:val="Hyperlink"/>
          </w:rPr>
          <w:t>ent of advanced renal cell carcinoma</w:t>
        </w:r>
      </w:hyperlink>
    </w:p>
    <w:p w14:paraId="32728BF5" w14:textId="48E0123D" w:rsidR="00E8349F" w:rsidRDefault="00FB5E6A" w:rsidP="00E8349F">
      <w:pPr>
        <w:pStyle w:val="Bulletindent1"/>
      </w:pPr>
      <w:hyperlink r:id="rId12" w:history="1">
        <w:r w:rsidR="00E8349F" w:rsidRPr="00560F3C">
          <w:rPr>
            <w:rStyle w:val="Hyperlink"/>
          </w:rPr>
          <w:t>tivozanib for treating advanced renal cell carci</w:t>
        </w:r>
        <w:r w:rsidR="00E8349F" w:rsidRPr="00560F3C">
          <w:rPr>
            <w:rStyle w:val="Hyperlink"/>
          </w:rPr>
          <w:t>n</w:t>
        </w:r>
        <w:r w:rsidR="00E8349F" w:rsidRPr="00560F3C">
          <w:rPr>
            <w:rStyle w:val="Hyperlink"/>
          </w:rPr>
          <w:t>oma</w:t>
        </w:r>
      </w:hyperlink>
    </w:p>
    <w:p w14:paraId="7836D447" w14:textId="117C297B" w:rsidR="00E8349F" w:rsidRDefault="00FB5E6A" w:rsidP="00E8349F">
      <w:pPr>
        <w:pStyle w:val="Bulletindent1"/>
      </w:pPr>
      <w:hyperlink r:id="rId13" w:history="1">
        <w:proofErr w:type="spellStart"/>
        <w:r w:rsidR="00E8349F" w:rsidRPr="00560F3C">
          <w:rPr>
            <w:rStyle w:val="Hyperlink"/>
          </w:rPr>
          <w:t>cabozantinib</w:t>
        </w:r>
        <w:proofErr w:type="spellEnd"/>
        <w:r w:rsidR="00E8349F" w:rsidRPr="00560F3C">
          <w:rPr>
            <w:rStyle w:val="Hyperlink"/>
          </w:rPr>
          <w:t xml:space="preserve"> for untreated advanced renal ce</w:t>
        </w:r>
        <w:r w:rsidR="00E8349F" w:rsidRPr="00560F3C">
          <w:rPr>
            <w:rStyle w:val="Hyperlink"/>
          </w:rPr>
          <w:t>l</w:t>
        </w:r>
        <w:r w:rsidR="00E8349F" w:rsidRPr="00560F3C">
          <w:rPr>
            <w:rStyle w:val="Hyperlink"/>
          </w:rPr>
          <w:t>l carcinoma</w:t>
        </w:r>
      </w:hyperlink>
    </w:p>
    <w:p w14:paraId="7F9147B0" w14:textId="70A78571" w:rsidR="00E8349F" w:rsidRPr="006E54A3" w:rsidRDefault="00FB5E6A" w:rsidP="006E54A3">
      <w:pPr>
        <w:pStyle w:val="Bulletindent1last"/>
      </w:pPr>
      <w:hyperlink r:id="rId14" w:history="1">
        <w:r w:rsidR="00E8349F" w:rsidRPr="00560F3C">
          <w:rPr>
            <w:rStyle w:val="Hyperlink"/>
          </w:rPr>
          <w:t>nivolumab with ipilimumab for untreated adva</w:t>
        </w:r>
        <w:r w:rsidR="00E8349F" w:rsidRPr="00560F3C">
          <w:rPr>
            <w:rStyle w:val="Hyperlink"/>
          </w:rPr>
          <w:t>n</w:t>
        </w:r>
        <w:r w:rsidR="00E8349F" w:rsidRPr="00560F3C">
          <w:rPr>
            <w:rStyle w:val="Hyperlink"/>
          </w:rPr>
          <w:t>ced renal cell carcinoma</w:t>
        </w:r>
      </w:hyperlink>
      <w:r w:rsidR="00FB6631" w:rsidRPr="00DB622F">
        <w:t>.</w:t>
      </w:r>
    </w:p>
    <w:p w14:paraId="07607036" w14:textId="7D2D030E" w:rsidR="00E55A08" w:rsidRPr="00DB622F" w:rsidRDefault="00FB6631" w:rsidP="006E54A3">
      <w:pPr>
        <w:pStyle w:val="Numberedlevel2text"/>
        <w:numPr>
          <w:ilvl w:val="0"/>
          <w:numId w:val="0"/>
        </w:numPr>
        <w:ind w:left="1134"/>
      </w:pPr>
      <w:r w:rsidRPr="00DB622F">
        <w:t xml:space="preserve">The committee concluded that </w:t>
      </w:r>
      <w:r w:rsidRPr="000956D4">
        <w:t xml:space="preserve">pembrolizumab with </w:t>
      </w:r>
      <w:proofErr w:type="spellStart"/>
      <w:r w:rsidRPr="000956D4">
        <w:t>axitinib</w:t>
      </w:r>
      <w:proofErr w:type="spellEnd"/>
      <w:r w:rsidRPr="000956D4">
        <w:t xml:space="preserve"> was more effective than sunitinib for overall survival and progression-free survival</w:t>
      </w:r>
      <w:r w:rsidR="00427B70" w:rsidRPr="000956D4">
        <w:t xml:space="preserve"> in </w:t>
      </w:r>
      <w:r w:rsidR="00427B70" w:rsidRPr="006E54A3">
        <w:t xml:space="preserve">untreated </w:t>
      </w:r>
      <w:r w:rsidR="00103B92">
        <w:rPr>
          <w:lang w:val="en-US"/>
        </w:rPr>
        <w:t>renal cell carcinoma</w:t>
      </w:r>
      <w:r w:rsidRPr="006E54A3">
        <w:t>, but the data are immature.</w:t>
      </w:r>
    </w:p>
    <w:p w14:paraId="3D5EE6C9" w14:textId="65137033" w:rsidR="00CA18B7" w:rsidRPr="00DB622F" w:rsidRDefault="00CA18B7" w:rsidP="00CA18B7">
      <w:pPr>
        <w:pStyle w:val="Heading3"/>
      </w:pPr>
      <w:r w:rsidRPr="00DB622F">
        <w:t xml:space="preserve">A network meta-analysis was used </w:t>
      </w:r>
      <w:r w:rsidR="00212D08">
        <w:t>for</w:t>
      </w:r>
      <w:r w:rsidRPr="00DB622F">
        <w:t xml:space="preserve"> indirect evidence </w:t>
      </w:r>
      <w:r w:rsidR="008D26A4">
        <w:t>on</w:t>
      </w:r>
      <w:r w:rsidRPr="00DB622F">
        <w:t xml:space="preserve"> the intermediate</w:t>
      </w:r>
      <w:r w:rsidR="008D26A4">
        <w:t xml:space="preserve"> </w:t>
      </w:r>
      <w:r w:rsidR="007E29CD">
        <w:t>and</w:t>
      </w:r>
      <w:r w:rsidR="00994BCD">
        <w:t xml:space="preserve"> </w:t>
      </w:r>
      <w:r w:rsidRPr="00DB622F">
        <w:t>poor</w:t>
      </w:r>
      <w:r w:rsidR="008D26A4">
        <w:t>-</w:t>
      </w:r>
      <w:r w:rsidRPr="00DB622F">
        <w:t>risk subgroup analysis</w:t>
      </w:r>
    </w:p>
    <w:p w14:paraId="17F4C3AE" w14:textId="65D6E384" w:rsidR="00CA18B7" w:rsidRPr="00FE5D13" w:rsidRDefault="00427B70" w:rsidP="00427B70">
      <w:pPr>
        <w:pStyle w:val="Numberedlevel2text"/>
        <w:rPr>
          <w:lang w:val="en-GB"/>
        </w:rPr>
      </w:pPr>
      <w:r w:rsidRPr="007E29CD">
        <w:rPr>
          <w:lang w:val="en-GB"/>
        </w:rPr>
        <w:t>There was no direct evidence comparing p</w:t>
      </w:r>
      <w:r w:rsidRPr="00DB622F">
        <w:rPr>
          <w:lang w:val="en-GB"/>
        </w:rPr>
        <w:t xml:space="preserve">embrolizumab with </w:t>
      </w:r>
      <w:proofErr w:type="spellStart"/>
      <w:r w:rsidRPr="00DB622F">
        <w:rPr>
          <w:lang w:val="en-GB"/>
        </w:rPr>
        <w:t>axitinib</w:t>
      </w:r>
      <w:proofErr w:type="spellEnd"/>
      <w:r w:rsidRPr="007E29CD">
        <w:rPr>
          <w:lang w:val="en-GB"/>
        </w:rPr>
        <w:t xml:space="preserve"> with </w:t>
      </w:r>
      <w:proofErr w:type="spellStart"/>
      <w:r w:rsidRPr="007E29CD">
        <w:rPr>
          <w:lang w:val="en-GB"/>
        </w:rPr>
        <w:t>cabozantinib</w:t>
      </w:r>
      <w:proofErr w:type="spellEnd"/>
      <w:r w:rsidRPr="007E29CD">
        <w:rPr>
          <w:lang w:val="en-GB"/>
        </w:rPr>
        <w:t xml:space="preserve"> </w:t>
      </w:r>
      <w:r w:rsidR="00CA18B7" w:rsidRPr="007E29CD">
        <w:rPr>
          <w:lang w:val="en-GB"/>
        </w:rPr>
        <w:t>for the</w:t>
      </w:r>
      <w:r w:rsidR="004B121A">
        <w:rPr>
          <w:lang w:val="en-GB"/>
        </w:rPr>
        <w:t xml:space="preserve"> IMD</w:t>
      </w:r>
      <w:r w:rsidR="006B70E9">
        <w:rPr>
          <w:lang w:val="en-GB"/>
        </w:rPr>
        <w:t>C</w:t>
      </w:r>
      <w:r w:rsidR="00CA18B7" w:rsidRPr="007E29CD">
        <w:rPr>
          <w:lang w:val="en-GB"/>
        </w:rPr>
        <w:t xml:space="preserve"> intermediate</w:t>
      </w:r>
      <w:r w:rsidR="008D26A4">
        <w:rPr>
          <w:lang w:val="en-GB"/>
        </w:rPr>
        <w:t xml:space="preserve"> </w:t>
      </w:r>
      <w:r w:rsidR="007E29CD">
        <w:rPr>
          <w:lang w:val="en-GB"/>
        </w:rPr>
        <w:t>and</w:t>
      </w:r>
      <w:r w:rsidR="00994BCD">
        <w:rPr>
          <w:lang w:val="en-GB"/>
        </w:rPr>
        <w:t xml:space="preserve"> </w:t>
      </w:r>
      <w:r w:rsidR="00CA18B7" w:rsidRPr="007E29CD">
        <w:rPr>
          <w:lang w:val="en-GB"/>
        </w:rPr>
        <w:t>poor</w:t>
      </w:r>
      <w:r w:rsidR="006B70E9">
        <w:rPr>
          <w:lang w:val="en-GB"/>
        </w:rPr>
        <w:t>-</w:t>
      </w:r>
      <w:r w:rsidR="00CA18B7" w:rsidRPr="000956D4">
        <w:rPr>
          <w:lang w:val="en-GB"/>
        </w:rPr>
        <w:t xml:space="preserve">risk </w:t>
      </w:r>
      <w:r w:rsidR="00104ED7" w:rsidRPr="000956D4">
        <w:rPr>
          <w:lang w:val="en-GB"/>
        </w:rPr>
        <w:t>sub</w:t>
      </w:r>
      <w:r w:rsidR="00CA18B7" w:rsidRPr="000956D4">
        <w:rPr>
          <w:lang w:val="en-GB"/>
        </w:rPr>
        <w:t>group</w:t>
      </w:r>
      <w:r w:rsidRPr="000956D4">
        <w:rPr>
          <w:lang w:val="en-GB"/>
        </w:rPr>
        <w:t xml:space="preserve">. </w:t>
      </w:r>
      <w:r w:rsidR="00104ED7" w:rsidRPr="000956D4">
        <w:rPr>
          <w:lang w:val="en-GB"/>
        </w:rPr>
        <w:t>T</w:t>
      </w:r>
      <w:r w:rsidRPr="000956D4">
        <w:rPr>
          <w:lang w:val="en-GB"/>
        </w:rPr>
        <w:t>he company did</w:t>
      </w:r>
      <w:r w:rsidR="00CA18B7" w:rsidRPr="000956D4">
        <w:rPr>
          <w:lang w:val="en-GB"/>
        </w:rPr>
        <w:t xml:space="preserve"> a network meta</w:t>
      </w:r>
      <w:r w:rsidR="00CA18B7" w:rsidRPr="00DB622F">
        <w:rPr>
          <w:lang w:val="en-GB"/>
        </w:rPr>
        <w:t>-a</w:t>
      </w:r>
      <w:r w:rsidR="00CA18B7" w:rsidRPr="006E54A3">
        <w:rPr>
          <w:lang w:val="en-GB"/>
        </w:rPr>
        <w:t xml:space="preserve">nalysis using </w:t>
      </w:r>
      <w:r w:rsidRPr="006E54A3">
        <w:rPr>
          <w:lang w:val="en-GB"/>
        </w:rPr>
        <w:t xml:space="preserve">data from </w:t>
      </w:r>
      <w:r w:rsidR="00CA18B7" w:rsidRPr="006E54A3">
        <w:rPr>
          <w:lang w:val="en-GB"/>
        </w:rPr>
        <w:t>KEYNOTE</w:t>
      </w:r>
      <w:r w:rsidR="00934FC9">
        <w:rPr>
          <w:lang w:val="en-GB"/>
        </w:rPr>
        <w:noBreakHyphen/>
      </w:r>
      <w:r w:rsidR="00CA18B7" w:rsidRPr="006E54A3">
        <w:rPr>
          <w:lang w:val="en-GB"/>
        </w:rPr>
        <w:t>426 and CABOSUN (a randomi</w:t>
      </w:r>
      <w:r w:rsidR="00107EFC">
        <w:rPr>
          <w:lang w:val="en-GB"/>
        </w:rPr>
        <w:t>s</w:t>
      </w:r>
      <w:r w:rsidR="00CA18B7" w:rsidRPr="006E54A3">
        <w:rPr>
          <w:lang w:val="en-GB"/>
        </w:rPr>
        <w:t>ed phase</w:t>
      </w:r>
      <w:r w:rsidR="00107EFC">
        <w:rPr>
          <w:lang w:val="en-GB"/>
        </w:rPr>
        <w:t> 2</w:t>
      </w:r>
      <w:r w:rsidR="00CA18B7" w:rsidRPr="006E54A3">
        <w:rPr>
          <w:lang w:val="en-GB"/>
        </w:rPr>
        <w:t xml:space="preserve"> trial</w:t>
      </w:r>
      <w:r w:rsidR="006C3043">
        <w:rPr>
          <w:lang w:val="en-GB"/>
        </w:rPr>
        <w:t xml:space="preserve"> </w:t>
      </w:r>
      <w:r w:rsidR="00CA18B7" w:rsidRPr="006E54A3">
        <w:rPr>
          <w:lang w:val="en-GB"/>
        </w:rPr>
        <w:t xml:space="preserve">of </w:t>
      </w:r>
      <w:proofErr w:type="spellStart"/>
      <w:r w:rsidR="00CA18B7" w:rsidRPr="006E54A3">
        <w:rPr>
          <w:lang w:val="en-GB"/>
        </w:rPr>
        <w:t>cabozantinib</w:t>
      </w:r>
      <w:proofErr w:type="spellEnd"/>
      <w:r w:rsidR="00CA18B7" w:rsidRPr="006E54A3">
        <w:rPr>
          <w:lang w:val="en-GB"/>
        </w:rPr>
        <w:t xml:space="preserve"> </w:t>
      </w:r>
      <w:r w:rsidRPr="006E54A3">
        <w:rPr>
          <w:lang w:val="en-GB"/>
        </w:rPr>
        <w:t>[</w:t>
      </w:r>
      <w:r w:rsidR="00CA18B7" w:rsidRPr="006E54A3">
        <w:rPr>
          <w:lang w:val="en-GB"/>
        </w:rPr>
        <w:t>n=79</w:t>
      </w:r>
      <w:r w:rsidRPr="006E54A3">
        <w:rPr>
          <w:lang w:val="en-GB"/>
        </w:rPr>
        <w:t>]</w:t>
      </w:r>
      <w:r w:rsidR="00CA18B7" w:rsidRPr="006E54A3">
        <w:rPr>
          <w:lang w:val="en-GB"/>
        </w:rPr>
        <w:t xml:space="preserve"> </w:t>
      </w:r>
      <w:r w:rsidR="00CB0E4B">
        <w:rPr>
          <w:lang w:val="en-GB"/>
        </w:rPr>
        <w:lastRenderedPageBreak/>
        <w:t>compared with</w:t>
      </w:r>
      <w:r w:rsidR="00CA18B7" w:rsidRPr="006E54A3">
        <w:rPr>
          <w:lang w:val="en-GB"/>
        </w:rPr>
        <w:t xml:space="preserve"> sunitinib </w:t>
      </w:r>
      <w:r w:rsidRPr="006E54A3">
        <w:rPr>
          <w:lang w:val="en-GB"/>
        </w:rPr>
        <w:t>[</w:t>
      </w:r>
      <w:r w:rsidR="00CA18B7" w:rsidRPr="006E54A3">
        <w:rPr>
          <w:lang w:val="en-GB"/>
        </w:rPr>
        <w:t>n=78</w:t>
      </w:r>
      <w:r w:rsidRPr="006E54A3">
        <w:rPr>
          <w:lang w:val="en-GB"/>
        </w:rPr>
        <w:t>]</w:t>
      </w:r>
      <w:r w:rsidR="00CA18B7" w:rsidRPr="006E54A3">
        <w:rPr>
          <w:lang w:val="en-GB"/>
        </w:rPr>
        <w:t xml:space="preserve">). The committee </w:t>
      </w:r>
      <w:r w:rsidR="00FA5771" w:rsidRPr="00DB622F">
        <w:rPr>
          <w:lang w:val="en-GB"/>
        </w:rPr>
        <w:t xml:space="preserve">noted the </w:t>
      </w:r>
      <w:r w:rsidR="00CA18B7" w:rsidRPr="006E54A3">
        <w:rPr>
          <w:lang w:val="en-GB"/>
        </w:rPr>
        <w:t>small sample size of CABOSUN.</w:t>
      </w:r>
      <w:r w:rsidR="00CA18B7" w:rsidRPr="00DB622F">
        <w:rPr>
          <w:lang w:val="en-GB"/>
        </w:rPr>
        <w:t xml:space="preserve"> </w:t>
      </w:r>
      <w:r w:rsidR="00263ABA">
        <w:rPr>
          <w:lang w:val="en-GB"/>
        </w:rPr>
        <w:t xml:space="preserve">Also, </w:t>
      </w:r>
      <w:r w:rsidR="00CA18B7" w:rsidRPr="00DB622F">
        <w:rPr>
          <w:lang w:val="en-GB"/>
        </w:rPr>
        <w:t xml:space="preserve">the </w:t>
      </w:r>
      <w:r w:rsidR="005D6074">
        <w:rPr>
          <w:lang w:val="en-GB"/>
        </w:rPr>
        <w:t>network meta-analysis</w:t>
      </w:r>
      <w:r w:rsidR="00CA18B7" w:rsidRPr="00DB622F">
        <w:rPr>
          <w:lang w:val="en-GB"/>
        </w:rPr>
        <w:t xml:space="preserve"> did not find a significant difference in progression</w:t>
      </w:r>
      <w:r w:rsidR="0068597F">
        <w:rPr>
          <w:lang w:val="en-GB"/>
        </w:rPr>
        <w:t>-</w:t>
      </w:r>
      <w:r w:rsidR="00CA18B7" w:rsidRPr="00DB622F">
        <w:rPr>
          <w:lang w:val="en-GB"/>
        </w:rPr>
        <w:t xml:space="preserve">free survival or overall survival for the indirect comparison of pembrolizumab with </w:t>
      </w:r>
      <w:proofErr w:type="spellStart"/>
      <w:r w:rsidR="00CA18B7" w:rsidRPr="00DB622F">
        <w:rPr>
          <w:lang w:val="en-GB"/>
        </w:rPr>
        <w:t>axitinib</w:t>
      </w:r>
      <w:proofErr w:type="spellEnd"/>
      <w:r w:rsidR="00CA18B7" w:rsidRPr="00DB622F">
        <w:rPr>
          <w:lang w:val="en-GB"/>
        </w:rPr>
        <w:t xml:space="preserve"> and</w:t>
      </w:r>
      <w:r w:rsidRPr="00DB622F">
        <w:rPr>
          <w:lang w:val="en-GB"/>
        </w:rPr>
        <w:t xml:space="preserve"> </w:t>
      </w:r>
      <w:proofErr w:type="spellStart"/>
      <w:r w:rsidRPr="00DB622F">
        <w:rPr>
          <w:lang w:val="en-GB"/>
        </w:rPr>
        <w:t>cabozantinib</w:t>
      </w:r>
      <w:proofErr w:type="spellEnd"/>
      <w:r w:rsidRPr="00DB622F">
        <w:rPr>
          <w:lang w:val="en-GB"/>
        </w:rPr>
        <w:t xml:space="preserve">. </w:t>
      </w:r>
      <w:r w:rsidR="00980FC8" w:rsidRPr="00DB622F">
        <w:rPr>
          <w:lang w:val="en-GB"/>
        </w:rPr>
        <w:t xml:space="preserve">Overall, the committee considered </w:t>
      </w:r>
      <w:r w:rsidR="00FA5771" w:rsidRPr="000956D4">
        <w:rPr>
          <w:lang w:val="en-GB"/>
        </w:rPr>
        <w:t>that the evidence base for the intermediate</w:t>
      </w:r>
      <w:r w:rsidR="00D1131E">
        <w:rPr>
          <w:lang w:val="en-GB"/>
        </w:rPr>
        <w:t xml:space="preserve"> </w:t>
      </w:r>
      <w:r w:rsidR="007E29CD">
        <w:rPr>
          <w:lang w:val="en-GB"/>
        </w:rPr>
        <w:t>and</w:t>
      </w:r>
      <w:r w:rsidR="00994BCD">
        <w:rPr>
          <w:lang w:val="en-GB"/>
        </w:rPr>
        <w:t xml:space="preserve"> </w:t>
      </w:r>
      <w:r w:rsidR="00FA5771" w:rsidRPr="00994BCD">
        <w:rPr>
          <w:lang w:val="en-GB"/>
        </w:rPr>
        <w:t>poor</w:t>
      </w:r>
      <w:r w:rsidR="00D1131E">
        <w:rPr>
          <w:lang w:val="en-GB"/>
        </w:rPr>
        <w:t>-</w:t>
      </w:r>
      <w:r w:rsidR="00FA5771" w:rsidRPr="00994BCD">
        <w:rPr>
          <w:lang w:val="en-GB"/>
        </w:rPr>
        <w:t>risk subgroup was weak</w:t>
      </w:r>
      <w:r w:rsidR="00FA5771" w:rsidRPr="00DB622F">
        <w:rPr>
          <w:lang w:val="en-GB"/>
        </w:rPr>
        <w:t>.</w:t>
      </w:r>
    </w:p>
    <w:p w14:paraId="73807086" w14:textId="2D0B472F" w:rsidR="006772F6" w:rsidRPr="00DB622F" w:rsidRDefault="006772F6" w:rsidP="00643582">
      <w:pPr>
        <w:pStyle w:val="Heading2"/>
      </w:pPr>
      <w:r w:rsidRPr="00DB622F">
        <w:t>Extrapolation of overall survival</w:t>
      </w:r>
    </w:p>
    <w:p w14:paraId="61048D57" w14:textId="1B73DE33" w:rsidR="006772F6" w:rsidRPr="00DB622F" w:rsidRDefault="00460908" w:rsidP="00C52D9A">
      <w:pPr>
        <w:pStyle w:val="Heading3"/>
      </w:pPr>
      <w:r>
        <w:t>There is not robust evidence to support the use of d</w:t>
      </w:r>
      <w:r w:rsidR="006772F6" w:rsidRPr="00DB622F">
        <w:t>ifferent distributions to extrapolate survival for each of the trial arms</w:t>
      </w:r>
    </w:p>
    <w:p w14:paraId="18FFA13E" w14:textId="36624422" w:rsidR="00CD4220" w:rsidRPr="000E28CF" w:rsidRDefault="00207348" w:rsidP="00F72F08">
      <w:pPr>
        <w:pStyle w:val="Numberedlevel2text"/>
        <w:rPr>
          <w:lang w:val="en-GB"/>
        </w:rPr>
      </w:pPr>
      <w:r w:rsidRPr="000E28CF">
        <w:rPr>
          <w:lang w:val="en-GB"/>
        </w:rPr>
        <w:t>Clinical experts</w:t>
      </w:r>
      <w:r w:rsidR="00CD4220" w:rsidRPr="00333C0B">
        <w:rPr>
          <w:lang w:val="en-GB"/>
        </w:rPr>
        <w:t xml:space="preserve"> expected that pembrolizumab </w:t>
      </w:r>
      <w:r w:rsidR="00FD711E" w:rsidRPr="00CD07E1">
        <w:rPr>
          <w:lang w:val="en-GB"/>
        </w:rPr>
        <w:t>with</w:t>
      </w:r>
      <w:r w:rsidR="00CD4220" w:rsidRPr="00B81E20">
        <w:rPr>
          <w:lang w:val="en-GB"/>
        </w:rPr>
        <w:t xml:space="preserve"> </w:t>
      </w:r>
      <w:proofErr w:type="spellStart"/>
      <w:r w:rsidR="00CD4220" w:rsidRPr="00B81E20">
        <w:rPr>
          <w:lang w:val="en-GB"/>
        </w:rPr>
        <w:t>axitinib</w:t>
      </w:r>
      <w:proofErr w:type="spellEnd"/>
      <w:r w:rsidR="00CD4220" w:rsidRPr="00B81E20">
        <w:rPr>
          <w:lang w:val="en-GB"/>
        </w:rPr>
        <w:t xml:space="preserve"> </w:t>
      </w:r>
      <w:r w:rsidRPr="00B81E20">
        <w:rPr>
          <w:lang w:val="en-GB"/>
        </w:rPr>
        <w:t xml:space="preserve">would </w:t>
      </w:r>
      <w:r w:rsidR="00CD4220" w:rsidRPr="00B81E20">
        <w:rPr>
          <w:lang w:val="en-GB"/>
        </w:rPr>
        <w:t>offer a durable response</w:t>
      </w:r>
      <w:r w:rsidR="003908AC">
        <w:rPr>
          <w:lang w:val="en-GB"/>
        </w:rPr>
        <w:t>,</w:t>
      </w:r>
      <w:r w:rsidR="00CD4220" w:rsidRPr="00B81E20">
        <w:rPr>
          <w:lang w:val="en-GB"/>
        </w:rPr>
        <w:t xml:space="preserve"> </w:t>
      </w:r>
      <w:r w:rsidR="00772642" w:rsidRPr="000E28CF">
        <w:rPr>
          <w:lang w:val="en-GB"/>
        </w:rPr>
        <w:t>but</w:t>
      </w:r>
      <w:r w:rsidR="00CD4220" w:rsidRPr="000E28CF">
        <w:rPr>
          <w:lang w:val="en-GB"/>
        </w:rPr>
        <w:t xml:space="preserve"> </w:t>
      </w:r>
      <w:r w:rsidR="00CA3207" w:rsidRPr="000E28CF">
        <w:rPr>
          <w:lang w:val="en-GB"/>
        </w:rPr>
        <w:t xml:space="preserve">they </w:t>
      </w:r>
      <w:r w:rsidR="00CD4220" w:rsidRPr="000E28CF">
        <w:rPr>
          <w:lang w:val="en-GB"/>
        </w:rPr>
        <w:t xml:space="preserve">were </w:t>
      </w:r>
      <w:r w:rsidR="001B47CA" w:rsidRPr="000E28CF">
        <w:rPr>
          <w:lang w:val="en-GB"/>
        </w:rPr>
        <w:t xml:space="preserve">not </w:t>
      </w:r>
      <w:r w:rsidR="00CD4220" w:rsidRPr="000E28CF">
        <w:rPr>
          <w:lang w:val="en-GB"/>
        </w:rPr>
        <w:t>c</w:t>
      </w:r>
      <w:r w:rsidR="00FD6C73" w:rsidRPr="000E28CF">
        <w:rPr>
          <w:lang w:val="en-GB"/>
        </w:rPr>
        <w:t>ertain</w:t>
      </w:r>
      <w:r w:rsidR="00CD4220" w:rsidRPr="000E28CF">
        <w:rPr>
          <w:lang w:val="en-GB"/>
        </w:rPr>
        <w:t xml:space="preserve"> </w:t>
      </w:r>
      <w:r w:rsidR="00FD6C73" w:rsidRPr="000E28CF">
        <w:rPr>
          <w:lang w:val="en-GB"/>
        </w:rPr>
        <w:t>about</w:t>
      </w:r>
      <w:r w:rsidR="00CD4220" w:rsidRPr="000E28CF">
        <w:rPr>
          <w:lang w:val="en-GB"/>
        </w:rPr>
        <w:t xml:space="preserve"> the </w:t>
      </w:r>
      <w:r w:rsidR="001B47CA" w:rsidRPr="000E28CF">
        <w:rPr>
          <w:lang w:val="en-GB"/>
        </w:rPr>
        <w:t xml:space="preserve">size </w:t>
      </w:r>
      <w:r w:rsidR="00CD4220" w:rsidRPr="000E28CF">
        <w:rPr>
          <w:lang w:val="en-GB"/>
        </w:rPr>
        <w:t xml:space="preserve">of </w:t>
      </w:r>
      <w:r w:rsidR="00DF6542" w:rsidRPr="000E28CF">
        <w:rPr>
          <w:lang w:val="en-GB"/>
        </w:rPr>
        <w:t xml:space="preserve">the </w:t>
      </w:r>
      <w:r w:rsidR="00CD4220" w:rsidRPr="000E28CF">
        <w:rPr>
          <w:lang w:val="en-GB"/>
        </w:rPr>
        <w:t xml:space="preserve">response. </w:t>
      </w:r>
      <w:r w:rsidR="00CA3207" w:rsidRPr="000E28CF">
        <w:rPr>
          <w:lang w:val="en-GB"/>
        </w:rPr>
        <w:t>The</w:t>
      </w:r>
      <w:r w:rsidR="00F602FA" w:rsidRPr="000E28CF">
        <w:rPr>
          <w:lang w:val="en-GB"/>
        </w:rPr>
        <w:t>y</w:t>
      </w:r>
      <w:r w:rsidR="00CD4220" w:rsidRPr="000E28CF">
        <w:rPr>
          <w:lang w:val="en-GB"/>
        </w:rPr>
        <w:t xml:space="preserve"> </w:t>
      </w:r>
      <w:r w:rsidRPr="000E28CF">
        <w:rPr>
          <w:lang w:val="en-GB"/>
        </w:rPr>
        <w:t>suggested</w:t>
      </w:r>
      <w:r w:rsidR="00CA3207" w:rsidRPr="000E28CF">
        <w:rPr>
          <w:lang w:val="en-GB"/>
        </w:rPr>
        <w:t xml:space="preserve"> </w:t>
      </w:r>
      <w:r w:rsidR="00CD4220" w:rsidRPr="000E28CF">
        <w:rPr>
          <w:lang w:val="en-GB"/>
        </w:rPr>
        <w:t xml:space="preserve">that a different survival trajectory between pembrolizumab </w:t>
      </w:r>
      <w:r w:rsidR="00FA5771" w:rsidRPr="000E28CF">
        <w:rPr>
          <w:lang w:val="en-GB"/>
        </w:rPr>
        <w:t xml:space="preserve">with </w:t>
      </w:r>
      <w:proofErr w:type="spellStart"/>
      <w:r w:rsidR="00CD4220" w:rsidRPr="000E28CF">
        <w:rPr>
          <w:lang w:val="en-GB"/>
        </w:rPr>
        <w:t>axitinib</w:t>
      </w:r>
      <w:proofErr w:type="spellEnd"/>
      <w:r w:rsidR="00CD4220" w:rsidRPr="000E28CF">
        <w:rPr>
          <w:lang w:val="en-GB"/>
        </w:rPr>
        <w:t xml:space="preserve"> and sunitinib could be expected</w:t>
      </w:r>
      <w:r w:rsidR="00FE7DDF" w:rsidRPr="000E28CF">
        <w:rPr>
          <w:lang w:val="en-GB"/>
        </w:rPr>
        <w:t>. This was</w:t>
      </w:r>
      <w:r w:rsidR="00CD4220" w:rsidRPr="000E28CF">
        <w:rPr>
          <w:lang w:val="en-GB"/>
        </w:rPr>
        <w:t xml:space="preserve"> because of the differences in the biological mode of action</w:t>
      </w:r>
      <w:r w:rsidRPr="000E28CF">
        <w:rPr>
          <w:lang w:val="en-GB"/>
        </w:rPr>
        <w:t xml:space="preserve"> between an immunotherapy and a TKI</w:t>
      </w:r>
      <w:r w:rsidR="00CD4220" w:rsidRPr="000E28CF">
        <w:rPr>
          <w:lang w:val="en-GB"/>
        </w:rPr>
        <w:t xml:space="preserve">. </w:t>
      </w:r>
      <w:r w:rsidRPr="000E28CF">
        <w:rPr>
          <w:lang w:val="en-GB"/>
        </w:rPr>
        <w:t>The</w:t>
      </w:r>
      <w:r w:rsidR="008A3ABC" w:rsidRPr="000E28CF">
        <w:rPr>
          <w:lang w:val="en-GB"/>
        </w:rPr>
        <w:t xml:space="preserve"> clinical experts</w:t>
      </w:r>
      <w:r w:rsidRPr="000E28CF">
        <w:rPr>
          <w:lang w:val="en-GB"/>
        </w:rPr>
        <w:t xml:space="preserve"> </w:t>
      </w:r>
      <w:r w:rsidR="00CD4220" w:rsidRPr="000E28CF">
        <w:rPr>
          <w:lang w:val="en-GB"/>
        </w:rPr>
        <w:t xml:space="preserve">explained that </w:t>
      </w:r>
      <w:r w:rsidR="003C46E3" w:rsidRPr="000E28CF">
        <w:rPr>
          <w:lang w:val="en-GB"/>
        </w:rPr>
        <w:t>i</w:t>
      </w:r>
      <w:r w:rsidR="00CD4220" w:rsidRPr="000E28CF">
        <w:rPr>
          <w:lang w:val="en-GB"/>
        </w:rPr>
        <w:t>mmunotherapy was expected to</w:t>
      </w:r>
      <w:r w:rsidR="002775E8" w:rsidRPr="000E28CF">
        <w:rPr>
          <w:lang w:val="en-GB"/>
        </w:rPr>
        <w:t xml:space="preserve"> not only</w:t>
      </w:r>
      <w:r w:rsidR="00CD4220" w:rsidRPr="000E28CF">
        <w:rPr>
          <w:lang w:val="en-GB"/>
        </w:rPr>
        <w:t xml:space="preserve"> </w:t>
      </w:r>
      <w:r w:rsidR="002775E8" w:rsidRPr="000E28CF">
        <w:rPr>
          <w:lang w:val="en-GB"/>
        </w:rPr>
        <w:t>attack and kill the cancer cells, but also re</w:t>
      </w:r>
      <w:r w:rsidR="00614E82" w:rsidRPr="000E28CF">
        <w:rPr>
          <w:lang w:val="en-GB"/>
        </w:rPr>
        <w:t>-</w:t>
      </w:r>
      <w:r w:rsidR="002775E8" w:rsidRPr="000E28CF">
        <w:rPr>
          <w:lang w:val="en-GB"/>
        </w:rPr>
        <w:t xml:space="preserve">programme the immune system to recognise and adapt to attack and kill future cancer cells. </w:t>
      </w:r>
      <w:r w:rsidR="0016714B" w:rsidRPr="000E28CF">
        <w:rPr>
          <w:lang w:val="en-GB"/>
        </w:rPr>
        <w:t>This mode of action differed from a single TKI</w:t>
      </w:r>
      <w:r w:rsidR="00FA5771" w:rsidRPr="000E28CF">
        <w:rPr>
          <w:lang w:val="en-GB"/>
        </w:rPr>
        <w:t>.</w:t>
      </w:r>
      <w:r w:rsidR="0016714B" w:rsidRPr="000E28CF">
        <w:rPr>
          <w:lang w:val="en-GB"/>
        </w:rPr>
        <w:t xml:space="preserve"> </w:t>
      </w:r>
      <w:r w:rsidR="00FA5771" w:rsidRPr="000E28CF">
        <w:rPr>
          <w:lang w:val="en-GB"/>
        </w:rPr>
        <w:t>T</w:t>
      </w:r>
      <w:r w:rsidR="0016714B" w:rsidRPr="000E28CF">
        <w:rPr>
          <w:lang w:val="en-GB"/>
        </w:rPr>
        <w:t>he clinical experts support</w:t>
      </w:r>
      <w:r w:rsidR="00FA5771" w:rsidRPr="000E28CF">
        <w:rPr>
          <w:lang w:val="en-GB"/>
        </w:rPr>
        <w:t>ed</w:t>
      </w:r>
      <w:r w:rsidR="0016714B" w:rsidRPr="000E28CF">
        <w:rPr>
          <w:lang w:val="en-GB"/>
        </w:rPr>
        <w:t xml:space="preserve"> an expect</w:t>
      </w:r>
      <w:r w:rsidR="00D1380E" w:rsidRPr="000E28CF">
        <w:rPr>
          <w:lang w:val="en-GB"/>
        </w:rPr>
        <w:t xml:space="preserve">ed </w:t>
      </w:r>
      <w:r w:rsidR="0016714B" w:rsidRPr="000E28CF">
        <w:rPr>
          <w:lang w:val="en-GB"/>
        </w:rPr>
        <w:t xml:space="preserve">durable sustained response </w:t>
      </w:r>
      <w:r w:rsidR="00D1380E" w:rsidRPr="000E28CF">
        <w:rPr>
          <w:lang w:val="en-GB"/>
        </w:rPr>
        <w:t>after</w:t>
      </w:r>
      <w:r w:rsidR="0016714B" w:rsidRPr="000E28CF">
        <w:rPr>
          <w:lang w:val="en-GB"/>
        </w:rPr>
        <w:t xml:space="preserve"> treatment </w:t>
      </w:r>
      <w:r w:rsidR="00FA5771" w:rsidRPr="000E28CF">
        <w:rPr>
          <w:lang w:val="en-GB"/>
        </w:rPr>
        <w:t xml:space="preserve">that </w:t>
      </w:r>
      <w:r w:rsidR="0016714B" w:rsidRPr="000E28CF">
        <w:rPr>
          <w:lang w:val="en-GB"/>
        </w:rPr>
        <w:t>was not expected with treatment from a single TKI.</w:t>
      </w:r>
      <w:r w:rsidR="00556845" w:rsidRPr="000E28CF">
        <w:rPr>
          <w:lang w:val="en-GB"/>
        </w:rPr>
        <w:t xml:space="preserve"> </w:t>
      </w:r>
      <w:r w:rsidR="00460908">
        <w:rPr>
          <w:lang w:val="en-GB"/>
        </w:rPr>
        <w:t>However,</w:t>
      </w:r>
      <w:r w:rsidR="003908AC">
        <w:rPr>
          <w:lang w:val="en-GB"/>
        </w:rPr>
        <w:t xml:space="preserve"> </w:t>
      </w:r>
      <w:r w:rsidR="00460908">
        <w:rPr>
          <w:lang w:val="en-GB"/>
        </w:rPr>
        <w:t>t</w:t>
      </w:r>
      <w:r w:rsidR="00460908" w:rsidRPr="00460908">
        <w:rPr>
          <w:lang w:val="en-GB"/>
        </w:rPr>
        <w:t>he NICE D</w:t>
      </w:r>
      <w:r w:rsidR="00460908">
        <w:rPr>
          <w:lang w:val="en-GB"/>
        </w:rPr>
        <w:t xml:space="preserve">ecision </w:t>
      </w:r>
      <w:r w:rsidR="00460908" w:rsidRPr="00460908">
        <w:rPr>
          <w:lang w:val="en-GB"/>
        </w:rPr>
        <w:t>S</w:t>
      </w:r>
      <w:r w:rsidR="00460908">
        <w:rPr>
          <w:lang w:val="en-GB"/>
        </w:rPr>
        <w:t xml:space="preserve">upport </w:t>
      </w:r>
      <w:r w:rsidR="00460908" w:rsidRPr="00460908">
        <w:rPr>
          <w:lang w:val="en-GB"/>
        </w:rPr>
        <w:t>U</w:t>
      </w:r>
      <w:r w:rsidR="00460908">
        <w:rPr>
          <w:lang w:val="en-GB"/>
        </w:rPr>
        <w:t>nit</w:t>
      </w:r>
      <w:r w:rsidR="00460908" w:rsidRPr="00460908">
        <w:rPr>
          <w:lang w:val="en-GB"/>
        </w:rPr>
        <w:t xml:space="preserve"> technical support document</w:t>
      </w:r>
      <w:r w:rsidR="00470F0A">
        <w:rPr>
          <w:lang w:val="en-GB"/>
        </w:rPr>
        <w:t> </w:t>
      </w:r>
      <w:r w:rsidR="00460908" w:rsidRPr="00460908">
        <w:rPr>
          <w:lang w:val="en-GB"/>
        </w:rPr>
        <w:t xml:space="preserve">14 advises that both arms should have the same extrapolation distribution unless </w:t>
      </w:r>
      <w:r w:rsidR="006C143A">
        <w:rPr>
          <w:lang w:val="en-GB"/>
        </w:rPr>
        <w:t xml:space="preserve">there is </w:t>
      </w:r>
      <w:r w:rsidR="00460908" w:rsidRPr="00460908">
        <w:rPr>
          <w:lang w:val="en-GB"/>
        </w:rPr>
        <w:t xml:space="preserve">substantial justification. </w:t>
      </w:r>
      <w:r w:rsidR="00460908">
        <w:rPr>
          <w:lang w:val="en-GB"/>
        </w:rPr>
        <w:t>The</w:t>
      </w:r>
      <w:r w:rsidR="00522A60">
        <w:rPr>
          <w:lang w:val="en-GB"/>
        </w:rPr>
        <w:t>re was</w:t>
      </w:r>
      <w:r w:rsidR="00460908">
        <w:rPr>
          <w:lang w:val="en-GB"/>
        </w:rPr>
        <w:t xml:space="preserve"> theoretical justification to use different distributions for each of the trial arms</w:t>
      </w:r>
      <w:r w:rsidR="00744CE6">
        <w:rPr>
          <w:lang w:val="en-GB"/>
        </w:rPr>
        <w:t>.</w:t>
      </w:r>
      <w:r w:rsidR="00460908">
        <w:rPr>
          <w:lang w:val="en-GB"/>
        </w:rPr>
        <w:t xml:space="preserve"> </w:t>
      </w:r>
      <w:r w:rsidR="00744CE6">
        <w:rPr>
          <w:lang w:val="en-GB"/>
        </w:rPr>
        <w:t>However,</w:t>
      </w:r>
      <w:r w:rsidR="00460908">
        <w:rPr>
          <w:lang w:val="en-GB"/>
        </w:rPr>
        <w:t xml:space="preserve"> there is no robust evidence to support the argument</w:t>
      </w:r>
      <w:r w:rsidR="00C67771">
        <w:rPr>
          <w:lang w:val="en-GB"/>
        </w:rPr>
        <w:t xml:space="preserve"> that the different mode of action of the drugs would result in different survival trajectories.</w:t>
      </w:r>
      <w:r w:rsidR="00460908">
        <w:rPr>
          <w:lang w:val="en-GB"/>
        </w:rPr>
        <w:t xml:space="preserve"> </w:t>
      </w:r>
      <w:r w:rsidR="00C67771">
        <w:rPr>
          <w:lang w:val="en-GB"/>
        </w:rPr>
        <w:t xml:space="preserve">The committee </w:t>
      </w:r>
      <w:r w:rsidR="002775E8" w:rsidRPr="000E28CF">
        <w:rPr>
          <w:lang w:val="en-GB"/>
        </w:rPr>
        <w:t>acknowledged</w:t>
      </w:r>
      <w:r w:rsidR="00CD4220" w:rsidRPr="000E28CF">
        <w:rPr>
          <w:lang w:val="en-GB"/>
        </w:rPr>
        <w:t xml:space="preserve"> that the overall survival data w</w:t>
      </w:r>
      <w:r w:rsidR="00786D4D" w:rsidRPr="000E28CF">
        <w:rPr>
          <w:lang w:val="en-GB"/>
        </w:rPr>
        <w:t>ere</w:t>
      </w:r>
      <w:r w:rsidR="00CD4220" w:rsidRPr="000E28CF">
        <w:rPr>
          <w:lang w:val="en-GB"/>
        </w:rPr>
        <w:t xml:space="preserve"> immature</w:t>
      </w:r>
      <w:r w:rsidR="00C67771">
        <w:rPr>
          <w:lang w:val="en-GB"/>
        </w:rPr>
        <w:t xml:space="preserve"> and therefore felt it was appropriate to consider various scenarios presented, inclu</w:t>
      </w:r>
      <w:r w:rsidR="007C6D08">
        <w:rPr>
          <w:lang w:val="en-GB"/>
        </w:rPr>
        <w:t>ding</w:t>
      </w:r>
      <w:r w:rsidR="00C67771">
        <w:rPr>
          <w:lang w:val="en-GB"/>
        </w:rPr>
        <w:t xml:space="preserve"> analyses whe</w:t>
      </w:r>
      <w:r w:rsidR="00326F22">
        <w:rPr>
          <w:lang w:val="en-GB"/>
        </w:rPr>
        <w:t>n</w:t>
      </w:r>
      <w:r w:rsidR="00C67771">
        <w:rPr>
          <w:lang w:val="en-GB"/>
        </w:rPr>
        <w:t xml:space="preserve"> different distributions </w:t>
      </w:r>
      <w:r w:rsidR="00882A11">
        <w:rPr>
          <w:lang w:val="en-GB"/>
        </w:rPr>
        <w:t>were</w:t>
      </w:r>
      <w:r w:rsidR="00C67771">
        <w:rPr>
          <w:lang w:val="en-GB"/>
        </w:rPr>
        <w:t xml:space="preserve"> applied. However, </w:t>
      </w:r>
      <w:r w:rsidR="00D040E7">
        <w:rPr>
          <w:lang w:val="en-GB"/>
        </w:rPr>
        <w:t>it</w:t>
      </w:r>
      <w:r w:rsidR="00C67771">
        <w:rPr>
          <w:lang w:val="en-GB"/>
        </w:rPr>
        <w:t xml:space="preserve"> </w:t>
      </w:r>
      <w:r w:rsidR="00A2127D">
        <w:rPr>
          <w:lang w:val="en-GB"/>
        </w:rPr>
        <w:t xml:space="preserve">concluded that there was </w:t>
      </w:r>
      <w:r w:rsidR="00C67771">
        <w:rPr>
          <w:lang w:val="en-GB"/>
        </w:rPr>
        <w:t xml:space="preserve">insufficient robust evidence </w:t>
      </w:r>
      <w:r w:rsidR="00C67771">
        <w:rPr>
          <w:lang w:val="en-GB"/>
        </w:rPr>
        <w:lastRenderedPageBreak/>
        <w:t>to justify</w:t>
      </w:r>
      <w:r w:rsidR="00D42DE2">
        <w:rPr>
          <w:lang w:val="en-GB"/>
        </w:rPr>
        <w:t xml:space="preserve"> using</w:t>
      </w:r>
      <w:r w:rsidR="00CD4220" w:rsidRPr="000E28CF">
        <w:rPr>
          <w:lang w:val="en-GB"/>
        </w:rPr>
        <w:t xml:space="preserve"> different distributions</w:t>
      </w:r>
      <w:r w:rsidR="00A2127D">
        <w:rPr>
          <w:lang w:val="en-GB"/>
        </w:rPr>
        <w:t xml:space="preserve"> </w:t>
      </w:r>
      <w:r w:rsidR="00CD4220" w:rsidRPr="000E28CF">
        <w:rPr>
          <w:lang w:val="en-GB"/>
        </w:rPr>
        <w:t>to extrapolate survival for each of the trial arms.</w:t>
      </w:r>
    </w:p>
    <w:p w14:paraId="571A908C" w14:textId="7E832467" w:rsidR="000D480B" w:rsidRPr="00DB622F" w:rsidRDefault="000D480B" w:rsidP="000D480B">
      <w:pPr>
        <w:pStyle w:val="Heading3"/>
      </w:pPr>
      <w:r w:rsidRPr="00DB622F">
        <w:t xml:space="preserve">The </w:t>
      </w:r>
      <w:r w:rsidR="00391D44">
        <w:t>l</w:t>
      </w:r>
      <w:r w:rsidRPr="00DB622F">
        <w:t xml:space="preserve">og-logistic distribution </w:t>
      </w:r>
      <w:r w:rsidR="006B2B20" w:rsidRPr="00DB622F">
        <w:t xml:space="preserve">and the company model structure </w:t>
      </w:r>
      <w:r w:rsidR="004F15FF">
        <w:t>give</w:t>
      </w:r>
      <w:r w:rsidR="004F15FF" w:rsidRPr="00DB622F">
        <w:t xml:space="preserve"> </w:t>
      </w:r>
      <w:r w:rsidRPr="00DB622F">
        <w:t>optimistic estimates of survival</w:t>
      </w:r>
    </w:p>
    <w:p w14:paraId="31284212" w14:textId="72DC8D9D" w:rsidR="000D480B" w:rsidRPr="000956D4" w:rsidRDefault="002F621D" w:rsidP="000D480B">
      <w:pPr>
        <w:pStyle w:val="Numberedlevel2text"/>
        <w:rPr>
          <w:lang w:val="en-GB"/>
        </w:rPr>
      </w:pPr>
      <w:bookmarkStart w:id="4" w:name="_Ref31654841"/>
      <w:r>
        <w:rPr>
          <w:lang w:val="en-GB"/>
        </w:rPr>
        <w:t>T</w:t>
      </w:r>
      <w:r w:rsidR="00FA5771" w:rsidRPr="00DB622F">
        <w:rPr>
          <w:lang w:val="en-GB"/>
        </w:rPr>
        <w:t xml:space="preserve">he committee considered </w:t>
      </w:r>
      <w:r w:rsidR="00207348" w:rsidRPr="00042EAC">
        <w:rPr>
          <w:lang w:val="en-GB"/>
        </w:rPr>
        <w:t xml:space="preserve">which distribution was the most appropriate to model the overall survival </w:t>
      </w:r>
      <w:r w:rsidR="00E13845">
        <w:rPr>
          <w:lang w:val="en-GB"/>
        </w:rPr>
        <w:t>for</w:t>
      </w:r>
      <w:r w:rsidR="00207348" w:rsidRPr="00042EAC">
        <w:rPr>
          <w:lang w:val="en-GB"/>
        </w:rPr>
        <w:t xml:space="preserve"> pembrolizumab with </w:t>
      </w:r>
      <w:proofErr w:type="spellStart"/>
      <w:r w:rsidR="00207348" w:rsidRPr="00042EAC">
        <w:rPr>
          <w:lang w:val="en-GB"/>
        </w:rPr>
        <w:t>axitinib</w:t>
      </w:r>
      <w:proofErr w:type="spellEnd"/>
      <w:r w:rsidR="00207348" w:rsidRPr="00042EAC">
        <w:rPr>
          <w:lang w:val="en-GB"/>
        </w:rPr>
        <w:t xml:space="preserve">. </w:t>
      </w:r>
      <w:r w:rsidR="00C02FE4">
        <w:rPr>
          <w:lang w:val="en-GB"/>
        </w:rPr>
        <w:t>T</w:t>
      </w:r>
      <w:r w:rsidR="000D480B" w:rsidRPr="00042EAC">
        <w:rPr>
          <w:lang w:val="en-GB"/>
        </w:rPr>
        <w:t xml:space="preserve">he </w:t>
      </w:r>
      <w:r w:rsidR="001067B2">
        <w:rPr>
          <w:lang w:val="en-GB"/>
        </w:rPr>
        <w:t>l</w:t>
      </w:r>
      <w:r w:rsidR="000D480B" w:rsidRPr="00042EAC">
        <w:rPr>
          <w:lang w:val="en-GB"/>
        </w:rPr>
        <w:t xml:space="preserve">og-logistic distribution </w:t>
      </w:r>
      <w:r w:rsidR="00FE5D13">
        <w:rPr>
          <w:lang w:val="en-GB"/>
        </w:rPr>
        <w:t xml:space="preserve">used </w:t>
      </w:r>
      <w:r w:rsidR="001067B2">
        <w:rPr>
          <w:lang w:val="en-GB"/>
        </w:rPr>
        <w:t xml:space="preserve">had </w:t>
      </w:r>
      <w:r w:rsidR="000D480B" w:rsidRPr="00042EAC">
        <w:rPr>
          <w:lang w:val="en-GB"/>
        </w:rPr>
        <w:t xml:space="preserve">optimistic survival estimates </w:t>
      </w:r>
      <w:r w:rsidR="001067B2">
        <w:rPr>
          <w:lang w:val="en-GB"/>
        </w:rPr>
        <w:t>compared</w:t>
      </w:r>
      <w:r w:rsidR="000D480B" w:rsidRPr="00042EAC">
        <w:rPr>
          <w:lang w:val="en-GB"/>
        </w:rPr>
        <w:t xml:space="preserve"> with clinical estimates.</w:t>
      </w:r>
      <w:r w:rsidR="003C027B" w:rsidRPr="00DB622F">
        <w:rPr>
          <w:lang w:val="en-GB"/>
        </w:rPr>
        <w:t xml:space="preserve"> </w:t>
      </w:r>
      <w:r w:rsidR="002B141D" w:rsidRPr="00DB622F">
        <w:rPr>
          <w:lang w:val="en-GB"/>
        </w:rPr>
        <w:t>The committee noted that clinical estimations m</w:t>
      </w:r>
      <w:r w:rsidR="008F71BB">
        <w:rPr>
          <w:lang w:val="en-GB"/>
        </w:rPr>
        <w:t>ight</w:t>
      </w:r>
      <w:r w:rsidR="002B141D" w:rsidRPr="00DB622F">
        <w:rPr>
          <w:lang w:val="en-GB"/>
        </w:rPr>
        <w:t xml:space="preserve"> not factor in assumptions </w:t>
      </w:r>
      <w:r w:rsidR="00F10CAF">
        <w:rPr>
          <w:lang w:val="en-GB"/>
        </w:rPr>
        <w:t>about</w:t>
      </w:r>
      <w:r w:rsidR="00F10CAF" w:rsidRPr="00DB622F">
        <w:rPr>
          <w:lang w:val="en-GB"/>
        </w:rPr>
        <w:t xml:space="preserve"> </w:t>
      </w:r>
      <w:r w:rsidR="002B141D" w:rsidRPr="00DB622F">
        <w:rPr>
          <w:lang w:val="en-GB"/>
        </w:rPr>
        <w:t>treatment duration or a stopping rule</w:t>
      </w:r>
      <w:r w:rsidR="00AE0ECB">
        <w:rPr>
          <w:lang w:val="en-GB"/>
        </w:rPr>
        <w:t>.</w:t>
      </w:r>
      <w:r w:rsidR="002B141D" w:rsidRPr="00DB622F">
        <w:rPr>
          <w:lang w:val="en-GB"/>
        </w:rPr>
        <w:t xml:space="preserve"> </w:t>
      </w:r>
      <w:r w:rsidR="00AE0ECB">
        <w:rPr>
          <w:lang w:val="en-GB"/>
        </w:rPr>
        <w:t>So,</w:t>
      </w:r>
      <w:r w:rsidR="002B141D" w:rsidRPr="00DB622F">
        <w:rPr>
          <w:lang w:val="en-GB"/>
        </w:rPr>
        <w:t xml:space="preserve"> </w:t>
      </w:r>
      <w:r w:rsidR="00AE0ECB">
        <w:rPr>
          <w:lang w:val="en-GB"/>
        </w:rPr>
        <w:t xml:space="preserve">they </w:t>
      </w:r>
      <w:r w:rsidR="002B141D" w:rsidRPr="00DB622F">
        <w:rPr>
          <w:lang w:val="en-GB"/>
        </w:rPr>
        <w:t xml:space="preserve">may not be directly comparable or </w:t>
      </w:r>
      <w:r w:rsidR="000D2AC6">
        <w:rPr>
          <w:lang w:val="en-GB"/>
        </w:rPr>
        <w:t>suitable</w:t>
      </w:r>
      <w:r w:rsidR="000D2AC6" w:rsidRPr="00DB622F">
        <w:rPr>
          <w:lang w:val="en-GB"/>
        </w:rPr>
        <w:t xml:space="preserve"> </w:t>
      </w:r>
      <w:r w:rsidR="002B141D" w:rsidRPr="00DB622F">
        <w:rPr>
          <w:lang w:val="en-GB"/>
        </w:rPr>
        <w:t xml:space="preserve">to inform the model. </w:t>
      </w:r>
      <w:r w:rsidR="000D480B" w:rsidRPr="00994BCD">
        <w:rPr>
          <w:lang w:val="en-GB"/>
        </w:rPr>
        <w:t>The committee also examined the progression</w:t>
      </w:r>
      <w:r w:rsidR="005C0EC4">
        <w:rPr>
          <w:lang w:val="en-GB"/>
        </w:rPr>
        <w:t>-</w:t>
      </w:r>
      <w:r w:rsidR="000D480B" w:rsidRPr="00994BCD">
        <w:rPr>
          <w:lang w:val="en-GB"/>
        </w:rPr>
        <w:t>free survival data and survival curves from KEYNOTE</w:t>
      </w:r>
      <w:r w:rsidR="004D3005">
        <w:rPr>
          <w:lang w:val="en-GB"/>
        </w:rPr>
        <w:noBreakHyphen/>
      </w:r>
      <w:r w:rsidR="000D480B" w:rsidRPr="00994BCD">
        <w:rPr>
          <w:lang w:val="en-GB"/>
        </w:rPr>
        <w:t xml:space="preserve">426, noting that </w:t>
      </w:r>
      <w:r w:rsidR="000D480B" w:rsidRPr="000956D4">
        <w:rPr>
          <w:lang w:val="en-GB"/>
        </w:rPr>
        <w:t>there was data for approximately 20</w:t>
      </w:r>
      <w:r w:rsidR="009A4743">
        <w:rPr>
          <w:lang w:val="en-GB"/>
        </w:rPr>
        <w:t> </w:t>
      </w:r>
      <w:r w:rsidR="000D480B" w:rsidRPr="000956D4">
        <w:rPr>
          <w:lang w:val="en-GB"/>
        </w:rPr>
        <w:t xml:space="preserve">months of follow up. </w:t>
      </w:r>
      <w:r w:rsidR="007D53B8">
        <w:rPr>
          <w:lang w:val="en-GB"/>
        </w:rPr>
        <w:t>It</w:t>
      </w:r>
      <w:r w:rsidR="007D53B8" w:rsidRPr="000956D4">
        <w:rPr>
          <w:lang w:val="en-GB"/>
        </w:rPr>
        <w:t xml:space="preserve"> </w:t>
      </w:r>
      <w:r w:rsidR="000D480B" w:rsidRPr="000956D4">
        <w:rPr>
          <w:lang w:val="en-GB"/>
        </w:rPr>
        <w:t xml:space="preserve">also noted that disease had progressed in </w:t>
      </w:r>
      <w:r w:rsidR="004A1BB8">
        <w:rPr>
          <w:lang w:val="en-GB"/>
        </w:rPr>
        <w:t>most</w:t>
      </w:r>
      <w:r w:rsidR="000D480B" w:rsidRPr="000956D4">
        <w:rPr>
          <w:lang w:val="en-GB"/>
        </w:rPr>
        <w:t xml:space="preserve"> people before 20</w:t>
      </w:r>
      <w:r w:rsidR="00471B0A">
        <w:rPr>
          <w:lang w:val="en-GB"/>
        </w:rPr>
        <w:t> </w:t>
      </w:r>
      <w:r w:rsidR="000D480B" w:rsidRPr="000956D4">
        <w:rPr>
          <w:lang w:val="en-GB"/>
        </w:rPr>
        <w:t>months</w:t>
      </w:r>
      <w:r w:rsidR="00892A93">
        <w:rPr>
          <w:lang w:val="en-GB"/>
        </w:rPr>
        <w:t>,</w:t>
      </w:r>
      <w:r w:rsidR="000D480B" w:rsidRPr="000956D4">
        <w:rPr>
          <w:lang w:val="en-GB"/>
        </w:rPr>
        <w:t xml:space="preserve"> regardless of treatment</w:t>
      </w:r>
      <w:r w:rsidR="00892A93">
        <w:rPr>
          <w:lang w:val="en-GB"/>
        </w:rPr>
        <w:t>.</w:t>
      </w:r>
      <w:r w:rsidR="000D480B" w:rsidRPr="000956D4">
        <w:rPr>
          <w:lang w:val="en-GB"/>
        </w:rPr>
        <w:t xml:space="preserve"> </w:t>
      </w:r>
      <w:r w:rsidR="00892A93">
        <w:rPr>
          <w:lang w:val="en-GB"/>
        </w:rPr>
        <w:t xml:space="preserve">This </w:t>
      </w:r>
      <w:r w:rsidR="000D480B" w:rsidRPr="000956D4">
        <w:rPr>
          <w:lang w:val="en-GB"/>
        </w:rPr>
        <w:t>le</w:t>
      </w:r>
      <w:r w:rsidR="00892A93">
        <w:rPr>
          <w:lang w:val="en-GB"/>
        </w:rPr>
        <w:t>d</w:t>
      </w:r>
      <w:r w:rsidR="000D480B" w:rsidRPr="000956D4">
        <w:rPr>
          <w:lang w:val="en-GB"/>
        </w:rPr>
        <w:t xml:space="preserve"> the committee to question both the </w:t>
      </w:r>
      <w:r w:rsidR="00892A93">
        <w:rPr>
          <w:lang w:val="en-GB"/>
        </w:rPr>
        <w:t>size</w:t>
      </w:r>
      <w:r w:rsidR="00892A93" w:rsidRPr="000956D4">
        <w:rPr>
          <w:lang w:val="en-GB"/>
        </w:rPr>
        <w:t xml:space="preserve"> </w:t>
      </w:r>
      <w:r w:rsidR="000D480B" w:rsidRPr="000956D4">
        <w:rPr>
          <w:lang w:val="en-GB"/>
        </w:rPr>
        <w:t xml:space="preserve">and </w:t>
      </w:r>
      <w:r w:rsidR="00892A93">
        <w:rPr>
          <w:lang w:val="en-GB"/>
        </w:rPr>
        <w:t>length</w:t>
      </w:r>
      <w:r w:rsidR="000D480B" w:rsidRPr="000956D4">
        <w:rPr>
          <w:lang w:val="en-GB"/>
        </w:rPr>
        <w:t xml:space="preserve"> of response</w:t>
      </w:r>
      <w:r w:rsidR="00A2127D">
        <w:rPr>
          <w:lang w:val="en-GB"/>
        </w:rPr>
        <w:t>, and given this, whether it was valid to assume different survival trajectories for the different treatments.</w:t>
      </w:r>
      <w:r w:rsidR="000D480B" w:rsidRPr="00DB622F">
        <w:rPr>
          <w:lang w:val="en-GB"/>
        </w:rPr>
        <w:t xml:space="preserve"> </w:t>
      </w:r>
      <w:r w:rsidR="000D480B" w:rsidRPr="000956D4">
        <w:rPr>
          <w:lang w:val="en-GB"/>
        </w:rPr>
        <w:t xml:space="preserve">Overall, the committee considered the survival estimates </w:t>
      </w:r>
      <w:r w:rsidR="00F179B1">
        <w:rPr>
          <w:lang w:val="en-GB"/>
        </w:rPr>
        <w:t>from</w:t>
      </w:r>
      <w:r w:rsidR="000D480B" w:rsidRPr="000956D4">
        <w:rPr>
          <w:lang w:val="en-GB"/>
        </w:rPr>
        <w:t xml:space="preserve"> the </w:t>
      </w:r>
      <w:r w:rsidR="00F179B1">
        <w:rPr>
          <w:lang w:val="en-GB"/>
        </w:rPr>
        <w:t>l</w:t>
      </w:r>
      <w:r w:rsidR="000D480B" w:rsidRPr="000956D4">
        <w:rPr>
          <w:lang w:val="en-GB"/>
        </w:rPr>
        <w:t>og-logistic distribution</w:t>
      </w:r>
      <w:r w:rsidR="00FE5D13">
        <w:rPr>
          <w:lang w:val="en-GB"/>
        </w:rPr>
        <w:t xml:space="preserve"> used in </w:t>
      </w:r>
      <w:r w:rsidR="000D480B" w:rsidRPr="00B615A0">
        <w:rPr>
          <w:lang w:val="en-GB"/>
        </w:rPr>
        <w:t xml:space="preserve">the company base case </w:t>
      </w:r>
      <w:r w:rsidR="000D480B" w:rsidRPr="000956D4">
        <w:rPr>
          <w:lang w:val="en-GB"/>
        </w:rPr>
        <w:t>to be optimistic.</w:t>
      </w:r>
      <w:bookmarkEnd w:id="4"/>
    </w:p>
    <w:p w14:paraId="737BD501" w14:textId="6E68E6B8" w:rsidR="006B2B20" w:rsidRPr="00DB622F" w:rsidRDefault="006B2B20" w:rsidP="006B2B20">
      <w:pPr>
        <w:pStyle w:val="Heading3"/>
      </w:pPr>
      <w:r w:rsidRPr="00B615A0">
        <w:t>The compan</w:t>
      </w:r>
      <w:r w:rsidRPr="00DB622F">
        <w:t xml:space="preserve">y </w:t>
      </w:r>
      <w:r w:rsidR="005F6343" w:rsidRPr="00DB622F">
        <w:t xml:space="preserve">economic </w:t>
      </w:r>
      <w:r w:rsidRPr="00DB622F">
        <w:t xml:space="preserve">model </w:t>
      </w:r>
      <w:r w:rsidR="0027060F">
        <w:t>is</w:t>
      </w:r>
      <w:r w:rsidRPr="00DB622F">
        <w:t xml:space="preserve"> likely to </w:t>
      </w:r>
      <w:r w:rsidR="0027060F">
        <w:t>give</w:t>
      </w:r>
      <w:r w:rsidRPr="00DB622F">
        <w:t xml:space="preserve"> optimistic survival</w:t>
      </w:r>
      <w:r w:rsidR="0027060F">
        <w:t xml:space="preserve"> estimates</w:t>
      </w:r>
    </w:p>
    <w:p w14:paraId="65039FE9" w14:textId="154FE846" w:rsidR="000D480B" w:rsidRPr="000956D4" w:rsidRDefault="004D46BE" w:rsidP="004D46BE">
      <w:pPr>
        <w:pStyle w:val="Numberedlevel2text"/>
        <w:rPr>
          <w:lang w:val="en-GB"/>
        </w:rPr>
      </w:pPr>
      <w:r w:rsidRPr="00DB622F">
        <w:rPr>
          <w:lang w:val="en-GB"/>
        </w:rPr>
        <w:t>The</w:t>
      </w:r>
      <w:r w:rsidR="00976EFA">
        <w:rPr>
          <w:lang w:val="en-GB"/>
        </w:rPr>
        <w:t>re was</w:t>
      </w:r>
      <w:r w:rsidR="006B2B20" w:rsidRPr="000956D4">
        <w:rPr>
          <w:lang w:val="en-GB"/>
        </w:rPr>
        <w:t xml:space="preserve"> an assumption in the company model that people switched to an all-cause mortality at </w:t>
      </w:r>
      <w:r w:rsidR="00194B64">
        <w:rPr>
          <w:lang w:val="en-GB"/>
        </w:rPr>
        <w:t xml:space="preserve">approximately </w:t>
      </w:r>
      <w:r w:rsidR="006B2B20" w:rsidRPr="000956D4">
        <w:rPr>
          <w:lang w:val="en-GB"/>
        </w:rPr>
        <w:t>20</w:t>
      </w:r>
      <w:r w:rsidR="00214389">
        <w:rPr>
          <w:lang w:val="en-GB"/>
        </w:rPr>
        <w:t> </w:t>
      </w:r>
      <w:r w:rsidR="006B2B20" w:rsidRPr="000956D4">
        <w:rPr>
          <w:lang w:val="en-GB"/>
        </w:rPr>
        <w:t>years</w:t>
      </w:r>
      <w:r w:rsidR="00214389">
        <w:rPr>
          <w:lang w:val="en-GB"/>
        </w:rPr>
        <w:t>. This</w:t>
      </w:r>
      <w:r w:rsidR="006B2B20" w:rsidRPr="000956D4">
        <w:rPr>
          <w:lang w:val="en-GB"/>
        </w:rPr>
        <w:t xml:space="preserve"> suggest</w:t>
      </w:r>
      <w:r w:rsidR="00214389">
        <w:rPr>
          <w:lang w:val="en-GB"/>
        </w:rPr>
        <w:t>ed</w:t>
      </w:r>
      <w:r w:rsidR="006B2B20" w:rsidRPr="000956D4">
        <w:rPr>
          <w:lang w:val="en-GB"/>
        </w:rPr>
        <w:t xml:space="preserve"> that </w:t>
      </w:r>
      <w:r w:rsidR="00194B64">
        <w:rPr>
          <w:lang w:val="en-GB"/>
        </w:rPr>
        <w:t>a</w:t>
      </w:r>
      <w:r w:rsidR="00FB7E86">
        <w:rPr>
          <w:lang w:val="en-GB"/>
        </w:rPr>
        <w:t>bout</w:t>
      </w:r>
      <w:r w:rsidR="00194B64">
        <w:rPr>
          <w:lang w:val="en-GB"/>
        </w:rPr>
        <w:t xml:space="preserve"> 17% </w:t>
      </w:r>
      <w:r w:rsidR="006B2B20" w:rsidRPr="000956D4">
        <w:rPr>
          <w:lang w:val="en-GB"/>
        </w:rPr>
        <w:t xml:space="preserve">of people were </w:t>
      </w:r>
      <w:r w:rsidR="00745DE0">
        <w:rPr>
          <w:lang w:val="en-GB"/>
        </w:rPr>
        <w:t>‘</w:t>
      </w:r>
      <w:r w:rsidR="006B2B20" w:rsidRPr="000956D4">
        <w:rPr>
          <w:lang w:val="en-GB"/>
        </w:rPr>
        <w:t>cured</w:t>
      </w:r>
      <w:r w:rsidR="00745DE0">
        <w:rPr>
          <w:lang w:val="en-GB"/>
        </w:rPr>
        <w:t>’</w:t>
      </w:r>
      <w:r w:rsidR="006B2B20" w:rsidRPr="000956D4">
        <w:rPr>
          <w:lang w:val="en-GB"/>
        </w:rPr>
        <w:t xml:space="preserve">. The committee asked the company whether it had examined cure fractions or if it had considered a </w:t>
      </w:r>
      <w:r w:rsidR="00C17F05">
        <w:rPr>
          <w:lang w:val="en-GB"/>
        </w:rPr>
        <w:t>‘</w:t>
      </w:r>
      <w:r w:rsidR="006B2B20" w:rsidRPr="000956D4">
        <w:rPr>
          <w:lang w:val="en-GB"/>
        </w:rPr>
        <w:t>cure</w:t>
      </w:r>
      <w:r w:rsidR="00C17F05">
        <w:rPr>
          <w:lang w:val="en-GB"/>
        </w:rPr>
        <w:t>’</w:t>
      </w:r>
      <w:r w:rsidR="006B2B20" w:rsidRPr="000956D4">
        <w:rPr>
          <w:lang w:val="en-GB"/>
        </w:rPr>
        <w:t xml:space="preserve"> model</w:t>
      </w:r>
      <w:r w:rsidR="005F6343" w:rsidRPr="000956D4">
        <w:rPr>
          <w:lang w:val="en-GB"/>
        </w:rPr>
        <w:t xml:space="preserve"> to estimate survival</w:t>
      </w:r>
      <w:r w:rsidR="006B2B20" w:rsidRPr="000956D4">
        <w:rPr>
          <w:lang w:val="en-GB"/>
        </w:rPr>
        <w:t xml:space="preserve">. The company confirmed that </w:t>
      </w:r>
      <w:r w:rsidR="005F6343" w:rsidRPr="000956D4">
        <w:rPr>
          <w:lang w:val="en-GB"/>
        </w:rPr>
        <w:t xml:space="preserve">cure fractions had not been </w:t>
      </w:r>
      <w:r w:rsidR="00354B19">
        <w:rPr>
          <w:lang w:val="en-GB"/>
        </w:rPr>
        <w:t>considered</w:t>
      </w:r>
      <w:r w:rsidR="00AC0BA6" w:rsidRPr="00B615A0">
        <w:rPr>
          <w:lang w:val="en-GB"/>
        </w:rPr>
        <w:t xml:space="preserve"> in the economic modelling and </w:t>
      </w:r>
      <w:r w:rsidR="00D511E2">
        <w:rPr>
          <w:lang w:val="en-GB"/>
        </w:rPr>
        <w:t>did</w:t>
      </w:r>
      <w:r w:rsidR="00D511E2" w:rsidRPr="00B615A0">
        <w:rPr>
          <w:lang w:val="en-GB"/>
        </w:rPr>
        <w:t xml:space="preserve"> </w:t>
      </w:r>
      <w:r w:rsidR="00AC0BA6" w:rsidRPr="00B615A0">
        <w:rPr>
          <w:lang w:val="en-GB"/>
        </w:rPr>
        <w:t xml:space="preserve">not intend to </w:t>
      </w:r>
      <w:r w:rsidR="007E39DA">
        <w:rPr>
          <w:lang w:val="en-GB"/>
        </w:rPr>
        <w:t>do</w:t>
      </w:r>
      <w:r w:rsidR="007E39DA" w:rsidRPr="00B615A0">
        <w:rPr>
          <w:lang w:val="en-GB"/>
        </w:rPr>
        <w:t xml:space="preserve"> </w:t>
      </w:r>
      <w:r w:rsidR="00AC0BA6" w:rsidRPr="00B615A0">
        <w:rPr>
          <w:lang w:val="en-GB"/>
        </w:rPr>
        <w:t xml:space="preserve">a </w:t>
      </w:r>
      <w:r w:rsidRPr="00DB622F">
        <w:rPr>
          <w:lang w:val="en-GB"/>
        </w:rPr>
        <w:t>‘mixture’</w:t>
      </w:r>
      <w:r w:rsidR="00AC0BA6" w:rsidRPr="00DB622F">
        <w:rPr>
          <w:lang w:val="en-GB"/>
        </w:rPr>
        <w:t xml:space="preserve"> cure model</w:t>
      </w:r>
      <w:r w:rsidRPr="00DB622F">
        <w:rPr>
          <w:lang w:val="en-GB"/>
        </w:rPr>
        <w:t>.</w:t>
      </w:r>
      <w:r w:rsidR="005F6343" w:rsidRPr="000956D4">
        <w:rPr>
          <w:lang w:val="en-GB"/>
        </w:rPr>
        <w:t xml:space="preserve"> Overall the committee considered that overall survival </w:t>
      </w:r>
      <w:r w:rsidR="0013356B">
        <w:rPr>
          <w:lang w:val="en-GB"/>
        </w:rPr>
        <w:t xml:space="preserve">for pembrolizumab and </w:t>
      </w:r>
      <w:proofErr w:type="spellStart"/>
      <w:r w:rsidR="0013356B">
        <w:rPr>
          <w:lang w:val="en-GB"/>
        </w:rPr>
        <w:t>axitinib</w:t>
      </w:r>
      <w:proofErr w:type="spellEnd"/>
      <w:r w:rsidR="0013356B">
        <w:rPr>
          <w:lang w:val="en-GB"/>
        </w:rPr>
        <w:t xml:space="preserve"> </w:t>
      </w:r>
      <w:r w:rsidR="005F6343" w:rsidRPr="000956D4">
        <w:rPr>
          <w:lang w:val="en-GB"/>
        </w:rPr>
        <w:t>may have been overestimated</w:t>
      </w:r>
      <w:r w:rsidR="00BA30FD">
        <w:rPr>
          <w:lang w:val="en-GB"/>
        </w:rPr>
        <w:t xml:space="preserve"> </w:t>
      </w:r>
      <w:r w:rsidR="00200955">
        <w:rPr>
          <w:lang w:val="en-GB"/>
        </w:rPr>
        <w:t>because of</w:t>
      </w:r>
      <w:r w:rsidR="00BA30FD">
        <w:rPr>
          <w:lang w:val="en-GB"/>
        </w:rPr>
        <w:t xml:space="preserve"> having a switch to the same mortality as the general population at approximately 20</w:t>
      </w:r>
      <w:r w:rsidR="0036487D">
        <w:rPr>
          <w:lang w:val="en-GB"/>
        </w:rPr>
        <w:t> </w:t>
      </w:r>
      <w:r w:rsidR="00BA30FD">
        <w:rPr>
          <w:lang w:val="en-GB"/>
        </w:rPr>
        <w:t>years.</w:t>
      </w:r>
    </w:p>
    <w:p w14:paraId="7CABA82B" w14:textId="3733BE13" w:rsidR="00207348" w:rsidRPr="00DB622F" w:rsidRDefault="00207348" w:rsidP="00207348">
      <w:pPr>
        <w:pStyle w:val="Heading3"/>
      </w:pPr>
      <w:r w:rsidRPr="00B615A0">
        <w:lastRenderedPageBreak/>
        <w:t xml:space="preserve">The </w:t>
      </w:r>
      <w:r w:rsidRPr="00DB622F">
        <w:t xml:space="preserve">Weibull distribution </w:t>
      </w:r>
      <w:r w:rsidR="00D8426E">
        <w:t>gives</w:t>
      </w:r>
      <w:r w:rsidRPr="00DB622F">
        <w:t xml:space="preserve"> pessimistic survival</w:t>
      </w:r>
      <w:r w:rsidR="00116446">
        <w:t xml:space="preserve"> estimates</w:t>
      </w:r>
    </w:p>
    <w:p w14:paraId="605F7C25" w14:textId="4C04991F" w:rsidR="00207348" w:rsidRPr="000956D4" w:rsidRDefault="00207348" w:rsidP="00207348">
      <w:pPr>
        <w:pStyle w:val="Numberedlevel2text"/>
        <w:rPr>
          <w:lang w:val="en-GB"/>
        </w:rPr>
      </w:pPr>
      <w:bookmarkStart w:id="5" w:name="_Ref31654896"/>
      <w:r w:rsidRPr="000956D4">
        <w:rPr>
          <w:lang w:val="en-GB"/>
        </w:rPr>
        <w:t xml:space="preserve">The </w:t>
      </w:r>
      <w:r w:rsidR="008073FA" w:rsidRPr="000956D4">
        <w:rPr>
          <w:lang w:val="en-GB"/>
        </w:rPr>
        <w:t xml:space="preserve">Weibull curve was the </w:t>
      </w:r>
      <w:r w:rsidRPr="000956D4">
        <w:rPr>
          <w:lang w:val="en-GB"/>
        </w:rPr>
        <w:t xml:space="preserve">ERG and technical team’s preferred </w:t>
      </w:r>
      <w:r w:rsidR="008073FA" w:rsidRPr="000956D4">
        <w:rPr>
          <w:lang w:val="en-GB"/>
        </w:rPr>
        <w:t xml:space="preserve">distribution for extrapolating </w:t>
      </w:r>
      <w:r w:rsidR="00FA5771" w:rsidRPr="000956D4">
        <w:rPr>
          <w:lang w:val="en-GB"/>
        </w:rPr>
        <w:t xml:space="preserve">overall survival </w:t>
      </w:r>
      <w:r w:rsidR="008073FA" w:rsidRPr="000956D4">
        <w:rPr>
          <w:lang w:val="en-GB"/>
        </w:rPr>
        <w:t xml:space="preserve">for both pembrolizumab with </w:t>
      </w:r>
      <w:proofErr w:type="spellStart"/>
      <w:r w:rsidR="008073FA" w:rsidRPr="000956D4">
        <w:rPr>
          <w:lang w:val="en-GB"/>
        </w:rPr>
        <w:t>axitinib</w:t>
      </w:r>
      <w:proofErr w:type="spellEnd"/>
      <w:r w:rsidR="008073FA" w:rsidRPr="000956D4">
        <w:rPr>
          <w:lang w:val="en-GB"/>
        </w:rPr>
        <w:t xml:space="preserve"> and sunitinib</w:t>
      </w:r>
      <w:r w:rsidRPr="000956D4">
        <w:rPr>
          <w:lang w:val="en-GB"/>
        </w:rPr>
        <w:t>. Clinical experts confirmed that a rising hazard</w:t>
      </w:r>
      <w:r w:rsidR="008073FA" w:rsidRPr="000956D4">
        <w:rPr>
          <w:lang w:val="en-GB"/>
        </w:rPr>
        <w:t xml:space="preserve"> rate</w:t>
      </w:r>
      <w:r w:rsidRPr="000956D4">
        <w:rPr>
          <w:lang w:val="en-GB"/>
        </w:rPr>
        <w:t xml:space="preserve">, which </w:t>
      </w:r>
      <w:r w:rsidR="00FE5D13">
        <w:rPr>
          <w:lang w:val="en-GB"/>
        </w:rPr>
        <w:t>was</w:t>
      </w:r>
      <w:r w:rsidR="00FE5D13" w:rsidRPr="000956D4">
        <w:rPr>
          <w:lang w:val="en-GB"/>
        </w:rPr>
        <w:t xml:space="preserve"> </w:t>
      </w:r>
      <w:r w:rsidRPr="000956D4">
        <w:rPr>
          <w:lang w:val="en-GB"/>
        </w:rPr>
        <w:t xml:space="preserve">a characteristic of the </w:t>
      </w:r>
      <w:r w:rsidR="00457F95">
        <w:rPr>
          <w:lang w:val="en-GB"/>
        </w:rPr>
        <w:t xml:space="preserve">chosen </w:t>
      </w:r>
      <w:r w:rsidRPr="000956D4">
        <w:rPr>
          <w:lang w:val="en-GB"/>
        </w:rPr>
        <w:t xml:space="preserve">Weibull distribution, was not expected for people </w:t>
      </w:r>
      <w:r w:rsidR="00DE56CA">
        <w:rPr>
          <w:lang w:val="en-GB"/>
        </w:rPr>
        <w:t>who had</w:t>
      </w:r>
      <w:r w:rsidRPr="000956D4">
        <w:rPr>
          <w:lang w:val="en-GB"/>
        </w:rPr>
        <w:t xml:space="preserve"> pembrolizumab with </w:t>
      </w:r>
      <w:proofErr w:type="spellStart"/>
      <w:r w:rsidRPr="000956D4">
        <w:rPr>
          <w:lang w:val="en-GB"/>
        </w:rPr>
        <w:t>axitinib</w:t>
      </w:r>
      <w:proofErr w:type="spellEnd"/>
      <w:r w:rsidRPr="000956D4">
        <w:rPr>
          <w:lang w:val="en-GB"/>
        </w:rPr>
        <w:t xml:space="preserve">. Therefore, the committee agreed that the </w:t>
      </w:r>
      <w:r w:rsidR="00FE5D13">
        <w:rPr>
          <w:lang w:val="en-GB"/>
        </w:rPr>
        <w:t xml:space="preserve">chosen </w:t>
      </w:r>
      <w:r w:rsidRPr="000956D4">
        <w:rPr>
          <w:lang w:val="en-GB"/>
        </w:rPr>
        <w:t xml:space="preserve">Weibull distribution was likely to </w:t>
      </w:r>
      <w:r w:rsidR="00BC6311">
        <w:rPr>
          <w:lang w:val="en-GB"/>
        </w:rPr>
        <w:t>give</w:t>
      </w:r>
      <w:r w:rsidRPr="000956D4">
        <w:rPr>
          <w:lang w:val="en-GB"/>
        </w:rPr>
        <w:t xml:space="preserve"> pessimistic survival estimates</w:t>
      </w:r>
      <w:r w:rsidRPr="00B615A0">
        <w:rPr>
          <w:lang w:val="en-GB"/>
        </w:rPr>
        <w:t>.</w:t>
      </w:r>
      <w:bookmarkEnd w:id="5"/>
      <w:r w:rsidRPr="000956D4">
        <w:rPr>
          <w:lang w:val="en-GB"/>
        </w:rPr>
        <w:t xml:space="preserve"> </w:t>
      </w:r>
    </w:p>
    <w:p w14:paraId="11B60408" w14:textId="25272566" w:rsidR="00DE133B" w:rsidRPr="00DB622F" w:rsidRDefault="00DE133B" w:rsidP="00C52D9A">
      <w:pPr>
        <w:pStyle w:val="Heading3"/>
      </w:pPr>
      <w:r w:rsidRPr="00B615A0">
        <w:t>There is considerable uncertainty in the survival</w:t>
      </w:r>
      <w:r w:rsidR="009337B8">
        <w:t xml:space="preserve"> estimates</w:t>
      </w:r>
      <w:r w:rsidRPr="00B615A0">
        <w:t xml:space="preserve"> </w:t>
      </w:r>
      <w:r w:rsidR="009337B8">
        <w:t>because of</w:t>
      </w:r>
      <w:r w:rsidRPr="00B615A0">
        <w:t xml:space="preserve"> the immaturity of the data</w:t>
      </w:r>
    </w:p>
    <w:p w14:paraId="2AF9B2A2" w14:textId="15FF204E" w:rsidR="00A776E8" w:rsidRPr="000956D4" w:rsidRDefault="00E02FC9" w:rsidP="00C52D9A">
      <w:pPr>
        <w:pStyle w:val="Numberedlevel2text"/>
        <w:rPr>
          <w:lang w:val="en-GB"/>
        </w:rPr>
      </w:pPr>
      <w:r w:rsidRPr="000956D4">
        <w:rPr>
          <w:lang w:val="en-GB"/>
        </w:rPr>
        <w:t>T</w:t>
      </w:r>
      <w:r w:rsidR="000E5EA0" w:rsidRPr="000956D4">
        <w:rPr>
          <w:lang w:val="en-GB"/>
        </w:rPr>
        <w:t xml:space="preserve">he </w:t>
      </w:r>
      <w:r w:rsidR="00AA749E" w:rsidRPr="000956D4">
        <w:rPr>
          <w:lang w:val="en-GB"/>
        </w:rPr>
        <w:t>committee</w:t>
      </w:r>
      <w:r w:rsidR="00A776E8" w:rsidRPr="000956D4">
        <w:rPr>
          <w:lang w:val="en-GB"/>
        </w:rPr>
        <w:t xml:space="preserve"> concluded that the most plausible survival estimates were likely to fall within the range created by the </w:t>
      </w:r>
      <w:r w:rsidR="00DF5867">
        <w:rPr>
          <w:lang w:val="en-GB"/>
        </w:rPr>
        <w:t>l</w:t>
      </w:r>
      <w:r w:rsidR="00A776E8" w:rsidRPr="000956D4">
        <w:rPr>
          <w:lang w:val="en-GB"/>
        </w:rPr>
        <w:t xml:space="preserve">og-logistic and Weibull </w:t>
      </w:r>
      <w:r w:rsidR="000E5EA0" w:rsidRPr="000956D4">
        <w:rPr>
          <w:lang w:val="en-GB"/>
        </w:rPr>
        <w:t>distribution</w:t>
      </w:r>
      <w:r w:rsidR="00FE5D13">
        <w:rPr>
          <w:lang w:val="en-GB"/>
        </w:rPr>
        <w:t xml:space="preserve"> used in </w:t>
      </w:r>
      <w:r w:rsidR="00811E26">
        <w:rPr>
          <w:lang w:val="en-GB"/>
        </w:rPr>
        <w:t xml:space="preserve">the </w:t>
      </w:r>
      <w:r w:rsidR="00FE5D13">
        <w:rPr>
          <w:lang w:val="en-GB"/>
        </w:rPr>
        <w:t>company base case and the ERG and technical team base cases respectively</w:t>
      </w:r>
      <w:r w:rsidR="00FC220E">
        <w:rPr>
          <w:lang w:val="en-GB"/>
        </w:rPr>
        <w:t>.</w:t>
      </w:r>
      <w:r w:rsidR="00D81648">
        <w:rPr>
          <w:lang w:val="en-GB"/>
        </w:rPr>
        <w:t xml:space="preserve"> It agreed to take both into account in its decision</w:t>
      </w:r>
      <w:r w:rsidR="00416513">
        <w:rPr>
          <w:lang w:val="en-GB"/>
        </w:rPr>
        <w:t xml:space="preserve"> </w:t>
      </w:r>
      <w:r w:rsidR="00D81648">
        <w:rPr>
          <w:lang w:val="en-GB"/>
        </w:rPr>
        <w:t>making.</w:t>
      </w:r>
      <w:r w:rsidR="000E5EA0" w:rsidRPr="000956D4">
        <w:rPr>
          <w:lang w:val="en-GB"/>
        </w:rPr>
        <w:t xml:space="preserve"> </w:t>
      </w:r>
      <w:r w:rsidR="00FC220E">
        <w:rPr>
          <w:lang w:val="en-GB"/>
        </w:rPr>
        <w:t xml:space="preserve">However, it </w:t>
      </w:r>
      <w:r w:rsidR="000E5EA0" w:rsidRPr="000956D4">
        <w:rPr>
          <w:lang w:val="en-GB"/>
        </w:rPr>
        <w:t>not</w:t>
      </w:r>
      <w:r w:rsidR="00FC220E">
        <w:rPr>
          <w:lang w:val="en-GB"/>
        </w:rPr>
        <w:t>ed</w:t>
      </w:r>
      <w:r w:rsidR="000E5EA0" w:rsidRPr="000956D4">
        <w:rPr>
          <w:lang w:val="en-GB"/>
        </w:rPr>
        <w:t xml:space="preserve"> that considerable uncertainty remained </w:t>
      </w:r>
      <w:r w:rsidR="0037070A">
        <w:rPr>
          <w:lang w:val="en-GB"/>
        </w:rPr>
        <w:t>because of</w:t>
      </w:r>
      <w:r w:rsidR="000E5EA0" w:rsidRPr="000956D4">
        <w:rPr>
          <w:lang w:val="en-GB"/>
        </w:rPr>
        <w:t xml:space="preserve"> the immaturity of the evidence</w:t>
      </w:r>
      <w:r w:rsidR="00AA749E" w:rsidRPr="000956D4">
        <w:rPr>
          <w:lang w:val="en-GB"/>
        </w:rPr>
        <w:t>.</w:t>
      </w:r>
      <w:r w:rsidR="0042740B" w:rsidRPr="000956D4">
        <w:rPr>
          <w:lang w:val="en-GB"/>
        </w:rPr>
        <w:t xml:space="preserve"> </w:t>
      </w:r>
    </w:p>
    <w:p w14:paraId="0E248C5B" w14:textId="09344901" w:rsidR="00642EE6" w:rsidRPr="00DB622F" w:rsidRDefault="00642EE6" w:rsidP="00642EE6">
      <w:pPr>
        <w:pStyle w:val="Heading2"/>
      </w:pPr>
      <w:r w:rsidRPr="00B615A0">
        <w:t>Treatment effect duration</w:t>
      </w:r>
      <w:r w:rsidR="00AE2124" w:rsidRPr="00DB622F">
        <w:t xml:space="preserve"> </w:t>
      </w:r>
    </w:p>
    <w:p w14:paraId="0683F3BD" w14:textId="7127D5A8" w:rsidR="00642EE6" w:rsidRPr="00DB622F" w:rsidRDefault="00642EE6" w:rsidP="00642EE6">
      <w:pPr>
        <w:pStyle w:val="Heading3"/>
      </w:pPr>
      <w:r w:rsidRPr="00DB622F">
        <w:t xml:space="preserve">There is not </w:t>
      </w:r>
      <w:r w:rsidR="00642803">
        <w:t>enough</w:t>
      </w:r>
      <w:r w:rsidRPr="00DB622F">
        <w:t xml:space="preserve"> evidence to assume a lifetime treatment effect</w:t>
      </w:r>
    </w:p>
    <w:p w14:paraId="25CDE794" w14:textId="4F620058" w:rsidR="00E66AD6" w:rsidRPr="000956D4" w:rsidRDefault="002775E8" w:rsidP="00C52D9A">
      <w:pPr>
        <w:pStyle w:val="Numberedlevel2text"/>
        <w:rPr>
          <w:lang w:val="en-GB"/>
        </w:rPr>
      </w:pPr>
      <w:r w:rsidRPr="000956D4">
        <w:rPr>
          <w:lang w:val="en-GB"/>
        </w:rPr>
        <w:t xml:space="preserve">The committee acknowledged that assumptions </w:t>
      </w:r>
      <w:r w:rsidR="00C760B3">
        <w:rPr>
          <w:lang w:val="en-GB"/>
        </w:rPr>
        <w:t xml:space="preserve">about </w:t>
      </w:r>
      <w:r w:rsidRPr="000956D4">
        <w:rPr>
          <w:lang w:val="en-GB"/>
        </w:rPr>
        <w:t xml:space="preserve">treatment effect </w:t>
      </w:r>
      <w:r w:rsidR="00556845" w:rsidRPr="000956D4">
        <w:rPr>
          <w:lang w:val="en-GB"/>
        </w:rPr>
        <w:t>duration</w:t>
      </w:r>
      <w:r w:rsidRPr="00910F46">
        <w:rPr>
          <w:bCs w:val="0"/>
          <w:lang w:val="en-GB"/>
        </w:rPr>
        <w:t xml:space="preserve"> </w:t>
      </w:r>
      <w:r w:rsidRPr="000956D4">
        <w:rPr>
          <w:lang w:val="en-GB"/>
        </w:rPr>
        <w:t xml:space="preserve">would </w:t>
      </w:r>
      <w:r w:rsidR="00BB2A5C">
        <w:rPr>
          <w:lang w:val="en-GB"/>
        </w:rPr>
        <w:t>affect</w:t>
      </w:r>
      <w:r w:rsidRPr="000956D4">
        <w:rPr>
          <w:lang w:val="en-GB"/>
        </w:rPr>
        <w:t xml:space="preserve"> expect</w:t>
      </w:r>
      <w:r w:rsidR="00BB2A5C">
        <w:rPr>
          <w:lang w:val="en-GB"/>
        </w:rPr>
        <w:t>ed</w:t>
      </w:r>
      <w:r w:rsidRPr="000956D4">
        <w:rPr>
          <w:lang w:val="en-GB"/>
        </w:rPr>
        <w:t xml:space="preserve"> survival. Clinical experts explained that </w:t>
      </w:r>
      <w:r w:rsidR="00050F7A">
        <w:rPr>
          <w:lang w:val="en-GB"/>
        </w:rPr>
        <w:t xml:space="preserve">there could be </w:t>
      </w:r>
      <w:r w:rsidRPr="000956D4">
        <w:rPr>
          <w:lang w:val="en-GB"/>
        </w:rPr>
        <w:t>a long</w:t>
      </w:r>
      <w:r w:rsidR="00050F7A">
        <w:rPr>
          <w:bCs w:val="0"/>
          <w:lang w:val="en-GB"/>
        </w:rPr>
        <w:t>-</w:t>
      </w:r>
      <w:r w:rsidRPr="000956D4">
        <w:rPr>
          <w:lang w:val="en-GB"/>
        </w:rPr>
        <w:t xml:space="preserve">term response with continued use of a TKI, </w:t>
      </w:r>
      <w:r w:rsidR="00BE0797">
        <w:rPr>
          <w:lang w:val="en-GB"/>
        </w:rPr>
        <w:t>but</w:t>
      </w:r>
      <w:r w:rsidRPr="000956D4">
        <w:rPr>
          <w:lang w:val="en-GB"/>
        </w:rPr>
        <w:t xml:space="preserve"> it would not be a durable response and </w:t>
      </w:r>
      <w:r w:rsidR="0044654B">
        <w:rPr>
          <w:lang w:val="en-GB"/>
        </w:rPr>
        <w:t>would stop</w:t>
      </w:r>
      <w:r w:rsidRPr="000956D4">
        <w:rPr>
          <w:lang w:val="en-GB"/>
        </w:rPr>
        <w:t xml:space="preserve"> w</w:t>
      </w:r>
      <w:r w:rsidR="0044654B">
        <w:rPr>
          <w:lang w:val="en-GB"/>
        </w:rPr>
        <w:t>hen</w:t>
      </w:r>
      <w:r w:rsidRPr="000956D4">
        <w:rPr>
          <w:lang w:val="en-GB"/>
        </w:rPr>
        <w:t xml:space="preserve"> treatment</w:t>
      </w:r>
      <w:r w:rsidR="0044654B">
        <w:rPr>
          <w:lang w:val="en-GB"/>
        </w:rPr>
        <w:t xml:space="preserve"> was stop</w:t>
      </w:r>
      <w:r w:rsidR="000D7EB2">
        <w:rPr>
          <w:lang w:val="en-GB"/>
        </w:rPr>
        <w:t>ped</w:t>
      </w:r>
      <w:r w:rsidRPr="000956D4">
        <w:rPr>
          <w:lang w:val="en-GB"/>
        </w:rPr>
        <w:t>. Immunotherapy</w:t>
      </w:r>
      <w:r w:rsidR="0042740B" w:rsidRPr="000956D4">
        <w:rPr>
          <w:b/>
          <w:lang w:val="en-GB"/>
        </w:rPr>
        <w:t xml:space="preserve"> </w:t>
      </w:r>
      <w:r w:rsidRPr="000956D4">
        <w:rPr>
          <w:lang w:val="en-GB"/>
        </w:rPr>
        <w:t xml:space="preserve">was expected to provide a durable response </w:t>
      </w:r>
      <w:r w:rsidR="00DD7E56">
        <w:rPr>
          <w:lang w:val="en-GB"/>
        </w:rPr>
        <w:t>after</w:t>
      </w:r>
      <w:r w:rsidR="00DD7E56" w:rsidRPr="000956D4">
        <w:rPr>
          <w:lang w:val="en-GB"/>
        </w:rPr>
        <w:t xml:space="preserve"> </w:t>
      </w:r>
      <w:r w:rsidRPr="000956D4">
        <w:rPr>
          <w:lang w:val="en-GB"/>
        </w:rPr>
        <w:t>stopping the treatment</w:t>
      </w:r>
      <w:r w:rsidR="0042740B" w:rsidRPr="000956D4">
        <w:rPr>
          <w:lang w:val="en-GB"/>
        </w:rPr>
        <w:t xml:space="preserve"> </w:t>
      </w:r>
      <w:r w:rsidR="001B1B93">
        <w:rPr>
          <w:lang w:val="en-GB"/>
        </w:rPr>
        <w:t>because of</w:t>
      </w:r>
      <w:r w:rsidR="0042740B" w:rsidRPr="000956D4">
        <w:rPr>
          <w:lang w:val="en-GB"/>
        </w:rPr>
        <w:t xml:space="preserve"> its mode of action. Although the committee </w:t>
      </w:r>
      <w:r w:rsidR="002E0A3E">
        <w:rPr>
          <w:lang w:val="en-GB"/>
        </w:rPr>
        <w:t xml:space="preserve">thought </w:t>
      </w:r>
      <w:r w:rsidR="0042740B" w:rsidRPr="000956D4">
        <w:rPr>
          <w:lang w:val="en-GB"/>
        </w:rPr>
        <w:t xml:space="preserve">a durable response </w:t>
      </w:r>
      <w:r w:rsidR="002E0A3E">
        <w:rPr>
          <w:lang w:val="en-GB"/>
        </w:rPr>
        <w:t>was</w:t>
      </w:r>
      <w:r w:rsidR="00CD61B4" w:rsidRPr="000956D4">
        <w:rPr>
          <w:lang w:val="en-GB"/>
        </w:rPr>
        <w:t xml:space="preserve"> </w:t>
      </w:r>
      <w:r w:rsidR="0042740B" w:rsidRPr="000956D4">
        <w:rPr>
          <w:lang w:val="en-GB"/>
        </w:rPr>
        <w:t xml:space="preserve">possible, immaturity of the data meant </w:t>
      </w:r>
      <w:r w:rsidR="00CD61B4" w:rsidRPr="000956D4">
        <w:rPr>
          <w:lang w:val="en-GB"/>
        </w:rPr>
        <w:t xml:space="preserve">that </w:t>
      </w:r>
      <w:r w:rsidR="0042740B" w:rsidRPr="000956D4">
        <w:rPr>
          <w:lang w:val="en-GB"/>
        </w:rPr>
        <w:t xml:space="preserve">this was based </w:t>
      </w:r>
      <w:r w:rsidR="00A467C6">
        <w:rPr>
          <w:lang w:val="en-GB"/>
        </w:rPr>
        <w:t>on</w:t>
      </w:r>
      <w:r w:rsidR="00F900D8">
        <w:rPr>
          <w:lang w:val="en-GB"/>
        </w:rPr>
        <w:t xml:space="preserve"> </w:t>
      </w:r>
      <w:r w:rsidR="0042740B" w:rsidRPr="000956D4">
        <w:rPr>
          <w:lang w:val="en-GB"/>
        </w:rPr>
        <w:t>clinical opinion, scientific reasoning and short-term anecdotal evidence.</w:t>
      </w:r>
      <w:r w:rsidR="0042740B" w:rsidRPr="000956D4">
        <w:rPr>
          <w:bCs w:val="0"/>
          <w:lang w:val="en-GB"/>
        </w:rPr>
        <w:t xml:space="preserve"> </w:t>
      </w:r>
      <w:r w:rsidR="00E66AD6" w:rsidRPr="000956D4">
        <w:rPr>
          <w:lang w:val="en-GB"/>
        </w:rPr>
        <w:t xml:space="preserve">The committee noted that in previous NICE appraisals of checkpoint inhibitors </w:t>
      </w:r>
      <w:r w:rsidR="007A50A5">
        <w:rPr>
          <w:lang w:val="en-GB"/>
        </w:rPr>
        <w:t>when</w:t>
      </w:r>
      <w:r w:rsidR="00E66AD6" w:rsidRPr="000956D4">
        <w:rPr>
          <w:lang w:val="en-GB"/>
        </w:rPr>
        <w:t xml:space="preserve"> treatment duration w</w:t>
      </w:r>
      <w:r w:rsidR="0004639B">
        <w:rPr>
          <w:lang w:val="en-GB"/>
        </w:rPr>
        <w:t>as</w:t>
      </w:r>
      <w:r w:rsidR="00E66AD6" w:rsidRPr="000956D4">
        <w:rPr>
          <w:lang w:val="en-GB"/>
        </w:rPr>
        <w:t xml:space="preserve"> capped at 2</w:t>
      </w:r>
      <w:r w:rsidR="00EF176F">
        <w:rPr>
          <w:lang w:val="en-GB"/>
        </w:rPr>
        <w:t> </w:t>
      </w:r>
      <w:r w:rsidR="00E66AD6" w:rsidRPr="000956D4">
        <w:rPr>
          <w:lang w:val="en-GB"/>
        </w:rPr>
        <w:t>years, the committee:</w:t>
      </w:r>
    </w:p>
    <w:p w14:paraId="6739EF75" w14:textId="2790EB77" w:rsidR="00E66AD6" w:rsidRPr="000E07AB" w:rsidRDefault="00823581" w:rsidP="000956D4">
      <w:pPr>
        <w:pStyle w:val="Bulletindent1"/>
      </w:pPr>
      <w:r>
        <w:lastRenderedPageBreak/>
        <w:t>d</w:t>
      </w:r>
      <w:r w:rsidR="00E66AD6" w:rsidRPr="000E07AB">
        <w:t xml:space="preserve">id not assume lifetime treatment benefit for therapy </w:t>
      </w:r>
      <w:r w:rsidR="00B71082">
        <w:t>that</w:t>
      </w:r>
      <w:r w:rsidR="00E66AD6" w:rsidRPr="0063396D">
        <w:t xml:space="preserve"> stopped at 2</w:t>
      </w:r>
      <w:r w:rsidR="00CB203C">
        <w:t> </w:t>
      </w:r>
      <w:r w:rsidR="00E66AD6" w:rsidRPr="000E07AB">
        <w:t>years</w:t>
      </w:r>
    </w:p>
    <w:p w14:paraId="7EE66FD1" w14:textId="5E7AC6A2" w:rsidR="00CD61B4" w:rsidRPr="000E07AB" w:rsidRDefault="00E44194" w:rsidP="000956D4">
      <w:pPr>
        <w:pStyle w:val="Bulletindent1last"/>
      </w:pPr>
      <w:r>
        <w:t>e</w:t>
      </w:r>
      <w:r w:rsidR="00E66AD6" w:rsidRPr="000E07AB">
        <w:t>xamined analyses of treatment benefit waning effects that have benefit wan</w:t>
      </w:r>
      <w:r w:rsidR="00F81005">
        <w:t>ing</w:t>
      </w:r>
      <w:r w:rsidR="00E66AD6" w:rsidRPr="000E07AB">
        <w:t xml:space="preserve"> within 1</w:t>
      </w:r>
      <w:r>
        <w:t> </w:t>
      </w:r>
      <w:r w:rsidR="00E66AD6" w:rsidRPr="000E07AB">
        <w:t>year and 3</w:t>
      </w:r>
      <w:r>
        <w:t> </w:t>
      </w:r>
      <w:r w:rsidR="00E66AD6" w:rsidRPr="000E07AB">
        <w:t>years of stopping treatment (the ‘2+1’ and ‘2+3’ analyses in terms of time since starting treatment).</w:t>
      </w:r>
    </w:p>
    <w:p w14:paraId="361E56CA" w14:textId="5775792C" w:rsidR="00CD61B4" w:rsidRPr="000E07AB" w:rsidRDefault="00CD61B4" w:rsidP="000956D4">
      <w:pPr>
        <w:pStyle w:val="Numberedlevel2text"/>
        <w:numPr>
          <w:ilvl w:val="0"/>
          <w:numId w:val="0"/>
        </w:numPr>
        <w:ind w:left="1134"/>
      </w:pPr>
      <w:r w:rsidRPr="0063396D">
        <w:t xml:space="preserve">The committee therefore concluded that there </w:t>
      </w:r>
      <w:proofErr w:type="spellStart"/>
      <w:r w:rsidR="00BD46D7">
        <w:rPr>
          <w:lang w:val="en-US"/>
        </w:rPr>
        <w:t>wa</w:t>
      </w:r>
      <w:proofErr w:type="spellEnd"/>
      <w:r w:rsidRPr="0063396D">
        <w:t xml:space="preserve">s not </w:t>
      </w:r>
      <w:r w:rsidR="003F6D61">
        <w:rPr>
          <w:lang w:val="en-US"/>
        </w:rPr>
        <w:t>enough</w:t>
      </w:r>
      <w:r w:rsidRPr="000E07AB">
        <w:t xml:space="preserve"> evidence to assume a </w:t>
      </w:r>
      <w:r w:rsidR="00C45654" w:rsidRPr="000E07AB">
        <w:t>lifetime</w:t>
      </w:r>
      <w:r w:rsidRPr="000E07AB">
        <w:t xml:space="preserve"> treatment effect and that treatment benefit waning effects should be applied</w:t>
      </w:r>
      <w:r w:rsidR="00FA5771" w:rsidRPr="000E07AB">
        <w:t xml:space="preserve"> in the economic model</w:t>
      </w:r>
      <w:r w:rsidRPr="000E07AB">
        <w:t>.</w:t>
      </w:r>
    </w:p>
    <w:p w14:paraId="7307BF3A" w14:textId="4E6C647B" w:rsidR="00AC382F" w:rsidRPr="00DB622F" w:rsidRDefault="00732E78" w:rsidP="00AC382F">
      <w:pPr>
        <w:pStyle w:val="Heading3"/>
      </w:pPr>
      <w:r>
        <w:t>Because of</w:t>
      </w:r>
      <w:r w:rsidR="00AC382F" w:rsidRPr="00B615A0">
        <w:t xml:space="preserve"> the immaturity of data, it is appropriate to consider a 5-year waning effect scenario </w:t>
      </w:r>
      <w:r w:rsidR="00342E17">
        <w:t>to</w:t>
      </w:r>
      <w:r w:rsidR="00AC382F" w:rsidRPr="00B615A0">
        <w:t xml:space="preserve"> estimat</w:t>
      </w:r>
      <w:r w:rsidR="00342E17">
        <w:t>e</w:t>
      </w:r>
      <w:r w:rsidR="00AC382F" w:rsidRPr="00B615A0">
        <w:t xml:space="preserve"> cost</w:t>
      </w:r>
      <w:r w:rsidR="00D025DF">
        <w:t xml:space="preserve"> </w:t>
      </w:r>
      <w:r w:rsidR="00AC382F" w:rsidRPr="00B615A0">
        <w:t>effectiveness</w:t>
      </w:r>
    </w:p>
    <w:p w14:paraId="4D7E6045" w14:textId="11FA9541" w:rsidR="002775E8" w:rsidRPr="000956D4" w:rsidRDefault="0042740B" w:rsidP="00C52D9A">
      <w:pPr>
        <w:pStyle w:val="Numberedlevel2text"/>
        <w:rPr>
          <w:lang w:val="en-GB"/>
        </w:rPr>
      </w:pPr>
      <w:r w:rsidRPr="000956D4">
        <w:rPr>
          <w:lang w:val="en-GB"/>
        </w:rPr>
        <w:t>The</w:t>
      </w:r>
      <w:r w:rsidR="00B26831">
        <w:rPr>
          <w:lang w:val="en-GB"/>
        </w:rPr>
        <w:t>re was a</w:t>
      </w:r>
      <w:r w:rsidRPr="000956D4">
        <w:rPr>
          <w:lang w:val="en-GB"/>
        </w:rPr>
        <w:t xml:space="preserve"> 2-year stopping rule in the economic model </w:t>
      </w:r>
      <w:r w:rsidR="00B26831">
        <w:rPr>
          <w:lang w:val="en-GB"/>
        </w:rPr>
        <w:t>for</w:t>
      </w:r>
      <w:r w:rsidRPr="000956D4">
        <w:rPr>
          <w:lang w:val="en-GB"/>
        </w:rPr>
        <w:t xml:space="preserve"> pembrolizumab</w:t>
      </w:r>
      <w:r w:rsidR="00B26831">
        <w:rPr>
          <w:lang w:val="en-GB"/>
        </w:rPr>
        <w:t>.</w:t>
      </w:r>
      <w:r w:rsidRPr="000956D4">
        <w:rPr>
          <w:lang w:val="en-GB"/>
        </w:rPr>
        <w:t xml:space="preserve"> </w:t>
      </w:r>
      <w:r w:rsidR="00B26831">
        <w:rPr>
          <w:lang w:val="en-GB"/>
        </w:rPr>
        <w:t>T</w:t>
      </w:r>
      <w:r w:rsidRPr="000956D4">
        <w:rPr>
          <w:lang w:val="en-GB"/>
        </w:rPr>
        <w:t xml:space="preserve">reatment with </w:t>
      </w:r>
      <w:proofErr w:type="spellStart"/>
      <w:r w:rsidR="006E0DF8" w:rsidRPr="000956D4">
        <w:rPr>
          <w:lang w:val="en-GB"/>
        </w:rPr>
        <w:t>axitinib</w:t>
      </w:r>
      <w:proofErr w:type="spellEnd"/>
      <w:r w:rsidR="006E0DF8" w:rsidRPr="000956D4">
        <w:rPr>
          <w:lang w:val="en-GB"/>
        </w:rPr>
        <w:t xml:space="preserve"> </w:t>
      </w:r>
      <w:r w:rsidRPr="000956D4">
        <w:rPr>
          <w:lang w:val="en-GB"/>
        </w:rPr>
        <w:t>continued until second-line treatment was indicated, for example</w:t>
      </w:r>
      <w:r w:rsidR="00363A2B">
        <w:rPr>
          <w:lang w:val="en-GB"/>
        </w:rPr>
        <w:t>,</w:t>
      </w:r>
      <w:r w:rsidRPr="000956D4">
        <w:rPr>
          <w:lang w:val="en-GB"/>
        </w:rPr>
        <w:t xml:space="preserve"> </w:t>
      </w:r>
      <w:r w:rsidR="00363A2B">
        <w:rPr>
          <w:lang w:val="en-GB"/>
        </w:rPr>
        <w:t>because of</w:t>
      </w:r>
      <w:r w:rsidRPr="000956D4">
        <w:rPr>
          <w:lang w:val="en-GB"/>
        </w:rPr>
        <w:t xml:space="preserve"> disease progression.</w:t>
      </w:r>
      <w:r w:rsidR="002F541E" w:rsidRPr="000956D4">
        <w:rPr>
          <w:lang w:val="en-GB"/>
        </w:rPr>
        <w:t xml:space="preserve"> The committee believed it was reasonable to assume some duration of response. </w:t>
      </w:r>
      <w:r w:rsidR="005B693F">
        <w:rPr>
          <w:lang w:val="en-GB"/>
        </w:rPr>
        <w:t>It</w:t>
      </w:r>
      <w:r w:rsidR="002F541E" w:rsidRPr="000956D4">
        <w:rPr>
          <w:lang w:val="en-GB"/>
        </w:rPr>
        <w:t xml:space="preserve"> considered scenarios whe</w:t>
      </w:r>
      <w:r w:rsidR="00D27539">
        <w:rPr>
          <w:lang w:val="en-GB"/>
        </w:rPr>
        <w:t>n</w:t>
      </w:r>
      <w:r w:rsidR="00B77494">
        <w:rPr>
          <w:lang w:val="en-GB"/>
        </w:rPr>
        <w:t xml:space="preserve"> the treatment effect stopped after</w:t>
      </w:r>
      <w:r w:rsidR="002F541E" w:rsidRPr="000956D4">
        <w:rPr>
          <w:lang w:val="en-GB"/>
        </w:rPr>
        <w:t xml:space="preserve"> 3</w:t>
      </w:r>
      <w:r w:rsidR="00B274A9">
        <w:rPr>
          <w:lang w:val="en-GB"/>
        </w:rPr>
        <w:t> </w:t>
      </w:r>
      <w:r w:rsidR="002F541E" w:rsidRPr="000956D4">
        <w:rPr>
          <w:lang w:val="en-GB"/>
        </w:rPr>
        <w:t>year</w:t>
      </w:r>
      <w:r w:rsidR="00B77494">
        <w:rPr>
          <w:lang w:val="en-GB"/>
        </w:rPr>
        <w:t>s</w:t>
      </w:r>
      <w:r w:rsidR="002F541E" w:rsidRPr="000956D4">
        <w:rPr>
          <w:lang w:val="en-GB"/>
        </w:rPr>
        <w:t>, 5</w:t>
      </w:r>
      <w:r w:rsidR="00B274A9">
        <w:rPr>
          <w:lang w:val="en-GB"/>
        </w:rPr>
        <w:t> </w:t>
      </w:r>
      <w:r w:rsidR="002F541E" w:rsidRPr="000956D4">
        <w:rPr>
          <w:lang w:val="en-GB"/>
        </w:rPr>
        <w:t>year</w:t>
      </w:r>
      <w:r w:rsidR="00B77494">
        <w:rPr>
          <w:lang w:val="en-GB"/>
        </w:rPr>
        <w:t>s</w:t>
      </w:r>
      <w:r w:rsidR="002F541E" w:rsidRPr="000956D4">
        <w:rPr>
          <w:lang w:val="en-GB"/>
        </w:rPr>
        <w:t xml:space="preserve"> and 10</w:t>
      </w:r>
      <w:r w:rsidR="00B274A9">
        <w:rPr>
          <w:lang w:val="en-GB"/>
        </w:rPr>
        <w:t> </w:t>
      </w:r>
      <w:r w:rsidR="002F541E" w:rsidRPr="000956D4">
        <w:rPr>
          <w:lang w:val="en-GB"/>
        </w:rPr>
        <w:t>year</w:t>
      </w:r>
      <w:r w:rsidR="00B77494">
        <w:rPr>
          <w:lang w:val="en-GB"/>
        </w:rPr>
        <w:t>s</w:t>
      </w:r>
      <w:r w:rsidR="002F541E" w:rsidRPr="000956D4">
        <w:rPr>
          <w:lang w:val="en-GB"/>
        </w:rPr>
        <w:t xml:space="preserve"> (</w:t>
      </w:r>
      <w:r w:rsidR="00D27539">
        <w:rPr>
          <w:lang w:val="en-GB"/>
        </w:rPr>
        <w:t>that is,</w:t>
      </w:r>
      <w:r w:rsidR="002F541E" w:rsidRPr="000956D4">
        <w:rPr>
          <w:lang w:val="en-GB"/>
        </w:rPr>
        <w:t xml:space="preserve"> treatment effect continued to 1</w:t>
      </w:r>
      <w:r w:rsidR="003B084F">
        <w:rPr>
          <w:lang w:val="en-GB"/>
        </w:rPr>
        <w:t> </w:t>
      </w:r>
      <w:r w:rsidR="002F541E" w:rsidRPr="000956D4">
        <w:rPr>
          <w:lang w:val="en-GB"/>
        </w:rPr>
        <w:t>year, 3</w:t>
      </w:r>
      <w:r w:rsidR="003B084F">
        <w:rPr>
          <w:lang w:val="en-GB"/>
        </w:rPr>
        <w:t> </w:t>
      </w:r>
      <w:r w:rsidR="002F541E" w:rsidRPr="000956D4">
        <w:rPr>
          <w:lang w:val="en-GB"/>
        </w:rPr>
        <w:t>years and 7</w:t>
      </w:r>
      <w:r w:rsidR="00645AEE">
        <w:rPr>
          <w:lang w:val="en-GB"/>
        </w:rPr>
        <w:t> </w:t>
      </w:r>
      <w:r w:rsidR="002F541E" w:rsidRPr="000956D4">
        <w:rPr>
          <w:lang w:val="en-GB"/>
        </w:rPr>
        <w:t xml:space="preserve">years after </w:t>
      </w:r>
      <w:r w:rsidR="0004520B">
        <w:rPr>
          <w:lang w:val="en-GB"/>
        </w:rPr>
        <w:t xml:space="preserve">stopping </w:t>
      </w:r>
      <w:r w:rsidR="002F541E" w:rsidRPr="000956D4">
        <w:rPr>
          <w:lang w:val="en-GB"/>
        </w:rPr>
        <w:t xml:space="preserve">pembrolizumab). The committee noted that there </w:t>
      </w:r>
      <w:r w:rsidR="00B228D7">
        <w:rPr>
          <w:lang w:val="en-GB"/>
        </w:rPr>
        <w:t>could be</w:t>
      </w:r>
      <w:r w:rsidR="002F541E" w:rsidRPr="000956D4">
        <w:rPr>
          <w:lang w:val="en-GB"/>
        </w:rPr>
        <w:t xml:space="preserve"> </w:t>
      </w:r>
      <w:r w:rsidR="005F350F">
        <w:rPr>
          <w:lang w:val="en-GB"/>
        </w:rPr>
        <w:t>uncertainty</w:t>
      </w:r>
      <w:r w:rsidR="005F350F" w:rsidRPr="000956D4">
        <w:rPr>
          <w:lang w:val="en-GB"/>
        </w:rPr>
        <w:t xml:space="preserve"> </w:t>
      </w:r>
      <w:r w:rsidR="002F541E" w:rsidRPr="000956D4">
        <w:rPr>
          <w:lang w:val="en-GB"/>
        </w:rPr>
        <w:t xml:space="preserve">in the economic model if treatment waning effects were applied in a scenario with continued </w:t>
      </w:r>
      <w:proofErr w:type="spellStart"/>
      <w:r w:rsidR="009622EF">
        <w:rPr>
          <w:lang w:val="en-GB"/>
        </w:rPr>
        <w:t>axitinib</w:t>
      </w:r>
      <w:proofErr w:type="spellEnd"/>
      <w:r w:rsidR="009622EF">
        <w:rPr>
          <w:lang w:val="en-GB"/>
        </w:rPr>
        <w:t xml:space="preserve"> </w:t>
      </w:r>
      <w:r w:rsidR="002F541E" w:rsidRPr="000956D4">
        <w:rPr>
          <w:lang w:val="en-GB"/>
        </w:rPr>
        <w:t>treatment</w:t>
      </w:r>
      <w:r w:rsidR="009622EF">
        <w:rPr>
          <w:lang w:val="en-GB"/>
        </w:rPr>
        <w:t>,</w:t>
      </w:r>
      <w:r w:rsidR="00667D1A" w:rsidRPr="00B615A0">
        <w:rPr>
          <w:lang w:val="en-GB"/>
        </w:rPr>
        <w:t xml:space="preserve"> or in scenarios whe</w:t>
      </w:r>
      <w:r w:rsidR="00EE0936">
        <w:rPr>
          <w:lang w:val="en-GB"/>
        </w:rPr>
        <w:t>n</w:t>
      </w:r>
      <w:r w:rsidR="00667D1A" w:rsidRPr="00B615A0">
        <w:rPr>
          <w:lang w:val="en-GB"/>
        </w:rPr>
        <w:t xml:space="preserve"> there was an implicit assumption of cure in the model. T</w:t>
      </w:r>
      <w:r w:rsidR="002F541E" w:rsidRPr="000956D4">
        <w:rPr>
          <w:lang w:val="en-GB"/>
        </w:rPr>
        <w:t>herefore</w:t>
      </w:r>
      <w:r w:rsidR="000B5802">
        <w:rPr>
          <w:lang w:val="en-GB"/>
        </w:rPr>
        <w:t>,</w:t>
      </w:r>
      <w:r w:rsidR="002F541E" w:rsidRPr="000956D4">
        <w:rPr>
          <w:lang w:val="en-GB"/>
        </w:rPr>
        <w:t xml:space="preserve"> the </w:t>
      </w:r>
      <w:r w:rsidR="00A205F9" w:rsidRPr="000956D4">
        <w:rPr>
          <w:lang w:val="en-GB"/>
        </w:rPr>
        <w:t xml:space="preserve">scenario analyses were interpreted with caution. </w:t>
      </w:r>
      <w:r w:rsidR="00667D1A" w:rsidRPr="00B615A0">
        <w:rPr>
          <w:lang w:val="en-GB"/>
        </w:rPr>
        <w:t>The</w:t>
      </w:r>
      <w:r w:rsidR="00A205F9" w:rsidRPr="000956D4">
        <w:rPr>
          <w:lang w:val="en-GB"/>
        </w:rPr>
        <w:t xml:space="preserve"> committee </w:t>
      </w:r>
      <w:r w:rsidR="005041E7" w:rsidRPr="000956D4">
        <w:rPr>
          <w:lang w:val="en-GB"/>
        </w:rPr>
        <w:t xml:space="preserve">concluded </w:t>
      </w:r>
      <w:r w:rsidR="00A205F9" w:rsidRPr="000956D4">
        <w:rPr>
          <w:lang w:val="en-GB"/>
        </w:rPr>
        <w:t xml:space="preserve">that </w:t>
      </w:r>
      <w:r w:rsidR="00375157">
        <w:rPr>
          <w:lang w:val="en-GB"/>
        </w:rPr>
        <w:t>using a treatment</w:t>
      </w:r>
      <w:r w:rsidR="00533FE2">
        <w:rPr>
          <w:lang w:val="en-GB"/>
        </w:rPr>
        <w:t xml:space="preserve"> waning effect </w:t>
      </w:r>
      <w:r w:rsidR="00375157">
        <w:rPr>
          <w:lang w:val="en-GB"/>
        </w:rPr>
        <w:t xml:space="preserve">after 5 years </w:t>
      </w:r>
      <w:r w:rsidR="00533FE2">
        <w:rPr>
          <w:lang w:val="en-GB"/>
        </w:rPr>
        <w:t>was</w:t>
      </w:r>
      <w:r w:rsidR="00A205F9" w:rsidRPr="000956D4">
        <w:rPr>
          <w:lang w:val="en-GB"/>
        </w:rPr>
        <w:t xml:space="preserve"> appropriate given the immaturity of the data.</w:t>
      </w:r>
    </w:p>
    <w:p w14:paraId="492E38FA" w14:textId="089B45F8" w:rsidR="008F5D99" w:rsidRPr="00DB622F" w:rsidRDefault="008F5D99" w:rsidP="00C52D9A">
      <w:pPr>
        <w:pStyle w:val="Heading2"/>
      </w:pPr>
      <w:r w:rsidRPr="00B615A0">
        <w:t xml:space="preserve">Application of a 2-year stopping rule </w:t>
      </w:r>
    </w:p>
    <w:p w14:paraId="47DC6805" w14:textId="4A111E7C" w:rsidR="008F5D99" w:rsidRPr="00DB622F" w:rsidRDefault="008F5D99" w:rsidP="00C52D9A">
      <w:pPr>
        <w:pStyle w:val="Heading3"/>
      </w:pPr>
      <w:r w:rsidRPr="00DB622F">
        <w:t xml:space="preserve">It is appropriate to </w:t>
      </w:r>
      <w:r w:rsidR="00976F5B" w:rsidRPr="00DB622F">
        <w:t xml:space="preserve">apply </w:t>
      </w:r>
      <w:r w:rsidRPr="00DB622F">
        <w:t xml:space="preserve">a 2-year stopping rule for pembrolizumab </w:t>
      </w:r>
    </w:p>
    <w:p w14:paraId="27A11222" w14:textId="601F22BD" w:rsidR="002F541E" w:rsidRPr="000956D4" w:rsidRDefault="00556845" w:rsidP="00C52D9A">
      <w:pPr>
        <w:pStyle w:val="Numberedlevel2text"/>
        <w:rPr>
          <w:lang w:val="en-GB"/>
        </w:rPr>
      </w:pPr>
      <w:r w:rsidRPr="000956D4">
        <w:rPr>
          <w:lang w:val="en-GB"/>
        </w:rPr>
        <w:t xml:space="preserve">KEYNOTE-426 </w:t>
      </w:r>
      <w:r w:rsidR="00A205F9" w:rsidRPr="000956D4">
        <w:rPr>
          <w:lang w:val="en-GB"/>
        </w:rPr>
        <w:t>applied a stopping rule after 35 cycles (approximately 2</w:t>
      </w:r>
      <w:r w:rsidR="00AE6F3A">
        <w:rPr>
          <w:lang w:val="en-GB"/>
        </w:rPr>
        <w:t> </w:t>
      </w:r>
      <w:r w:rsidR="00A205F9" w:rsidRPr="000956D4">
        <w:rPr>
          <w:lang w:val="en-GB"/>
        </w:rPr>
        <w:t xml:space="preserve">years of continuous treatment). </w:t>
      </w:r>
      <w:r w:rsidR="00E47EBF">
        <w:rPr>
          <w:lang w:val="en-GB"/>
        </w:rPr>
        <w:t>It</w:t>
      </w:r>
      <w:r w:rsidRPr="000956D4">
        <w:rPr>
          <w:lang w:val="en-GB"/>
        </w:rPr>
        <w:t xml:space="preserve"> </w:t>
      </w:r>
      <w:r w:rsidR="00A205F9" w:rsidRPr="000956D4">
        <w:rPr>
          <w:lang w:val="en-GB"/>
        </w:rPr>
        <w:t>allowed treatment to stop and restart within the 35</w:t>
      </w:r>
      <w:r w:rsidR="00D26827">
        <w:rPr>
          <w:lang w:val="en-GB"/>
        </w:rPr>
        <w:t> </w:t>
      </w:r>
      <w:r w:rsidR="00A205F9" w:rsidRPr="000956D4">
        <w:rPr>
          <w:lang w:val="en-GB"/>
        </w:rPr>
        <w:t xml:space="preserve">cycles, </w:t>
      </w:r>
      <w:r w:rsidR="00335928">
        <w:rPr>
          <w:lang w:val="en-GB"/>
        </w:rPr>
        <w:t>and</w:t>
      </w:r>
      <w:r w:rsidR="00A205F9" w:rsidRPr="000956D4">
        <w:rPr>
          <w:lang w:val="en-GB"/>
        </w:rPr>
        <w:t xml:space="preserve"> allowed for another 17</w:t>
      </w:r>
      <w:r w:rsidR="00C01C2A">
        <w:rPr>
          <w:lang w:val="en-GB"/>
        </w:rPr>
        <w:t> </w:t>
      </w:r>
      <w:r w:rsidR="00A205F9" w:rsidRPr="000956D4">
        <w:rPr>
          <w:lang w:val="en-GB"/>
        </w:rPr>
        <w:t xml:space="preserve">cycles of retreatment </w:t>
      </w:r>
      <w:r w:rsidR="002A24FC">
        <w:rPr>
          <w:lang w:val="en-GB"/>
        </w:rPr>
        <w:t>because of</w:t>
      </w:r>
      <w:r w:rsidR="00E66AD6" w:rsidRPr="000956D4">
        <w:rPr>
          <w:lang w:val="en-GB"/>
        </w:rPr>
        <w:t xml:space="preserve"> relapse </w:t>
      </w:r>
      <w:r w:rsidR="00A205F9" w:rsidRPr="000956D4">
        <w:rPr>
          <w:lang w:val="en-GB"/>
        </w:rPr>
        <w:t>i</w:t>
      </w:r>
      <w:r w:rsidR="00E66AD6" w:rsidRPr="000956D4">
        <w:rPr>
          <w:lang w:val="en-GB"/>
        </w:rPr>
        <w:t>f the patient had stopped at 35</w:t>
      </w:r>
      <w:r w:rsidR="00BE4920">
        <w:rPr>
          <w:lang w:val="en-GB"/>
        </w:rPr>
        <w:t> </w:t>
      </w:r>
      <w:r w:rsidR="00E66AD6" w:rsidRPr="000956D4">
        <w:rPr>
          <w:lang w:val="en-GB"/>
        </w:rPr>
        <w:t xml:space="preserve">cycles or </w:t>
      </w:r>
      <w:r w:rsidR="00BE4920">
        <w:rPr>
          <w:lang w:val="en-GB"/>
        </w:rPr>
        <w:t xml:space="preserve">stopped </w:t>
      </w:r>
      <w:r w:rsidR="00BE4920">
        <w:rPr>
          <w:lang w:val="en-GB"/>
        </w:rPr>
        <w:lastRenderedPageBreak/>
        <w:t xml:space="preserve">because of </w:t>
      </w:r>
      <w:r w:rsidR="00E66AD6" w:rsidRPr="000956D4">
        <w:rPr>
          <w:lang w:val="en-GB"/>
        </w:rPr>
        <w:t xml:space="preserve">complete remission. </w:t>
      </w:r>
      <w:r w:rsidR="00A205F9" w:rsidRPr="000956D4">
        <w:rPr>
          <w:lang w:val="en-GB"/>
        </w:rPr>
        <w:t>The committee noted that the follow up of 20</w:t>
      </w:r>
      <w:r w:rsidR="00962B17">
        <w:rPr>
          <w:lang w:val="en-GB"/>
        </w:rPr>
        <w:t> </w:t>
      </w:r>
      <w:r w:rsidR="00A205F9" w:rsidRPr="000956D4">
        <w:rPr>
          <w:lang w:val="en-GB"/>
        </w:rPr>
        <w:t>months was shorter than the 2-year stopping rule</w:t>
      </w:r>
      <w:r w:rsidR="00893393">
        <w:rPr>
          <w:lang w:val="en-GB"/>
        </w:rPr>
        <w:t>.</w:t>
      </w:r>
      <w:r w:rsidR="00A205F9" w:rsidRPr="000956D4">
        <w:rPr>
          <w:lang w:val="en-GB"/>
        </w:rPr>
        <w:t xml:space="preserve"> </w:t>
      </w:r>
      <w:r w:rsidR="00893393">
        <w:rPr>
          <w:lang w:val="en-GB"/>
        </w:rPr>
        <w:t>S</w:t>
      </w:r>
      <w:r w:rsidR="00B63772">
        <w:rPr>
          <w:lang w:val="en-GB"/>
        </w:rPr>
        <w:t>o</w:t>
      </w:r>
      <w:r w:rsidR="00893393">
        <w:rPr>
          <w:lang w:val="en-GB"/>
        </w:rPr>
        <w:t>,</w:t>
      </w:r>
      <w:r w:rsidR="00B63772" w:rsidRPr="000956D4">
        <w:rPr>
          <w:lang w:val="en-GB"/>
        </w:rPr>
        <w:t xml:space="preserve"> </w:t>
      </w:r>
      <w:r w:rsidRPr="000956D4">
        <w:rPr>
          <w:lang w:val="en-GB"/>
        </w:rPr>
        <w:t>KEYNOTE</w:t>
      </w:r>
      <w:r w:rsidR="00BB171A">
        <w:rPr>
          <w:lang w:val="en-GB"/>
        </w:rPr>
        <w:noBreakHyphen/>
      </w:r>
      <w:r w:rsidRPr="000956D4">
        <w:rPr>
          <w:lang w:val="en-GB"/>
        </w:rPr>
        <w:t xml:space="preserve">426 </w:t>
      </w:r>
      <w:r w:rsidR="00A205F9" w:rsidRPr="000956D4">
        <w:rPr>
          <w:lang w:val="en-GB"/>
        </w:rPr>
        <w:t xml:space="preserve">did not give any information </w:t>
      </w:r>
      <w:r w:rsidR="003117DC">
        <w:rPr>
          <w:lang w:val="en-GB"/>
        </w:rPr>
        <w:t>about</w:t>
      </w:r>
      <w:r w:rsidR="00A205F9" w:rsidRPr="000956D4">
        <w:rPr>
          <w:lang w:val="en-GB"/>
        </w:rPr>
        <w:t xml:space="preserve"> the likely </w:t>
      </w:r>
      <w:r w:rsidR="003117DC">
        <w:rPr>
          <w:lang w:val="en-GB"/>
        </w:rPr>
        <w:t>effect</w:t>
      </w:r>
      <w:r w:rsidR="003117DC" w:rsidRPr="000956D4">
        <w:rPr>
          <w:lang w:val="en-GB"/>
        </w:rPr>
        <w:t xml:space="preserve"> </w:t>
      </w:r>
      <w:r w:rsidR="00A205F9" w:rsidRPr="000956D4">
        <w:rPr>
          <w:lang w:val="en-GB"/>
        </w:rPr>
        <w:t>of the 2</w:t>
      </w:r>
      <w:r w:rsidR="00B63772">
        <w:rPr>
          <w:lang w:val="en-GB"/>
        </w:rPr>
        <w:noBreakHyphen/>
      </w:r>
      <w:r w:rsidR="00A205F9" w:rsidRPr="000956D4">
        <w:rPr>
          <w:lang w:val="en-GB"/>
        </w:rPr>
        <w:t>year stopping rule</w:t>
      </w:r>
      <w:r w:rsidR="00375157">
        <w:rPr>
          <w:lang w:val="en-GB"/>
        </w:rPr>
        <w:t xml:space="preserve">, </w:t>
      </w:r>
      <w:r w:rsidR="00194B64">
        <w:rPr>
          <w:lang w:val="en-GB"/>
        </w:rPr>
        <w:t>the proportion of patients who would re</w:t>
      </w:r>
      <w:r w:rsidR="00334926">
        <w:rPr>
          <w:lang w:val="en-GB"/>
        </w:rPr>
        <w:t>start</w:t>
      </w:r>
      <w:r w:rsidR="00194B64">
        <w:rPr>
          <w:lang w:val="en-GB"/>
        </w:rPr>
        <w:t xml:space="preserve"> treatment with pembrolizumab after having </w:t>
      </w:r>
      <w:r w:rsidR="00334926">
        <w:rPr>
          <w:lang w:val="en-GB"/>
        </w:rPr>
        <w:t>had</w:t>
      </w:r>
      <w:r w:rsidR="00194B64">
        <w:rPr>
          <w:lang w:val="en-GB"/>
        </w:rPr>
        <w:t xml:space="preserve"> 35</w:t>
      </w:r>
      <w:r w:rsidR="00334926">
        <w:rPr>
          <w:lang w:val="en-GB"/>
        </w:rPr>
        <w:t> </w:t>
      </w:r>
      <w:r w:rsidR="00194B64">
        <w:rPr>
          <w:lang w:val="en-GB"/>
        </w:rPr>
        <w:t>cycles</w:t>
      </w:r>
      <w:r w:rsidR="001C47BE">
        <w:rPr>
          <w:lang w:val="en-GB"/>
        </w:rPr>
        <w:t>,</w:t>
      </w:r>
      <w:r w:rsidR="00375157">
        <w:rPr>
          <w:lang w:val="en-GB"/>
        </w:rPr>
        <w:t xml:space="preserve"> or the effectiveness of retreatment</w:t>
      </w:r>
      <w:r w:rsidR="00A205F9" w:rsidRPr="000956D4">
        <w:rPr>
          <w:lang w:val="en-GB"/>
        </w:rPr>
        <w:t xml:space="preserve">. </w:t>
      </w:r>
      <w:r w:rsidR="00375157">
        <w:rPr>
          <w:lang w:val="en-GB"/>
        </w:rPr>
        <w:t xml:space="preserve">It </w:t>
      </w:r>
      <w:r w:rsidR="00256321">
        <w:rPr>
          <w:lang w:val="en-GB"/>
        </w:rPr>
        <w:t>further noted that r</w:t>
      </w:r>
      <w:r w:rsidR="00375157">
        <w:rPr>
          <w:lang w:val="en-GB"/>
        </w:rPr>
        <w:t>etreatment was not included in the company’s economic model</w:t>
      </w:r>
      <w:r w:rsidR="00A205F9" w:rsidRPr="000956D4">
        <w:rPr>
          <w:lang w:val="en-GB"/>
        </w:rPr>
        <w:t xml:space="preserve">. </w:t>
      </w:r>
      <w:r w:rsidR="00976F5B" w:rsidRPr="00B615A0">
        <w:rPr>
          <w:lang w:val="en-GB"/>
        </w:rPr>
        <w:t xml:space="preserve">The committee concluded </w:t>
      </w:r>
      <w:r w:rsidR="00976F5B" w:rsidRPr="00DB622F">
        <w:rPr>
          <w:lang w:val="en-GB"/>
        </w:rPr>
        <w:t>that a 2</w:t>
      </w:r>
      <w:r w:rsidR="00976F5B" w:rsidRPr="00DB622F">
        <w:rPr>
          <w:lang w:val="en-GB"/>
        </w:rPr>
        <w:noBreakHyphen/>
        <w:t>year treatment stopping rule in line with the clinical- and cost-effectiveness evidence was appropriate.</w:t>
      </w:r>
    </w:p>
    <w:p w14:paraId="743B28D2" w14:textId="535EAD82" w:rsidR="00643582" w:rsidRPr="00DB622F" w:rsidRDefault="00642EE6" w:rsidP="00643582">
      <w:pPr>
        <w:pStyle w:val="Heading2"/>
      </w:pPr>
      <w:r w:rsidRPr="00B615A0">
        <w:t>Health-related quality of life</w:t>
      </w:r>
    </w:p>
    <w:p w14:paraId="1C99F2C8" w14:textId="74998504" w:rsidR="00643582" w:rsidRPr="00DB622F" w:rsidRDefault="00457F95" w:rsidP="0073007E">
      <w:pPr>
        <w:pStyle w:val="Heading3"/>
      </w:pPr>
      <w:r>
        <w:t>The data are not appropriate for</w:t>
      </w:r>
      <w:r w:rsidRPr="00DB622F">
        <w:t xml:space="preserve"> </w:t>
      </w:r>
      <w:r w:rsidR="007C1845" w:rsidRPr="00DB622F">
        <w:t>a time</w:t>
      </w:r>
      <w:r w:rsidR="00B3643D">
        <w:t>-</w:t>
      </w:r>
      <w:r w:rsidR="007C1845" w:rsidRPr="00DB622F">
        <w:t>to</w:t>
      </w:r>
      <w:r w:rsidR="00B3643D">
        <w:t>-</w:t>
      </w:r>
      <w:r w:rsidR="007C1845" w:rsidRPr="00DB622F">
        <w:t xml:space="preserve">death or a pooled health state </w:t>
      </w:r>
      <w:r w:rsidR="00125F51">
        <w:t xml:space="preserve">modelling </w:t>
      </w:r>
      <w:r w:rsidR="007C1845" w:rsidRPr="00DB622F">
        <w:t xml:space="preserve">approach because of </w:t>
      </w:r>
      <w:r w:rsidR="00614E82" w:rsidRPr="00DB622F">
        <w:t>bias in the</w:t>
      </w:r>
      <w:r w:rsidR="00B77494">
        <w:t xml:space="preserve"> health-related quality</w:t>
      </w:r>
      <w:r w:rsidR="00C75605">
        <w:t xml:space="preserve"> </w:t>
      </w:r>
      <w:r w:rsidR="00B77494">
        <w:t>of</w:t>
      </w:r>
      <w:r w:rsidR="00C75605">
        <w:t xml:space="preserve"> </w:t>
      </w:r>
      <w:r w:rsidR="00B77494">
        <w:t>life</w:t>
      </w:r>
      <w:r w:rsidR="007C1845" w:rsidRPr="00DB622F">
        <w:t xml:space="preserve"> data </w:t>
      </w:r>
      <w:r w:rsidR="00482725">
        <w:t>from</w:t>
      </w:r>
      <w:r w:rsidR="007C1845" w:rsidRPr="00DB622F">
        <w:t xml:space="preserve"> the trial</w:t>
      </w:r>
    </w:p>
    <w:p w14:paraId="422883C4" w14:textId="33592AAB" w:rsidR="007C1845" w:rsidRPr="000956D4" w:rsidRDefault="00FC1EF9" w:rsidP="00C52D9A">
      <w:pPr>
        <w:pStyle w:val="Numberedlevel2text"/>
        <w:rPr>
          <w:lang w:val="en-GB"/>
        </w:rPr>
      </w:pPr>
      <w:bookmarkStart w:id="6" w:name="_Ref31654973"/>
      <w:r w:rsidRPr="000956D4">
        <w:rPr>
          <w:lang w:val="en-GB"/>
        </w:rPr>
        <w:t>Clinical experts confirmed that markers of disease progression, such as tumour size, may not have a strong correlation with quality of life</w:t>
      </w:r>
      <w:r w:rsidR="00E827EE">
        <w:rPr>
          <w:lang w:val="en-GB"/>
        </w:rPr>
        <w:t>.</w:t>
      </w:r>
      <w:r w:rsidRPr="000956D4">
        <w:rPr>
          <w:lang w:val="en-GB"/>
        </w:rPr>
        <w:t xml:space="preserve"> </w:t>
      </w:r>
      <w:r w:rsidR="00E827EE">
        <w:rPr>
          <w:lang w:val="en-GB"/>
        </w:rPr>
        <w:t xml:space="preserve">This </w:t>
      </w:r>
      <w:r w:rsidRPr="000956D4">
        <w:rPr>
          <w:lang w:val="en-GB"/>
        </w:rPr>
        <w:t>suggest</w:t>
      </w:r>
      <w:r w:rsidR="00513E18">
        <w:rPr>
          <w:lang w:val="en-GB"/>
        </w:rPr>
        <w:t>s</w:t>
      </w:r>
      <w:r w:rsidRPr="000956D4">
        <w:rPr>
          <w:lang w:val="en-GB"/>
        </w:rPr>
        <w:t xml:space="preserve"> that a time</w:t>
      </w:r>
      <w:r w:rsidR="009C5285">
        <w:rPr>
          <w:lang w:val="en-GB"/>
        </w:rPr>
        <w:t>-</w:t>
      </w:r>
      <w:r w:rsidRPr="000956D4">
        <w:rPr>
          <w:lang w:val="en-GB"/>
        </w:rPr>
        <w:t>to</w:t>
      </w:r>
      <w:r w:rsidR="009C5285">
        <w:rPr>
          <w:lang w:val="en-GB"/>
        </w:rPr>
        <w:t>-</w:t>
      </w:r>
      <w:r w:rsidRPr="000956D4">
        <w:rPr>
          <w:lang w:val="en-GB"/>
        </w:rPr>
        <w:t>death approach</w:t>
      </w:r>
      <w:r w:rsidR="00DE133B" w:rsidRPr="00B615A0">
        <w:rPr>
          <w:lang w:val="en-GB"/>
        </w:rPr>
        <w:t xml:space="preserve"> </w:t>
      </w:r>
      <w:r w:rsidR="007F181D">
        <w:rPr>
          <w:lang w:val="en-GB"/>
        </w:rPr>
        <w:t>to</w:t>
      </w:r>
      <w:r w:rsidR="00DE133B" w:rsidRPr="00B615A0">
        <w:rPr>
          <w:lang w:val="en-GB"/>
        </w:rPr>
        <w:t xml:space="preserve"> estimat</w:t>
      </w:r>
      <w:r w:rsidR="007F181D">
        <w:rPr>
          <w:lang w:val="en-GB"/>
        </w:rPr>
        <w:t>e</w:t>
      </w:r>
      <w:r w:rsidR="00DE133B" w:rsidRPr="00B615A0">
        <w:rPr>
          <w:lang w:val="en-GB"/>
        </w:rPr>
        <w:t xml:space="preserve"> health</w:t>
      </w:r>
      <w:r w:rsidR="00667D1A" w:rsidRPr="00DB622F">
        <w:rPr>
          <w:lang w:val="en-GB"/>
        </w:rPr>
        <w:t>-</w:t>
      </w:r>
      <w:r w:rsidR="00DE133B" w:rsidRPr="00DB622F">
        <w:rPr>
          <w:lang w:val="en-GB"/>
        </w:rPr>
        <w:t>related quality of life</w:t>
      </w:r>
      <w:r w:rsidRPr="00994BCD">
        <w:rPr>
          <w:lang w:val="en-GB"/>
        </w:rPr>
        <w:t xml:space="preserve"> </w:t>
      </w:r>
      <w:r w:rsidR="00351FE0">
        <w:rPr>
          <w:lang w:val="en-GB"/>
        </w:rPr>
        <w:t>could</w:t>
      </w:r>
      <w:r w:rsidRPr="00994BCD">
        <w:rPr>
          <w:lang w:val="en-GB"/>
        </w:rPr>
        <w:t xml:space="preserve"> be reasonable. The committee compared the utility values used for the progression</w:t>
      </w:r>
      <w:r w:rsidR="005C7594">
        <w:rPr>
          <w:lang w:val="en-GB"/>
        </w:rPr>
        <w:t>-</w:t>
      </w:r>
      <w:r w:rsidRPr="00994BCD">
        <w:rPr>
          <w:lang w:val="en-GB"/>
        </w:rPr>
        <w:t xml:space="preserve">free and progressed states against those </w:t>
      </w:r>
      <w:r w:rsidR="00EB1ACD">
        <w:rPr>
          <w:lang w:val="en-GB"/>
        </w:rPr>
        <w:t>using</w:t>
      </w:r>
      <w:r w:rsidRPr="00994BCD">
        <w:rPr>
          <w:lang w:val="en-GB"/>
        </w:rPr>
        <w:t xml:space="preserve"> the time</w:t>
      </w:r>
      <w:r w:rsidR="005E6A04">
        <w:rPr>
          <w:lang w:val="en-GB"/>
        </w:rPr>
        <w:t>-</w:t>
      </w:r>
      <w:r w:rsidRPr="00994BCD">
        <w:rPr>
          <w:lang w:val="en-GB"/>
        </w:rPr>
        <w:t>to</w:t>
      </w:r>
      <w:r w:rsidR="005E6A04">
        <w:rPr>
          <w:lang w:val="en-GB"/>
        </w:rPr>
        <w:t>-</w:t>
      </w:r>
      <w:r w:rsidRPr="00994BCD">
        <w:rPr>
          <w:lang w:val="en-GB"/>
        </w:rPr>
        <w:t>death approach</w:t>
      </w:r>
      <w:r w:rsidR="00476AF1">
        <w:rPr>
          <w:lang w:val="en-GB"/>
        </w:rPr>
        <w:t>.</w:t>
      </w:r>
      <w:r w:rsidRPr="00994BCD">
        <w:rPr>
          <w:lang w:val="en-GB"/>
        </w:rPr>
        <w:t xml:space="preserve"> </w:t>
      </w:r>
      <w:r w:rsidR="00FC02BD">
        <w:rPr>
          <w:lang w:val="en-GB"/>
        </w:rPr>
        <w:t xml:space="preserve">Utilities </w:t>
      </w:r>
      <w:r w:rsidR="00087B80">
        <w:rPr>
          <w:lang w:val="en-GB"/>
        </w:rPr>
        <w:t xml:space="preserve">were </w:t>
      </w:r>
      <w:r w:rsidR="00FC02BD">
        <w:rPr>
          <w:lang w:val="en-GB"/>
        </w:rPr>
        <w:t xml:space="preserve">calculated by progression status </w:t>
      </w:r>
      <w:r w:rsidR="0021783B">
        <w:rPr>
          <w:lang w:val="en-GB"/>
        </w:rPr>
        <w:t>and</w:t>
      </w:r>
      <w:r w:rsidR="00FC02BD">
        <w:rPr>
          <w:lang w:val="en-GB"/>
        </w:rPr>
        <w:t xml:space="preserve"> differentiated by treatment</w:t>
      </w:r>
      <w:r w:rsidR="00087B80">
        <w:rPr>
          <w:lang w:val="en-GB"/>
        </w:rPr>
        <w:t xml:space="preserve">. They </w:t>
      </w:r>
      <w:r w:rsidR="00FC02BD">
        <w:rPr>
          <w:lang w:val="en-GB"/>
        </w:rPr>
        <w:t xml:space="preserve">were higher for pembrolizumab with </w:t>
      </w:r>
      <w:proofErr w:type="spellStart"/>
      <w:r w:rsidR="00FC02BD">
        <w:rPr>
          <w:lang w:val="en-GB"/>
        </w:rPr>
        <w:t>axitinib</w:t>
      </w:r>
      <w:proofErr w:type="spellEnd"/>
      <w:r w:rsidR="00FC02BD">
        <w:rPr>
          <w:lang w:val="en-GB"/>
        </w:rPr>
        <w:t xml:space="preserve"> than those calculated for sunitinib for each respective health state</w:t>
      </w:r>
      <w:r w:rsidRPr="000D50CC">
        <w:rPr>
          <w:lang w:val="en-GB"/>
        </w:rPr>
        <w:t xml:space="preserve">. The </w:t>
      </w:r>
      <w:r w:rsidRPr="00994BCD">
        <w:rPr>
          <w:lang w:val="en-GB"/>
        </w:rPr>
        <w:t>committee noted the decrement in quality of life between the progression</w:t>
      </w:r>
      <w:r w:rsidR="00331FE5">
        <w:rPr>
          <w:lang w:val="en-GB"/>
        </w:rPr>
        <w:t>-</w:t>
      </w:r>
      <w:r w:rsidRPr="00994BCD">
        <w:rPr>
          <w:lang w:val="en-GB"/>
        </w:rPr>
        <w:t>free and progressed state</w:t>
      </w:r>
      <w:r w:rsidR="00F45A35">
        <w:rPr>
          <w:lang w:val="en-GB"/>
        </w:rPr>
        <w:t>s</w:t>
      </w:r>
      <w:r w:rsidRPr="00994BCD">
        <w:rPr>
          <w:lang w:val="en-GB"/>
        </w:rPr>
        <w:t xml:space="preserve">. </w:t>
      </w:r>
      <w:r w:rsidR="007B7DE5">
        <w:rPr>
          <w:lang w:val="en-GB"/>
        </w:rPr>
        <w:t>It</w:t>
      </w:r>
      <w:r w:rsidRPr="00994BCD">
        <w:rPr>
          <w:lang w:val="en-GB"/>
        </w:rPr>
        <w:t xml:space="preserve"> considered how the utility data was collected in KEYNOTE</w:t>
      </w:r>
      <w:r w:rsidR="003C4148">
        <w:rPr>
          <w:lang w:val="en-GB"/>
        </w:rPr>
        <w:noBreakHyphen/>
      </w:r>
      <w:r w:rsidR="0057536D" w:rsidRPr="00994BCD">
        <w:rPr>
          <w:lang w:val="en-GB"/>
        </w:rPr>
        <w:t>426</w:t>
      </w:r>
      <w:r w:rsidR="00F57676">
        <w:rPr>
          <w:lang w:val="en-GB"/>
        </w:rPr>
        <w:t>.</w:t>
      </w:r>
      <w:r w:rsidRPr="00994BCD">
        <w:rPr>
          <w:lang w:val="en-GB"/>
        </w:rPr>
        <w:t xml:space="preserve"> </w:t>
      </w:r>
      <w:r w:rsidR="00F57676">
        <w:rPr>
          <w:lang w:val="en-GB"/>
        </w:rPr>
        <w:t>Fi</w:t>
      </w:r>
      <w:r w:rsidRPr="00994BCD">
        <w:rPr>
          <w:lang w:val="en-GB"/>
        </w:rPr>
        <w:t>ndings from all of the methods to analyse</w:t>
      </w:r>
      <w:r w:rsidR="00425F59" w:rsidRPr="00994BCD">
        <w:rPr>
          <w:lang w:val="en-GB"/>
        </w:rPr>
        <w:t xml:space="preserve"> utility data may be biased and </w:t>
      </w:r>
      <w:r w:rsidR="00F70F67">
        <w:rPr>
          <w:lang w:val="en-GB"/>
        </w:rPr>
        <w:t>give</w:t>
      </w:r>
      <w:r w:rsidR="00425F59" w:rsidRPr="00994BCD">
        <w:rPr>
          <w:lang w:val="en-GB"/>
        </w:rPr>
        <w:t xml:space="preserve"> overly optimistic estimates. This is because</w:t>
      </w:r>
      <w:r w:rsidR="00B77494">
        <w:rPr>
          <w:lang w:val="en-GB"/>
        </w:rPr>
        <w:t xml:space="preserve"> </w:t>
      </w:r>
      <w:r w:rsidR="00EA7E62">
        <w:rPr>
          <w:lang w:val="en-GB"/>
        </w:rPr>
        <w:t xml:space="preserve">data collection on </w:t>
      </w:r>
      <w:r w:rsidR="00EA7E62" w:rsidRPr="00994BCD">
        <w:rPr>
          <w:lang w:val="en-GB"/>
        </w:rPr>
        <w:t>health</w:t>
      </w:r>
      <w:r w:rsidR="00EA7E62" w:rsidRPr="00B615A0">
        <w:rPr>
          <w:lang w:val="en-GB"/>
        </w:rPr>
        <w:t>-</w:t>
      </w:r>
      <w:r w:rsidR="00EA7E62" w:rsidRPr="00994BCD">
        <w:rPr>
          <w:lang w:val="en-GB"/>
        </w:rPr>
        <w:t>related quality</w:t>
      </w:r>
      <w:r w:rsidR="008579B2">
        <w:rPr>
          <w:lang w:val="en-GB"/>
        </w:rPr>
        <w:t xml:space="preserve"> </w:t>
      </w:r>
      <w:r w:rsidR="00EA7E62" w:rsidRPr="00994BCD">
        <w:rPr>
          <w:lang w:val="en-GB"/>
        </w:rPr>
        <w:t>of</w:t>
      </w:r>
      <w:r w:rsidR="008579B2">
        <w:rPr>
          <w:lang w:val="en-GB"/>
        </w:rPr>
        <w:t xml:space="preserve"> </w:t>
      </w:r>
      <w:r w:rsidR="00EA7E62" w:rsidRPr="00994BCD">
        <w:rPr>
          <w:lang w:val="en-GB"/>
        </w:rPr>
        <w:t>life</w:t>
      </w:r>
      <w:r w:rsidR="00EA7E62">
        <w:rPr>
          <w:lang w:val="en-GB"/>
        </w:rPr>
        <w:t xml:space="preserve"> stopped shortly after progress</w:t>
      </w:r>
      <w:r w:rsidR="001E2C75">
        <w:rPr>
          <w:lang w:val="en-GB"/>
        </w:rPr>
        <w:t>ion</w:t>
      </w:r>
      <w:r w:rsidR="005F52F2">
        <w:rPr>
          <w:lang w:val="en-GB"/>
        </w:rPr>
        <w:t>,</w:t>
      </w:r>
      <w:r w:rsidR="00B77494">
        <w:rPr>
          <w:lang w:val="en-GB"/>
        </w:rPr>
        <w:t xml:space="preserve"> </w:t>
      </w:r>
      <w:r w:rsidR="00B81E20">
        <w:rPr>
          <w:lang w:val="en-GB"/>
        </w:rPr>
        <w:t xml:space="preserve">leading to </w:t>
      </w:r>
      <w:r w:rsidR="00B77494">
        <w:rPr>
          <w:lang w:val="en-GB"/>
        </w:rPr>
        <w:t>informative censoring</w:t>
      </w:r>
      <w:r w:rsidR="00820AF8">
        <w:rPr>
          <w:lang w:val="en-GB"/>
        </w:rPr>
        <w:t xml:space="preserve"> bias and uncertainty in estimates for </w:t>
      </w:r>
      <w:r w:rsidR="00B81E20">
        <w:rPr>
          <w:lang w:val="en-GB"/>
        </w:rPr>
        <w:t xml:space="preserve">health-related </w:t>
      </w:r>
      <w:r w:rsidR="00820AF8">
        <w:rPr>
          <w:lang w:val="en-GB"/>
        </w:rPr>
        <w:t>quality</w:t>
      </w:r>
      <w:r w:rsidR="009D06D8">
        <w:rPr>
          <w:lang w:val="en-GB"/>
        </w:rPr>
        <w:t xml:space="preserve"> </w:t>
      </w:r>
      <w:r w:rsidR="00F815FD">
        <w:rPr>
          <w:lang w:val="en-GB"/>
        </w:rPr>
        <w:t>o</w:t>
      </w:r>
      <w:r w:rsidR="00820AF8">
        <w:rPr>
          <w:lang w:val="en-GB"/>
        </w:rPr>
        <w:t>f</w:t>
      </w:r>
      <w:r w:rsidR="00C75605">
        <w:rPr>
          <w:lang w:val="en-GB"/>
        </w:rPr>
        <w:t xml:space="preserve"> </w:t>
      </w:r>
      <w:r w:rsidR="00820AF8">
        <w:rPr>
          <w:lang w:val="en-GB"/>
        </w:rPr>
        <w:t>life at the end stages of disease.</w:t>
      </w:r>
      <w:r w:rsidR="00B81E20" w:rsidRPr="00B81E20">
        <w:rPr>
          <w:lang w:val="en-GB"/>
        </w:rPr>
        <w:t xml:space="preserve"> </w:t>
      </w:r>
      <w:r w:rsidR="00B81E20">
        <w:rPr>
          <w:lang w:val="en-GB"/>
        </w:rPr>
        <w:t>C</w:t>
      </w:r>
      <w:r w:rsidR="00B81E20" w:rsidRPr="00EA7E62">
        <w:rPr>
          <w:lang w:val="en-GB"/>
        </w:rPr>
        <w:t>linical experts commented that they would expect post-progression</w:t>
      </w:r>
      <w:r w:rsidR="00F32CDD">
        <w:rPr>
          <w:lang w:val="en-GB"/>
        </w:rPr>
        <w:t xml:space="preserve"> quality of life to be influenced by </w:t>
      </w:r>
      <w:r w:rsidR="00B81E20" w:rsidRPr="00EA7E62">
        <w:rPr>
          <w:lang w:val="en-GB"/>
        </w:rPr>
        <w:t>subsequent-line treatments</w:t>
      </w:r>
      <w:r w:rsidR="00F32CDD">
        <w:rPr>
          <w:lang w:val="en-GB"/>
        </w:rPr>
        <w:t xml:space="preserve"> and </w:t>
      </w:r>
      <w:r w:rsidR="00720D32">
        <w:rPr>
          <w:lang w:val="en-GB"/>
        </w:rPr>
        <w:t xml:space="preserve">this </w:t>
      </w:r>
      <w:r w:rsidR="00F32CDD">
        <w:rPr>
          <w:lang w:val="en-GB"/>
        </w:rPr>
        <w:t>may be higher than estimated using the study data.</w:t>
      </w:r>
      <w:r w:rsidR="0057536D" w:rsidRPr="00994BCD">
        <w:rPr>
          <w:lang w:val="en-GB"/>
        </w:rPr>
        <w:t xml:space="preserve"> P</w:t>
      </w:r>
      <w:r w:rsidR="00425F59" w:rsidRPr="00994BCD">
        <w:rPr>
          <w:lang w:val="en-GB"/>
        </w:rPr>
        <w:t xml:space="preserve">atient </w:t>
      </w:r>
      <w:r w:rsidR="00425F59" w:rsidRPr="00994BCD">
        <w:rPr>
          <w:lang w:val="en-GB"/>
        </w:rPr>
        <w:lastRenderedPageBreak/>
        <w:t>experts</w:t>
      </w:r>
      <w:r w:rsidR="0057536D" w:rsidRPr="00994BCD">
        <w:rPr>
          <w:lang w:val="en-GB"/>
        </w:rPr>
        <w:t xml:space="preserve"> </w:t>
      </w:r>
      <w:r w:rsidR="00425F59" w:rsidRPr="00994BCD">
        <w:rPr>
          <w:lang w:val="en-GB"/>
        </w:rPr>
        <w:t>confirmed that patients m</w:t>
      </w:r>
      <w:r w:rsidR="005827CF">
        <w:rPr>
          <w:lang w:val="en-GB"/>
        </w:rPr>
        <w:t>ight</w:t>
      </w:r>
      <w:r w:rsidR="00425F59" w:rsidRPr="00994BCD">
        <w:rPr>
          <w:lang w:val="en-GB"/>
        </w:rPr>
        <w:t xml:space="preserve"> feel the need to complete the questionnaire with more positive responses to </w:t>
      </w:r>
      <w:r w:rsidR="00D40B4C">
        <w:rPr>
          <w:lang w:val="en-GB"/>
        </w:rPr>
        <w:t xml:space="preserve">be able to </w:t>
      </w:r>
      <w:r w:rsidR="00425F59" w:rsidRPr="00994BCD">
        <w:rPr>
          <w:lang w:val="en-GB"/>
        </w:rPr>
        <w:t xml:space="preserve">continue treatment. The committee concluded that using values from the published literature for the progressed </w:t>
      </w:r>
      <w:r w:rsidR="00425F59" w:rsidRPr="000956D4">
        <w:rPr>
          <w:lang w:val="en-GB"/>
        </w:rPr>
        <w:t>health state would be preferable to using the trial data</w:t>
      </w:r>
      <w:r w:rsidR="000C1A0B">
        <w:rPr>
          <w:lang w:val="en-GB"/>
        </w:rPr>
        <w:t xml:space="preserve">. </w:t>
      </w:r>
      <w:bookmarkEnd w:id="6"/>
    </w:p>
    <w:p w14:paraId="7BA44B9D" w14:textId="5412E3D5" w:rsidR="008F5D99" w:rsidRPr="00DB622F" w:rsidRDefault="008F5D99" w:rsidP="00C52D9A">
      <w:pPr>
        <w:pStyle w:val="Heading3"/>
      </w:pPr>
      <w:r w:rsidRPr="00B615A0">
        <w:t>It is un</w:t>
      </w:r>
      <w:r w:rsidR="00FD2C3C" w:rsidRPr="00DB622F">
        <w:t>clear whether an age</w:t>
      </w:r>
      <w:r w:rsidR="00D357D5" w:rsidRPr="00DB622F">
        <w:t>-</w:t>
      </w:r>
      <w:r w:rsidR="00FD2C3C" w:rsidRPr="00DB622F">
        <w:t xml:space="preserve">related decrement to health-related quality of life is appropriate </w:t>
      </w:r>
      <w:r w:rsidR="00F92F95">
        <w:t>because of</w:t>
      </w:r>
      <w:r w:rsidR="00FD2C3C" w:rsidRPr="00DB622F">
        <w:t xml:space="preserve"> uncertainty in overall survival estimates</w:t>
      </w:r>
    </w:p>
    <w:p w14:paraId="18C17735" w14:textId="29E39800" w:rsidR="007C1845" w:rsidRPr="000956D4" w:rsidRDefault="007C1845" w:rsidP="00C52D9A">
      <w:pPr>
        <w:pStyle w:val="Numberedlevel2text"/>
        <w:rPr>
          <w:lang w:val="en-GB"/>
        </w:rPr>
      </w:pPr>
      <w:r w:rsidRPr="000956D4">
        <w:rPr>
          <w:lang w:val="en-GB"/>
        </w:rPr>
        <w:t xml:space="preserve">The committee </w:t>
      </w:r>
      <w:r w:rsidR="00F10A79">
        <w:rPr>
          <w:lang w:val="en-GB"/>
        </w:rPr>
        <w:t>did not</w:t>
      </w:r>
      <w:r w:rsidRPr="000956D4">
        <w:rPr>
          <w:lang w:val="en-GB"/>
        </w:rPr>
        <w:t xml:space="preserve"> comment </w:t>
      </w:r>
      <w:r w:rsidR="00F10A79">
        <w:rPr>
          <w:lang w:val="en-GB"/>
        </w:rPr>
        <w:t xml:space="preserve">further </w:t>
      </w:r>
      <w:r w:rsidRPr="000956D4">
        <w:rPr>
          <w:lang w:val="en-GB"/>
        </w:rPr>
        <w:t>on the appropriateness of including or excluding an age-related decrement to the model</w:t>
      </w:r>
      <w:r w:rsidR="00123E87">
        <w:rPr>
          <w:lang w:val="en-GB"/>
        </w:rPr>
        <w:t>,</w:t>
      </w:r>
      <w:r w:rsidR="00E66AD6" w:rsidRPr="000956D4">
        <w:rPr>
          <w:lang w:val="en-GB"/>
        </w:rPr>
        <w:t xml:space="preserve"> </w:t>
      </w:r>
      <w:r w:rsidR="00123E87">
        <w:rPr>
          <w:lang w:val="en-GB"/>
        </w:rPr>
        <w:t>because</w:t>
      </w:r>
      <w:r w:rsidR="00E66AD6" w:rsidRPr="000956D4">
        <w:rPr>
          <w:lang w:val="en-GB"/>
        </w:rPr>
        <w:t xml:space="preserve"> overall survival estimates were highly uncertain. However, findings from both scenarios (with and without age</w:t>
      </w:r>
      <w:r w:rsidR="00667D1A" w:rsidRPr="00B615A0">
        <w:rPr>
          <w:lang w:val="en-GB"/>
        </w:rPr>
        <w:t>-</w:t>
      </w:r>
      <w:r w:rsidR="00E66AD6" w:rsidRPr="000956D4">
        <w:rPr>
          <w:lang w:val="en-GB"/>
        </w:rPr>
        <w:t>related decrements) were considered in the committee’s decision making.</w:t>
      </w:r>
    </w:p>
    <w:p w14:paraId="5A4325E3" w14:textId="1B4B0F72" w:rsidR="00B82A82" w:rsidRPr="00DB622F" w:rsidRDefault="007C1845" w:rsidP="00B82A82">
      <w:pPr>
        <w:pStyle w:val="Heading2"/>
      </w:pPr>
      <w:r w:rsidRPr="00B615A0">
        <w:t xml:space="preserve">Cost-effectiveness </w:t>
      </w:r>
      <w:r w:rsidR="006E0DF8" w:rsidRPr="00DB622F">
        <w:t>e</w:t>
      </w:r>
      <w:r w:rsidRPr="00DB622F">
        <w:t>stimate</w:t>
      </w:r>
    </w:p>
    <w:p w14:paraId="7C94EF93" w14:textId="502AF163" w:rsidR="004B7D57" w:rsidRPr="00DB622F" w:rsidRDefault="004B7D57" w:rsidP="004B7D57">
      <w:pPr>
        <w:pStyle w:val="Heading3"/>
      </w:pPr>
      <w:r w:rsidRPr="00DB622F">
        <w:t>Because of uncertainty</w:t>
      </w:r>
      <w:r w:rsidR="00D8684B">
        <w:t xml:space="preserve"> in the eviden</w:t>
      </w:r>
      <w:r w:rsidR="00961925">
        <w:t>ce</w:t>
      </w:r>
      <w:r w:rsidR="00820AF8">
        <w:t>,</w:t>
      </w:r>
      <w:r w:rsidRPr="00DB622F">
        <w:t xml:space="preserve"> </w:t>
      </w:r>
      <w:r w:rsidR="00820AF8">
        <w:t xml:space="preserve">the </w:t>
      </w:r>
      <w:r w:rsidR="00CE1815">
        <w:t>incremental cost-effectiveness ratio (</w:t>
      </w:r>
      <w:r w:rsidRPr="00DB622F">
        <w:t>ICER</w:t>
      </w:r>
      <w:r w:rsidR="00CE1815">
        <w:t>)</w:t>
      </w:r>
      <w:r w:rsidRPr="00DB622F">
        <w:t xml:space="preserve"> </w:t>
      </w:r>
      <w:r w:rsidR="00053239">
        <w:t>needs to</w:t>
      </w:r>
      <w:r w:rsidR="008C26A6">
        <w:t xml:space="preserve"> be </w:t>
      </w:r>
      <w:r w:rsidR="002C2413">
        <w:t xml:space="preserve">at </w:t>
      </w:r>
      <w:r w:rsidR="008C26A6">
        <w:t>the lower end of the acceptable range</w:t>
      </w:r>
    </w:p>
    <w:p w14:paraId="65033D6D" w14:textId="77777777" w:rsidR="001463FE" w:rsidRPr="00652FDC" w:rsidRDefault="004B7D57" w:rsidP="008C26A6">
      <w:pPr>
        <w:pStyle w:val="Numberedlevel2text"/>
        <w:numPr>
          <w:ilvl w:val="1"/>
          <w:numId w:val="1"/>
        </w:numPr>
      </w:pPr>
      <w:r w:rsidRPr="000956D4">
        <w:rPr>
          <w:lang w:val="en-GB"/>
        </w:rPr>
        <w:t xml:space="preserve">NICE’s </w:t>
      </w:r>
      <w:hyperlink r:id="rId15" w:history="1">
        <w:r w:rsidRPr="000956D4">
          <w:rPr>
            <w:rStyle w:val="Hyperlink"/>
            <w:lang w:val="en-GB"/>
          </w:rPr>
          <w:t>guide to the methods of technology</w:t>
        </w:r>
        <w:r w:rsidRPr="000956D4">
          <w:rPr>
            <w:rStyle w:val="Hyperlink"/>
            <w:lang w:val="en-GB"/>
          </w:rPr>
          <w:t xml:space="preserve"> </w:t>
        </w:r>
        <w:r w:rsidRPr="000956D4">
          <w:rPr>
            <w:rStyle w:val="Hyperlink"/>
            <w:lang w:val="en-GB"/>
          </w:rPr>
          <w:t>appraisal</w:t>
        </w:r>
      </w:hyperlink>
      <w:r w:rsidRPr="000956D4">
        <w:rPr>
          <w:lang w:val="en-GB"/>
        </w:rPr>
        <w:t xml:space="preserve"> notes that</w:t>
      </w:r>
      <w:r w:rsidR="001463FE">
        <w:rPr>
          <w:lang w:val="en-GB"/>
        </w:rPr>
        <w:t>:</w:t>
      </w:r>
    </w:p>
    <w:p w14:paraId="291E5840" w14:textId="091D2C4F" w:rsidR="001463FE" w:rsidRDefault="001463FE" w:rsidP="001463FE">
      <w:pPr>
        <w:pStyle w:val="Bulletindent1"/>
      </w:pPr>
      <w:r>
        <w:t>A</w:t>
      </w:r>
      <w:r w:rsidR="004B7D57" w:rsidRPr="000956D4">
        <w:t xml:space="preserve">bove a most plausible ICER of £20,000 per </w:t>
      </w:r>
      <w:r w:rsidR="00D93274">
        <w:t>quality-adjusted life year (</w:t>
      </w:r>
      <w:r w:rsidR="004B7D57" w:rsidRPr="000956D4">
        <w:t>QALY</w:t>
      </w:r>
      <w:r w:rsidR="00D93274">
        <w:t>)</w:t>
      </w:r>
      <w:r w:rsidR="004B7D57" w:rsidRPr="000956D4">
        <w:t xml:space="preserve"> gained, judgements about the acceptability of a technology as an effective use of NHS resources will take into account the degree of certainty around the ICER.</w:t>
      </w:r>
    </w:p>
    <w:p w14:paraId="6D4FF845" w14:textId="4A622ED0" w:rsidR="008C26A6" w:rsidRDefault="008C510B" w:rsidP="00910F46">
      <w:pPr>
        <w:pStyle w:val="Bulletindent1last"/>
      </w:pPr>
      <w:r>
        <w:t>When</w:t>
      </w:r>
      <w:r w:rsidR="008C26A6" w:rsidRPr="008C26A6">
        <w:t xml:space="preserve"> the ICER of an intervention increases in the range of £20,000 to £30,000 per QALY gained</w:t>
      </w:r>
      <w:r w:rsidR="008C26A6">
        <w:t>,</w:t>
      </w:r>
      <w:r w:rsidR="008C26A6" w:rsidRPr="000956D4">
        <w:t xml:space="preserve"> </w:t>
      </w:r>
      <w:r w:rsidR="008C26A6">
        <w:t>t</w:t>
      </w:r>
      <w:r w:rsidR="004B7D57" w:rsidRPr="000956D4">
        <w:t>he committee will be more cautious about recommending a technology if it is less certain about the ICERs presented.</w:t>
      </w:r>
    </w:p>
    <w:p w14:paraId="3D47E0B7" w14:textId="6288DA4F" w:rsidR="004B7D57" w:rsidRPr="00DB622F" w:rsidRDefault="004B7D57" w:rsidP="00910F46">
      <w:pPr>
        <w:pStyle w:val="Numberedlevel2text"/>
        <w:numPr>
          <w:ilvl w:val="0"/>
          <w:numId w:val="0"/>
        </w:numPr>
        <w:ind w:left="1134"/>
      </w:pPr>
      <w:r w:rsidRPr="00B615A0">
        <w:t>Because of the high level of uncertainty in the</w:t>
      </w:r>
      <w:r w:rsidR="00C34981" w:rsidRPr="00DB622F">
        <w:t xml:space="preserve"> clinical and e</w:t>
      </w:r>
      <w:r w:rsidR="00C34981" w:rsidRPr="00A31A04">
        <w:t>conomic evidence</w:t>
      </w:r>
      <w:r w:rsidRPr="00DB622F">
        <w:t>, the committee agreed that an acceptable ICER would be</w:t>
      </w:r>
      <w:r w:rsidR="006E2E79" w:rsidRPr="00DB622F">
        <w:t xml:space="preserve"> </w:t>
      </w:r>
      <w:r w:rsidR="001463FE">
        <w:t xml:space="preserve">at the lower end of the acceptable range (that is, </w:t>
      </w:r>
      <w:r w:rsidR="006E2E79" w:rsidRPr="00DB622F">
        <w:t>around £20,000 per QALY gained</w:t>
      </w:r>
      <w:r w:rsidR="001463FE">
        <w:t>)</w:t>
      </w:r>
      <w:r w:rsidR="006E2E79" w:rsidRPr="00DB622F">
        <w:t>.</w:t>
      </w:r>
    </w:p>
    <w:p w14:paraId="778D25F3" w14:textId="7236EEFB" w:rsidR="00FD2C3C" w:rsidRPr="00DB622F" w:rsidRDefault="00FD2C3C" w:rsidP="00FD2C3C">
      <w:pPr>
        <w:pStyle w:val="Heading3"/>
      </w:pPr>
      <w:bookmarkStart w:id="7" w:name="_Hlk24556768"/>
      <w:r w:rsidRPr="00B615A0">
        <w:lastRenderedPageBreak/>
        <w:t xml:space="preserve">The </w:t>
      </w:r>
      <w:r w:rsidR="000A0BD3" w:rsidRPr="00DB622F">
        <w:t xml:space="preserve">most plausible </w:t>
      </w:r>
      <w:r w:rsidRPr="00DB622F">
        <w:t>ICER is above the acceptable range</w:t>
      </w:r>
    </w:p>
    <w:p w14:paraId="7F0874C4" w14:textId="325447E8" w:rsidR="00152694" w:rsidRPr="000956D4" w:rsidRDefault="00B0277C" w:rsidP="003E6D4D">
      <w:pPr>
        <w:pStyle w:val="Numberedlevel2text"/>
        <w:numPr>
          <w:ilvl w:val="1"/>
          <w:numId w:val="1"/>
        </w:numPr>
        <w:rPr>
          <w:lang w:val="en-GB"/>
        </w:rPr>
      </w:pPr>
      <w:r w:rsidRPr="000956D4">
        <w:rPr>
          <w:lang w:val="en-GB"/>
        </w:rPr>
        <w:t xml:space="preserve">The cost-effectiveness results are commercial in confidence and cannot be reported here. </w:t>
      </w:r>
      <w:r w:rsidR="003E6D4D" w:rsidRPr="000956D4">
        <w:rPr>
          <w:lang w:val="en-GB"/>
        </w:rPr>
        <w:t xml:space="preserve">The committee considered all scenarios </w:t>
      </w:r>
      <w:r w:rsidR="006949A4">
        <w:rPr>
          <w:lang w:val="en-GB"/>
        </w:rPr>
        <w:t>from</w:t>
      </w:r>
      <w:r w:rsidR="003E6D4D" w:rsidRPr="000956D4">
        <w:rPr>
          <w:lang w:val="en-GB"/>
        </w:rPr>
        <w:t xml:space="preserve"> the company, ERG and technical team to establish </w:t>
      </w:r>
      <w:r w:rsidR="006949A4">
        <w:rPr>
          <w:lang w:val="en-GB"/>
        </w:rPr>
        <w:t>when</w:t>
      </w:r>
      <w:r w:rsidR="003E6D4D" w:rsidRPr="000956D4">
        <w:rPr>
          <w:lang w:val="en-GB"/>
        </w:rPr>
        <w:t xml:space="preserve"> pembrolizumab with </w:t>
      </w:r>
      <w:proofErr w:type="spellStart"/>
      <w:r w:rsidR="003E6D4D" w:rsidRPr="000956D4">
        <w:rPr>
          <w:lang w:val="en-GB"/>
        </w:rPr>
        <w:t>axitinib</w:t>
      </w:r>
      <w:proofErr w:type="spellEnd"/>
      <w:r w:rsidR="003E6D4D" w:rsidRPr="000956D4">
        <w:rPr>
          <w:lang w:val="en-GB"/>
        </w:rPr>
        <w:t xml:space="preserve"> could be considered cost</w:t>
      </w:r>
      <w:r w:rsidR="001A2AC7">
        <w:rPr>
          <w:lang w:val="en-GB"/>
        </w:rPr>
        <w:t xml:space="preserve"> </w:t>
      </w:r>
      <w:r w:rsidR="003E6D4D" w:rsidRPr="000956D4">
        <w:rPr>
          <w:lang w:val="en-GB"/>
        </w:rPr>
        <w:t xml:space="preserve">effective. </w:t>
      </w:r>
      <w:r w:rsidRPr="000956D4">
        <w:rPr>
          <w:lang w:val="en-GB"/>
        </w:rPr>
        <w:t>The committee agreed that the</w:t>
      </w:r>
      <w:r>
        <w:rPr>
          <w:lang w:val="en-GB"/>
        </w:rPr>
        <w:t xml:space="preserve"> company base-case</w:t>
      </w:r>
      <w:r w:rsidRPr="000956D4">
        <w:rPr>
          <w:lang w:val="en-GB"/>
        </w:rPr>
        <w:t xml:space="preserve"> ICER</w:t>
      </w:r>
      <w:r>
        <w:rPr>
          <w:lang w:val="en-GB"/>
        </w:rPr>
        <w:t xml:space="preserve"> was </w:t>
      </w:r>
      <w:r w:rsidRPr="00DB622F">
        <w:rPr>
          <w:lang w:val="en-GB"/>
        </w:rPr>
        <w:t xml:space="preserve">likely to be optimistic </w:t>
      </w:r>
      <w:r>
        <w:rPr>
          <w:lang w:val="en-GB"/>
        </w:rPr>
        <w:t>because of</w:t>
      </w:r>
      <w:r w:rsidRPr="00DB622F">
        <w:rPr>
          <w:lang w:val="en-GB"/>
        </w:rPr>
        <w:t xml:space="preserve"> us</w:t>
      </w:r>
      <w:r>
        <w:rPr>
          <w:lang w:val="en-GB"/>
        </w:rPr>
        <w:t>ing</w:t>
      </w:r>
      <w:r w:rsidRPr="00DB622F">
        <w:rPr>
          <w:lang w:val="en-GB"/>
        </w:rPr>
        <w:t xml:space="preserve"> the </w:t>
      </w:r>
      <w:r>
        <w:rPr>
          <w:lang w:val="en-GB"/>
        </w:rPr>
        <w:t>l</w:t>
      </w:r>
      <w:r w:rsidRPr="00DB622F">
        <w:rPr>
          <w:lang w:val="en-GB"/>
        </w:rPr>
        <w:t>og-logistic distribution for extrapolation and appl</w:t>
      </w:r>
      <w:r>
        <w:rPr>
          <w:lang w:val="en-GB"/>
        </w:rPr>
        <w:t>ying</w:t>
      </w:r>
      <w:r w:rsidRPr="00DB622F">
        <w:rPr>
          <w:lang w:val="en-GB"/>
        </w:rPr>
        <w:t xml:space="preserve"> a lifetime treatment effect</w:t>
      </w:r>
      <w:r w:rsidR="00BE5E59">
        <w:rPr>
          <w:lang w:val="en-GB"/>
        </w:rPr>
        <w:t xml:space="preserve">. </w:t>
      </w:r>
      <w:r w:rsidR="00DD22B8">
        <w:rPr>
          <w:lang w:val="en-GB"/>
        </w:rPr>
        <w:t>Also,</w:t>
      </w:r>
      <w:r w:rsidR="00BE5E59">
        <w:rPr>
          <w:lang w:val="en-GB"/>
        </w:rPr>
        <w:t xml:space="preserve"> it</w:t>
      </w:r>
      <w:r w:rsidRPr="00DB622F">
        <w:rPr>
          <w:lang w:val="en-GB"/>
        </w:rPr>
        <w:t xml:space="preserve"> </w:t>
      </w:r>
      <w:r>
        <w:rPr>
          <w:lang w:val="en-GB"/>
        </w:rPr>
        <w:t>was</w:t>
      </w:r>
      <w:r w:rsidRPr="000956D4">
        <w:rPr>
          <w:lang w:val="en-GB"/>
        </w:rPr>
        <w:t xml:space="preserve"> above the normally acceptable range when </w:t>
      </w:r>
      <w:r>
        <w:rPr>
          <w:lang w:val="en-GB"/>
        </w:rPr>
        <w:t xml:space="preserve">all </w:t>
      </w:r>
      <w:r w:rsidRPr="000956D4">
        <w:rPr>
          <w:lang w:val="en-GB"/>
        </w:rPr>
        <w:t xml:space="preserve">commercial arrangements </w:t>
      </w:r>
      <w:r>
        <w:rPr>
          <w:lang w:val="en-GB"/>
        </w:rPr>
        <w:t>were</w:t>
      </w:r>
      <w:r w:rsidRPr="000956D4">
        <w:rPr>
          <w:lang w:val="en-GB"/>
        </w:rPr>
        <w:t xml:space="preserve"> taken into account</w:t>
      </w:r>
      <w:r>
        <w:rPr>
          <w:lang w:val="en-GB"/>
        </w:rPr>
        <w:t>. This applied to</w:t>
      </w:r>
      <w:r w:rsidRPr="000956D4">
        <w:rPr>
          <w:lang w:val="en-GB"/>
        </w:rPr>
        <w:t xml:space="preserve"> both the overall </w:t>
      </w:r>
      <w:r>
        <w:rPr>
          <w:lang w:val="en-GB"/>
        </w:rPr>
        <w:t>renal cell carcinoma</w:t>
      </w:r>
      <w:r w:rsidRPr="000956D4">
        <w:rPr>
          <w:lang w:val="en-GB"/>
        </w:rPr>
        <w:t xml:space="preserve"> population and </w:t>
      </w:r>
      <w:r w:rsidRPr="000D50CC">
        <w:rPr>
          <w:lang w:val="en-GB"/>
        </w:rPr>
        <w:t>the intermediate</w:t>
      </w:r>
      <w:r>
        <w:rPr>
          <w:lang w:val="en-GB"/>
        </w:rPr>
        <w:t xml:space="preserve"> and </w:t>
      </w:r>
      <w:r w:rsidRPr="000D50CC">
        <w:rPr>
          <w:lang w:val="en-GB"/>
        </w:rPr>
        <w:t>poor</w:t>
      </w:r>
      <w:r>
        <w:rPr>
          <w:lang w:val="en-GB"/>
        </w:rPr>
        <w:t>-</w:t>
      </w:r>
      <w:r w:rsidRPr="000D50CC">
        <w:rPr>
          <w:lang w:val="en-GB"/>
        </w:rPr>
        <w:t>risk subgroup</w:t>
      </w:r>
      <w:r>
        <w:rPr>
          <w:lang w:val="en-GB"/>
        </w:rPr>
        <w:t>.</w:t>
      </w:r>
      <w:r w:rsidRPr="000D50CC">
        <w:rPr>
          <w:lang w:val="en-GB"/>
        </w:rPr>
        <w:t xml:space="preserve"> </w:t>
      </w:r>
      <w:r>
        <w:rPr>
          <w:lang w:val="en-GB"/>
        </w:rPr>
        <w:t xml:space="preserve">However, </w:t>
      </w:r>
      <w:r w:rsidR="00620667" w:rsidRPr="00B615A0">
        <w:rPr>
          <w:lang w:val="en-GB"/>
        </w:rPr>
        <w:t>the technical team</w:t>
      </w:r>
      <w:r w:rsidR="00E61216" w:rsidRPr="00DB622F">
        <w:rPr>
          <w:lang w:val="en-GB"/>
        </w:rPr>
        <w:t xml:space="preserve"> </w:t>
      </w:r>
      <w:r w:rsidR="00620667" w:rsidRPr="00DB622F">
        <w:rPr>
          <w:lang w:val="en-GB"/>
        </w:rPr>
        <w:t>and ERG base</w:t>
      </w:r>
      <w:r w:rsidR="0090280E">
        <w:rPr>
          <w:lang w:val="en-GB"/>
        </w:rPr>
        <w:t>-</w:t>
      </w:r>
      <w:r w:rsidR="00620667" w:rsidRPr="00DB622F">
        <w:rPr>
          <w:lang w:val="en-GB"/>
        </w:rPr>
        <w:t>case ICER</w:t>
      </w:r>
      <w:r w:rsidR="00A13B12" w:rsidRPr="00DB622F">
        <w:rPr>
          <w:lang w:val="en-GB"/>
        </w:rPr>
        <w:t>s</w:t>
      </w:r>
      <w:r w:rsidR="00E61216" w:rsidRPr="00DB622F">
        <w:rPr>
          <w:lang w:val="en-GB"/>
        </w:rPr>
        <w:t xml:space="preserve"> </w:t>
      </w:r>
      <w:r w:rsidR="00620667" w:rsidRPr="00DB622F">
        <w:rPr>
          <w:lang w:val="en-GB"/>
        </w:rPr>
        <w:t>w</w:t>
      </w:r>
      <w:r w:rsidR="005F6343" w:rsidRPr="00DB622F">
        <w:rPr>
          <w:lang w:val="en-GB"/>
        </w:rPr>
        <w:t>ere</w:t>
      </w:r>
      <w:r w:rsidR="000A2E61" w:rsidRPr="00DB622F">
        <w:rPr>
          <w:lang w:val="en-GB"/>
        </w:rPr>
        <w:t xml:space="preserve"> </w:t>
      </w:r>
      <w:r w:rsidR="00620667" w:rsidRPr="00DB622F">
        <w:rPr>
          <w:lang w:val="en-GB"/>
        </w:rPr>
        <w:t>likely to be pessimistic because of us</w:t>
      </w:r>
      <w:r w:rsidR="00FE44CF">
        <w:rPr>
          <w:lang w:val="en-GB"/>
        </w:rPr>
        <w:t>ing</w:t>
      </w:r>
      <w:r w:rsidR="00620667" w:rsidRPr="00DB622F">
        <w:rPr>
          <w:lang w:val="en-GB"/>
        </w:rPr>
        <w:t xml:space="preserve"> the Weibull distribution</w:t>
      </w:r>
      <w:r w:rsidR="00FE5D13">
        <w:rPr>
          <w:lang w:val="en-GB"/>
        </w:rPr>
        <w:t xml:space="preserve"> </w:t>
      </w:r>
      <w:r w:rsidR="00620667" w:rsidRPr="00DB622F">
        <w:rPr>
          <w:lang w:val="en-GB"/>
        </w:rPr>
        <w:t>in the extrapolation of survival</w:t>
      </w:r>
      <w:r>
        <w:rPr>
          <w:lang w:val="en-GB"/>
        </w:rPr>
        <w:t xml:space="preserve"> (see</w:t>
      </w:r>
      <w:r w:rsidR="00E66677">
        <w:rPr>
          <w:lang w:val="en-GB"/>
        </w:rPr>
        <w:t xml:space="preserve"> section</w:t>
      </w:r>
      <w:r w:rsidR="00401096">
        <w:rPr>
          <w:lang w:val="en-GB"/>
        </w:rPr>
        <w:t> </w:t>
      </w:r>
      <w:r w:rsidR="00E66677">
        <w:rPr>
          <w:lang w:val="en-GB"/>
        </w:rPr>
        <w:fldChar w:fldCharType="begin"/>
      </w:r>
      <w:r w:rsidR="00E66677">
        <w:rPr>
          <w:lang w:val="en-GB"/>
        </w:rPr>
        <w:instrText xml:space="preserve"> REF _Ref31654896 \r \h </w:instrText>
      </w:r>
      <w:r w:rsidR="00E66677">
        <w:rPr>
          <w:lang w:val="en-GB"/>
        </w:rPr>
      </w:r>
      <w:r w:rsidR="00E66677">
        <w:rPr>
          <w:lang w:val="en-GB"/>
        </w:rPr>
        <w:fldChar w:fldCharType="separate"/>
      </w:r>
      <w:r w:rsidR="00E66677">
        <w:rPr>
          <w:lang w:val="en-GB"/>
        </w:rPr>
        <w:t>3.8</w:t>
      </w:r>
      <w:r w:rsidR="00E66677">
        <w:rPr>
          <w:lang w:val="en-GB"/>
        </w:rPr>
        <w:fldChar w:fldCharType="end"/>
      </w:r>
      <w:r w:rsidR="00E66677">
        <w:rPr>
          <w:lang w:val="en-GB"/>
        </w:rPr>
        <w:t>)</w:t>
      </w:r>
      <w:r w:rsidR="00620667" w:rsidRPr="00DB622F">
        <w:rPr>
          <w:lang w:val="en-GB"/>
        </w:rPr>
        <w:t xml:space="preserve">. </w:t>
      </w:r>
      <w:r w:rsidR="003E6D4D" w:rsidRPr="000956D4">
        <w:rPr>
          <w:lang w:val="en-GB"/>
        </w:rPr>
        <w:t>The committee disagreed with the company, ERG and technical t</w:t>
      </w:r>
      <w:r w:rsidR="00E66677">
        <w:rPr>
          <w:lang w:val="en-GB"/>
        </w:rPr>
        <w:fldChar w:fldCharType="begin"/>
      </w:r>
      <w:r w:rsidR="00E66677">
        <w:rPr>
          <w:lang w:val="en-GB"/>
        </w:rPr>
        <w:instrText xml:space="preserve"> REF _Ref31654896 \r \h </w:instrText>
      </w:r>
      <w:r w:rsidR="00E66677">
        <w:rPr>
          <w:lang w:val="en-GB"/>
        </w:rPr>
      </w:r>
      <w:r w:rsidR="00E66677">
        <w:rPr>
          <w:lang w:val="en-GB"/>
        </w:rPr>
        <w:fldChar w:fldCharType="end"/>
      </w:r>
      <w:r w:rsidR="003E6D4D" w:rsidRPr="000956D4">
        <w:rPr>
          <w:lang w:val="en-GB"/>
        </w:rPr>
        <w:t>eam approach of using utility values from KEYNOTE</w:t>
      </w:r>
      <w:r w:rsidR="00497A93">
        <w:rPr>
          <w:lang w:val="en-GB"/>
        </w:rPr>
        <w:noBreakHyphen/>
      </w:r>
      <w:r w:rsidR="003E6D4D" w:rsidRPr="000956D4">
        <w:rPr>
          <w:lang w:val="en-GB"/>
        </w:rPr>
        <w:t>426</w:t>
      </w:r>
      <w:r w:rsidR="00976973">
        <w:rPr>
          <w:lang w:val="en-GB"/>
        </w:rPr>
        <w:t>.</w:t>
      </w:r>
      <w:r w:rsidR="003E6D4D" w:rsidRPr="000956D4">
        <w:rPr>
          <w:lang w:val="en-GB"/>
        </w:rPr>
        <w:t xml:space="preserve"> </w:t>
      </w:r>
      <w:r w:rsidR="00976973">
        <w:rPr>
          <w:lang w:val="en-GB"/>
        </w:rPr>
        <w:t xml:space="preserve">It </w:t>
      </w:r>
      <w:r w:rsidR="003E6D4D" w:rsidRPr="000956D4">
        <w:rPr>
          <w:lang w:val="en-GB"/>
        </w:rPr>
        <w:t>would have preferred utility values from the literature for the progression</w:t>
      </w:r>
      <w:r w:rsidR="00C57AC3">
        <w:rPr>
          <w:lang w:val="en-GB"/>
        </w:rPr>
        <w:t>-</w:t>
      </w:r>
      <w:r w:rsidR="003E6D4D" w:rsidRPr="000956D4">
        <w:rPr>
          <w:lang w:val="en-GB"/>
        </w:rPr>
        <w:t>free and progressed health states</w:t>
      </w:r>
      <w:r w:rsidR="007333B0">
        <w:rPr>
          <w:lang w:val="en-GB"/>
        </w:rPr>
        <w:t xml:space="preserve"> (see section</w:t>
      </w:r>
      <w:r w:rsidR="005A66AF">
        <w:rPr>
          <w:lang w:val="en-GB"/>
        </w:rPr>
        <w:t> </w:t>
      </w:r>
      <w:r w:rsidR="00E66677">
        <w:rPr>
          <w:lang w:val="en-GB"/>
        </w:rPr>
        <w:fldChar w:fldCharType="begin"/>
      </w:r>
      <w:r w:rsidR="00E66677">
        <w:rPr>
          <w:lang w:val="en-GB"/>
        </w:rPr>
        <w:instrText xml:space="preserve"> REF _Ref31654973 \r \h </w:instrText>
      </w:r>
      <w:r w:rsidR="00E66677">
        <w:rPr>
          <w:lang w:val="en-GB"/>
        </w:rPr>
      </w:r>
      <w:r w:rsidR="00E66677">
        <w:rPr>
          <w:lang w:val="en-GB"/>
        </w:rPr>
        <w:fldChar w:fldCharType="separate"/>
      </w:r>
      <w:r w:rsidR="00E66677">
        <w:rPr>
          <w:lang w:val="en-GB"/>
        </w:rPr>
        <w:t>3.13</w:t>
      </w:r>
      <w:r w:rsidR="00E66677">
        <w:rPr>
          <w:lang w:val="en-GB"/>
        </w:rPr>
        <w:fldChar w:fldCharType="end"/>
      </w:r>
      <w:r w:rsidR="00E66677">
        <w:rPr>
          <w:lang w:val="en-GB"/>
        </w:rPr>
        <w:t>)</w:t>
      </w:r>
      <w:r w:rsidR="003E6D4D" w:rsidRPr="000956D4">
        <w:rPr>
          <w:lang w:val="en-GB"/>
        </w:rPr>
        <w:t>.</w:t>
      </w:r>
      <w:r w:rsidR="003E6D4D" w:rsidRPr="00DB622F">
        <w:rPr>
          <w:lang w:val="en-GB"/>
        </w:rPr>
        <w:t xml:space="preserve"> However, </w:t>
      </w:r>
      <w:r w:rsidR="00847E6F">
        <w:rPr>
          <w:lang w:val="en-GB"/>
        </w:rPr>
        <w:t>because of</w:t>
      </w:r>
      <w:r w:rsidR="00847E6F" w:rsidRPr="00DB622F">
        <w:rPr>
          <w:lang w:val="en-GB"/>
        </w:rPr>
        <w:t xml:space="preserve"> </w:t>
      </w:r>
      <w:r w:rsidR="00DC1623" w:rsidRPr="00DB622F">
        <w:rPr>
          <w:lang w:val="en-GB"/>
        </w:rPr>
        <w:t xml:space="preserve">the uncertainty </w:t>
      </w:r>
      <w:r w:rsidR="00847E6F">
        <w:rPr>
          <w:lang w:val="en-GB"/>
        </w:rPr>
        <w:t>from</w:t>
      </w:r>
      <w:r w:rsidR="00DC1623" w:rsidRPr="00DB622F">
        <w:rPr>
          <w:lang w:val="en-GB"/>
        </w:rPr>
        <w:t xml:space="preserve"> the method of extrapolating overall survival, the committee did not expect that a change in utility values would </w:t>
      </w:r>
      <w:r w:rsidR="001B61F0">
        <w:rPr>
          <w:lang w:val="en-GB"/>
        </w:rPr>
        <w:t>affect</w:t>
      </w:r>
      <w:r w:rsidR="000A0BD3" w:rsidRPr="00DB622F">
        <w:rPr>
          <w:lang w:val="en-GB"/>
        </w:rPr>
        <w:t xml:space="preserve"> the ICER </w:t>
      </w:r>
      <w:r w:rsidR="0079659B">
        <w:rPr>
          <w:lang w:val="en-GB"/>
        </w:rPr>
        <w:t>enough</w:t>
      </w:r>
      <w:r w:rsidR="00DC1623" w:rsidRPr="00DB622F">
        <w:rPr>
          <w:lang w:val="en-GB"/>
        </w:rPr>
        <w:t xml:space="preserve"> </w:t>
      </w:r>
      <w:r w:rsidR="000A0BD3" w:rsidRPr="00DB622F">
        <w:rPr>
          <w:lang w:val="en-GB"/>
        </w:rPr>
        <w:t>for it</w:t>
      </w:r>
      <w:r w:rsidR="00EA4B7B" w:rsidRPr="00DB622F">
        <w:rPr>
          <w:lang w:val="en-GB"/>
        </w:rPr>
        <w:t xml:space="preserve"> to fall</w:t>
      </w:r>
      <w:r w:rsidR="00E61216" w:rsidRPr="00DB622F">
        <w:rPr>
          <w:lang w:val="en-GB"/>
        </w:rPr>
        <w:t xml:space="preserve"> below £30,000 per Q</w:t>
      </w:r>
      <w:r w:rsidR="005B5E99" w:rsidRPr="00DB622F">
        <w:rPr>
          <w:lang w:val="en-GB"/>
        </w:rPr>
        <w:t>A</w:t>
      </w:r>
      <w:r w:rsidR="00E61216" w:rsidRPr="00DB622F">
        <w:rPr>
          <w:lang w:val="en-GB"/>
        </w:rPr>
        <w:t>LY gained</w:t>
      </w:r>
      <w:r w:rsidR="00EA4B7B" w:rsidRPr="00DB622F">
        <w:rPr>
          <w:lang w:val="en-GB"/>
        </w:rPr>
        <w:t xml:space="preserve">. </w:t>
      </w:r>
      <w:r w:rsidR="00CF6ABA" w:rsidRPr="00DB622F">
        <w:rPr>
          <w:lang w:val="en-GB"/>
        </w:rPr>
        <w:t>ICERs of alternative scenarios provided by the technical team and the ERG</w:t>
      </w:r>
      <w:r w:rsidR="00A13B12" w:rsidRPr="00DB622F">
        <w:rPr>
          <w:lang w:val="en-GB"/>
        </w:rPr>
        <w:t xml:space="preserve"> also did not fall below £30,000 </w:t>
      </w:r>
      <w:r w:rsidR="007A5945">
        <w:rPr>
          <w:lang w:val="en-GB"/>
        </w:rPr>
        <w:t xml:space="preserve">per QALY gained </w:t>
      </w:r>
      <w:r w:rsidR="00A13B12" w:rsidRPr="00DB622F">
        <w:rPr>
          <w:lang w:val="en-GB"/>
        </w:rPr>
        <w:t>w</w:t>
      </w:r>
      <w:r w:rsidR="00EA4B7B" w:rsidRPr="00DB622F">
        <w:rPr>
          <w:lang w:val="en-GB"/>
        </w:rPr>
        <w:t xml:space="preserve">hen </w:t>
      </w:r>
      <w:r w:rsidR="007333B0">
        <w:rPr>
          <w:lang w:val="en-GB"/>
        </w:rPr>
        <w:t xml:space="preserve">all </w:t>
      </w:r>
      <w:r w:rsidR="00EA4B7B" w:rsidRPr="00DB622F">
        <w:rPr>
          <w:lang w:val="en-GB"/>
        </w:rPr>
        <w:t xml:space="preserve">commercial arrangements were </w:t>
      </w:r>
      <w:r w:rsidR="000214EC">
        <w:rPr>
          <w:lang w:val="en-GB"/>
        </w:rPr>
        <w:t xml:space="preserve">added </w:t>
      </w:r>
      <w:r w:rsidR="00EA4B7B" w:rsidRPr="00DB622F">
        <w:rPr>
          <w:lang w:val="en-GB"/>
        </w:rPr>
        <w:t>to the analyses</w:t>
      </w:r>
      <w:r w:rsidR="004604D1" w:rsidRPr="00DB622F">
        <w:rPr>
          <w:lang w:val="en-GB"/>
        </w:rPr>
        <w:t xml:space="preserve"> for either the </w:t>
      </w:r>
      <w:r w:rsidR="00E612B2" w:rsidRPr="00DB622F">
        <w:rPr>
          <w:lang w:val="en-GB"/>
        </w:rPr>
        <w:t xml:space="preserve">overall </w:t>
      </w:r>
      <w:r w:rsidR="00C11FBD">
        <w:rPr>
          <w:lang w:val="en-GB"/>
        </w:rPr>
        <w:t>renal cell carcinoma</w:t>
      </w:r>
      <w:r w:rsidR="00E612B2" w:rsidRPr="00DB622F">
        <w:rPr>
          <w:lang w:val="en-GB"/>
        </w:rPr>
        <w:t xml:space="preserve"> population </w:t>
      </w:r>
      <w:r w:rsidR="004604D1" w:rsidRPr="00DB622F">
        <w:rPr>
          <w:lang w:val="en-GB"/>
        </w:rPr>
        <w:t>or for the intermediate</w:t>
      </w:r>
      <w:r w:rsidR="00E3066B">
        <w:rPr>
          <w:lang w:val="en-GB"/>
        </w:rPr>
        <w:t xml:space="preserve"> and </w:t>
      </w:r>
      <w:r w:rsidR="004604D1" w:rsidRPr="00DB622F">
        <w:rPr>
          <w:lang w:val="en-GB"/>
        </w:rPr>
        <w:t>poor</w:t>
      </w:r>
      <w:r w:rsidR="00E3066B">
        <w:rPr>
          <w:lang w:val="en-GB"/>
        </w:rPr>
        <w:t>-</w:t>
      </w:r>
      <w:r w:rsidR="004604D1" w:rsidRPr="00DB622F">
        <w:rPr>
          <w:lang w:val="en-GB"/>
        </w:rPr>
        <w:t xml:space="preserve">risk </w:t>
      </w:r>
      <w:r w:rsidR="00E612B2" w:rsidRPr="00DB622F">
        <w:rPr>
          <w:lang w:val="en-GB"/>
        </w:rPr>
        <w:t>sub</w:t>
      </w:r>
      <w:r w:rsidR="004604D1" w:rsidRPr="00DB622F">
        <w:rPr>
          <w:lang w:val="en-GB"/>
        </w:rPr>
        <w:t>group</w:t>
      </w:r>
      <w:r w:rsidR="00DE133B" w:rsidRPr="00DB622F">
        <w:rPr>
          <w:lang w:val="en-GB"/>
        </w:rPr>
        <w:t xml:space="preserve">. The committee concluded that the most plausible ICER </w:t>
      </w:r>
      <w:r w:rsidR="00122F65">
        <w:rPr>
          <w:lang w:val="en-GB"/>
        </w:rPr>
        <w:t>was</w:t>
      </w:r>
      <w:r w:rsidR="00DE133B" w:rsidRPr="00DB622F">
        <w:rPr>
          <w:lang w:val="en-GB"/>
        </w:rPr>
        <w:t xml:space="preserve"> within the range presented by the company base case and the technical team</w:t>
      </w:r>
      <w:r w:rsidR="00AE2124" w:rsidRPr="00DB622F">
        <w:rPr>
          <w:lang w:val="en-GB"/>
        </w:rPr>
        <w:t xml:space="preserve"> base case</w:t>
      </w:r>
      <w:r w:rsidR="00B54FA1">
        <w:rPr>
          <w:lang w:val="en-GB"/>
        </w:rPr>
        <w:t>.</w:t>
      </w:r>
      <w:r w:rsidR="00DE133B" w:rsidRPr="00DB622F">
        <w:rPr>
          <w:lang w:val="en-GB"/>
        </w:rPr>
        <w:t xml:space="preserve"> </w:t>
      </w:r>
      <w:r w:rsidR="00B54FA1">
        <w:rPr>
          <w:lang w:val="en-GB"/>
        </w:rPr>
        <w:t>So,</w:t>
      </w:r>
      <w:r w:rsidR="00DE133B" w:rsidRPr="00DB622F">
        <w:rPr>
          <w:lang w:val="en-GB"/>
        </w:rPr>
        <w:t xml:space="preserve"> the most plausible ICER was above the </w:t>
      </w:r>
      <w:r w:rsidR="00DE133B" w:rsidRPr="000956D4">
        <w:rPr>
          <w:lang w:val="en-GB"/>
        </w:rPr>
        <w:t xml:space="preserve">range </w:t>
      </w:r>
      <w:r w:rsidR="00DE133B" w:rsidRPr="00DB622F">
        <w:rPr>
          <w:lang w:val="en-GB"/>
        </w:rPr>
        <w:t xml:space="preserve">normally considered </w:t>
      </w:r>
      <w:r w:rsidR="003741E3">
        <w:rPr>
          <w:lang w:val="en-GB"/>
        </w:rPr>
        <w:t xml:space="preserve">as </w:t>
      </w:r>
      <w:r w:rsidR="00DE133B" w:rsidRPr="00DB622F">
        <w:rPr>
          <w:lang w:val="en-GB"/>
        </w:rPr>
        <w:t>cost</w:t>
      </w:r>
      <w:r w:rsidR="003741E3">
        <w:rPr>
          <w:lang w:val="en-GB"/>
        </w:rPr>
        <w:t xml:space="preserve"> </w:t>
      </w:r>
      <w:r w:rsidR="00DE133B" w:rsidRPr="00DB622F">
        <w:rPr>
          <w:lang w:val="en-GB"/>
        </w:rPr>
        <w:t>effective</w:t>
      </w:r>
      <w:r w:rsidR="00E612B2" w:rsidRPr="00DB622F">
        <w:rPr>
          <w:lang w:val="en-GB"/>
        </w:rPr>
        <w:t>.</w:t>
      </w:r>
    </w:p>
    <w:bookmarkEnd w:id="7"/>
    <w:p w14:paraId="6B94E2E5" w14:textId="05A3D1FC" w:rsidR="00643582" w:rsidRPr="00DB622F" w:rsidRDefault="007C1845" w:rsidP="00643582">
      <w:pPr>
        <w:pStyle w:val="Heading2"/>
      </w:pPr>
      <w:r w:rsidRPr="00DB622F">
        <w:lastRenderedPageBreak/>
        <w:t>End of life</w:t>
      </w:r>
    </w:p>
    <w:p w14:paraId="49D16134" w14:textId="78BB7015" w:rsidR="00643582" w:rsidRPr="00DB622F" w:rsidRDefault="007C1845" w:rsidP="0073007E">
      <w:pPr>
        <w:pStyle w:val="Heading3"/>
      </w:pPr>
      <w:r w:rsidRPr="00DB622F">
        <w:t xml:space="preserve">Pembrolizumab with </w:t>
      </w:r>
      <w:proofErr w:type="spellStart"/>
      <w:r w:rsidRPr="00DB622F">
        <w:t>axitinib</w:t>
      </w:r>
      <w:proofErr w:type="spellEnd"/>
      <w:r w:rsidRPr="00DB622F">
        <w:t xml:space="preserve"> </w:t>
      </w:r>
      <w:r w:rsidR="00EF17ED" w:rsidRPr="00DB622F">
        <w:t>does not meet the criteria to be considered as a life-extending treatment at the end of life</w:t>
      </w:r>
    </w:p>
    <w:p w14:paraId="6B810EEA" w14:textId="221F20FC" w:rsidR="00643582" w:rsidRPr="009F3F67" w:rsidRDefault="00643582" w:rsidP="00C52D9A">
      <w:pPr>
        <w:pStyle w:val="Numberedlevel2text"/>
        <w:rPr>
          <w:lang w:val="en-GB"/>
        </w:rPr>
      </w:pPr>
      <w:r w:rsidRPr="009F3F67">
        <w:rPr>
          <w:lang w:val="en-GB"/>
        </w:rPr>
        <w:t xml:space="preserve">The committee considered the advice about life-extending treatments for people with a short life expectancy in NICE’s </w:t>
      </w:r>
      <w:hyperlink r:id="rId16" w:history="1">
        <w:r w:rsidR="00746B57" w:rsidRPr="009F3F67">
          <w:rPr>
            <w:rStyle w:val="Hyperlink"/>
            <w:lang w:val="en-GB"/>
          </w:rPr>
          <w:t xml:space="preserve">guide </w:t>
        </w:r>
        <w:r w:rsidR="00746B57" w:rsidRPr="009F3F67">
          <w:rPr>
            <w:rStyle w:val="Hyperlink"/>
            <w:lang w:val="en-GB"/>
          </w:rPr>
          <w:t>t</w:t>
        </w:r>
        <w:r w:rsidR="00746B57" w:rsidRPr="009F3F67">
          <w:rPr>
            <w:rStyle w:val="Hyperlink"/>
            <w:lang w:val="en-GB"/>
          </w:rPr>
          <w:t>o the methods of technology appraisal</w:t>
        </w:r>
      </w:hyperlink>
      <w:r w:rsidRPr="009F3F67">
        <w:rPr>
          <w:lang w:val="en-GB"/>
        </w:rPr>
        <w:t>.</w:t>
      </w:r>
    </w:p>
    <w:p w14:paraId="7CBC6BB1" w14:textId="1D521EE1" w:rsidR="00EF17ED" w:rsidRPr="00DB622F" w:rsidRDefault="00BE04BE" w:rsidP="00910F46">
      <w:pPr>
        <w:pStyle w:val="Numberedlevel2text"/>
        <w:numPr>
          <w:ilvl w:val="0"/>
          <w:numId w:val="0"/>
        </w:numPr>
        <w:ind w:left="1134"/>
      </w:pPr>
      <w:r w:rsidRPr="00DB622F">
        <w:t xml:space="preserve">The committee, ERG and company </w:t>
      </w:r>
      <w:r w:rsidR="00556845" w:rsidRPr="00DB622F">
        <w:t>agreed</w:t>
      </w:r>
      <w:r w:rsidRPr="00DB622F">
        <w:t xml:space="preserve"> </w:t>
      </w:r>
      <w:r w:rsidR="00556845" w:rsidRPr="00DB622F">
        <w:t>that pembrolizumab</w:t>
      </w:r>
      <w:r w:rsidRPr="00DB622F">
        <w:t xml:space="preserve"> </w:t>
      </w:r>
      <w:r w:rsidR="0063396D">
        <w:t>with</w:t>
      </w:r>
      <w:r w:rsidRPr="00DB622F">
        <w:t xml:space="preserve"> </w:t>
      </w:r>
      <w:proofErr w:type="spellStart"/>
      <w:r w:rsidR="00556845" w:rsidRPr="00DB622F">
        <w:t>axitinib</w:t>
      </w:r>
      <w:proofErr w:type="spellEnd"/>
      <w:r w:rsidR="00556845" w:rsidRPr="00DB622F">
        <w:t xml:space="preserve"> </w:t>
      </w:r>
      <w:r w:rsidRPr="00DB622F">
        <w:t>does not meet end</w:t>
      </w:r>
      <w:r w:rsidR="000E07AB">
        <w:t>-</w:t>
      </w:r>
      <w:r w:rsidRPr="00DB622F">
        <w:t>of</w:t>
      </w:r>
      <w:r w:rsidR="000E07AB">
        <w:t>-</w:t>
      </w:r>
      <w:r w:rsidRPr="00DB622F">
        <w:t>life criteria</w:t>
      </w:r>
      <w:r w:rsidR="0063396D">
        <w:t xml:space="preserve"> </w:t>
      </w:r>
      <w:r w:rsidR="00DD19FC" w:rsidRPr="00DB622F">
        <w:t>for the overall renal cell carcinoma population</w:t>
      </w:r>
      <w:r w:rsidRPr="00DB622F">
        <w:t>.</w:t>
      </w:r>
      <w:r w:rsidR="00D43075" w:rsidRPr="00DB622F">
        <w:t xml:space="preserve"> The</w:t>
      </w:r>
      <w:r w:rsidR="0063396D">
        <w:t xml:space="preserve"> committee</w:t>
      </w:r>
      <w:r w:rsidR="00D43075" w:rsidRPr="00DB622F">
        <w:t xml:space="preserve"> agree</w:t>
      </w:r>
      <w:r w:rsidR="0063396D">
        <w:t>d</w:t>
      </w:r>
      <w:r w:rsidR="00D43075" w:rsidRPr="00DB622F">
        <w:t xml:space="preserve"> that </w:t>
      </w:r>
      <w:r w:rsidR="00EF17ED" w:rsidRPr="00DB622F">
        <w:t xml:space="preserve">the </w:t>
      </w:r>
      <w:r w:rsidR="00667D1A" w:rsidRPr="00DB622F">
        <w:t xml:space="preserve">first </w:t>
      </w:r>
      <w:r w:rsidRPr="00DB622F">
        <w:t>end</w:t>
      </w:r>
      <w:r w:rsidR="006869E2">
        <w:t>-</w:t>
      </w:r>
      <w:r w:rsidRPr="00DB622F">
        <w:t>of</w:t>
      </w:r>
      <w:r w:rsidR="006869E2">
        <w:t>-</w:t>
      </w:r>
      <w:r w:rsidRPr="00DB622F">
        <w:t>life criteri</w:t>
      </w:r>
      <w:r w:rsidR="00E612B2" w:rsidRPr="00DB622F">
        <w:t>on</w:t>
      </w:r>
      <w:r w:rsidR="00667D1A" w:rsidRPr="00DB622F">
        <w:t xml:space="preserve"> (that treatment is indicated for patients with a short life expectancy, normally less than 24</w:t>
      </w:r>
      <w:r w:rsidR="006869E2">
        <w:t> </w:t>
      </w:r>
      <w:r w:rsidR="00667D1A" w:rsidRPr="00DB622F">
        <w:t xml:space="preserve">months) </w:t>
      </w:r>
      <w:r w:rsidRPr="00DB622F">
        <w:t>in the intermediate</w:t>
      </w:r>
      <w:r w:rsidR="002A5343" w:rsidRPr="00DB622F">
        <w:t xml:space="preserve"> </w:t>
      </w:r>
      <w:r w:rsidR="00FC02BD">
        <w:t>and</w:t>
      </w:r>
      <w:r w:rsidR="00FC02BD" w:rsidRPr="00DB622F">
        <w:t xml:space="preserve"> </w:t>
      </w:r>
      <w:r w:rsidRPr="00DB622F">
        <w:t>poor</w:t>
      </w:r>
      <w:r w:rsidR="00B37AA3">
        <w:t>-</w:t>
      </w:r>
      <w:r w:rsidRPr="00DB622F">
        <w:t xml:space="preserve">risk group </w:t>
      </w:r>
      <w:r w:rsidR="00127BF8">
        <w:t>was</w:t>
      </w:r>
      <w:r w:rsidR="00127BF8" w:rsidRPr="00DB622F">
        <w:t xml:space="preserve"> </w:t>
      </w:r>
      <w:r w:rsidRPr="00DB622F">
        <w:t>not met because the median overall survival in the sunitinib arm of C</w:t>
      </w:r>
      <w:r w:rsidR="009F312D">
        <w:t>HECK</w:t>
      </w:r>
      <w:r w:rsidRPr="00DB622F">
        <w:t>M</w:t>
      </w:r>
      <w:r w:rsidR="009F312D">
        <w:t>ATE</w:t>
      </w:r>
      <w:r w:rsidR="009F312D">
        <w:noBreakHyphen/>
      </w:r>
      <w:r w:rsidRPr="00DB622F">
        <w:t xml:space="preserve">214 was </w:t>
      </w:r>
      <w:r w:rsidR="00EF17ED" w:rsidRPr="00DB622F">
        <w:t>26</w:t>
      </w:r>
      <w:r w:rsidR="009F312D">
        <w:t> </w:t>
      </w:r>
      <w:r w:rsidRPr="00DB622F">
        <w:t>months.</w:t>
      </w:r>
      <w:r w:rsidR="00D43075" w:rsidRPr="00DB622F">
        <w:t xml:space="preserve"> Estimates of overall survival for the poor</w:t>
      </w:r>
      <w:r w:rsidR="00D168EA">
        <w:t>-</w:t>
      </w:r>
      <w:r w:rsidR="00D43075" w:rsidRPr="00DB622F">
        <w:t xml:space="preserve">risk group could not be estimated from the economic model because </w:t>
      </w:r>
      <w:r w:rsidR="00D168EA">
        <w:t>it</w:t>
      </w:r>
      <w:r w:rsidR="00D43075" w:rsidRPr="00DB622F">
        <w:t xml:space="preserve"> was not considered as a distinct subgroup. The committee </w:t>
      </w:r>
      <w:r w:rsidR="005F6343" w:rsidRPr="00DB622F">
        <w:t xml:space="preserve">noted that </w:t>
      </w:r>
      <w:r w:rsidR="00D43075" w:rsidRPr="00DB622F">
        <w:t>the CABOSUN trial included few poor</w:t>
      </w:r>
      <w:r w:rsidR="00F432A1">
        <w:t>-</w:t>
      </w:r>
      <w:r w:rsidR="00D43075" w:rsidRPr="00DB622F">
        <w:t>risk patients</w:t>
      </w:r>
      <w:r w:rsidR="00CA27D7">
        <w:t xml:space="preserve"> </w:t>
      </w:r>
      <w:r w:rsidR="00CA27D7" w:rsidRPr="006D32F7">
        <w:t xml:space="preserve">(15 </w:t>
      </w:r>
      <w:r w:rsidR="00CA27D7">
        <w:t xml:space="preserve">for </w:t>
      </w:r>
      <w:proofErr w:type="spellStart"/>
      <w:r w:rsidR="00CA27D7" w:rsidRPr="006D32F7">
        <w:t>cabozantinib</w:t>
      </w:r>
      <w:proofErr w:type="spellEnd"/>
      <w:r w:rsidR="00CA27D7">
        <w:t xml:space="preserve"> and</w:t>
      </w:r>
      <w:r w:rsidR="00CA27D7" w:rsidRPr="006D32F7">
        <w:t xml:space="preserve"> 15 </w:t>
      </w:r>
      <w:r w:rsidR="00CA27D7">
        <w:t xml:space="preserve">for </w:t>
      </w:r>
      <w:r w:rsidR="00CA27D7" w:rsidRPr="006D32F7">
        <w:t>sunitinib)</w:t>
      </w:r>
      <w:r w:rsidR="00D43075" w:rsidRPr="00DB622F">
        <w:t xml:space="preserve"> </w:t>
      </w:r>
      <w:r w:rsidR="00EF17ED" w:rsidRPr="00DB622F">
        <w:t>and an overall survival estimate would be highly uncertain. The committee concluded there was no evidence to support that the first end</w:t>
      </w:r>
      <w:r w:rsidR="001605E5">
        <w:t>-</w:t>
      </w:r>
      <w:r w:rsidR="00EF17ED" w:rsidRPr="00DB622F">
        <w:t>of</w:t>
      </w:r>
      <w:r w:rsidR="001605E5">
        <w:t>-</w:t>
      </w:r>
      <w:r w:rsidR="00EF17ED" w:rsidRPr="00DB622F">
        <w:t>life criteri</w:t>
      </w:r>
      <w:r w:rsidR="00667D1A" w:rsidRPr="00DB622F">
        <w:t>on</w:t>
      </w:r>
      <w:r w:rsidR="00EF17ED" w:rsidRPr="00DB622F">
        <w:t xml:space="preserve"> </w:t>
      </w:r>
      <w:r w:rsidR="001605E5">
        <w:t>was</w:t>
      </w:r>
      <w:r w:rsidR="00EF17ED" w:rsidRPr="00DB622F">
        <w:t xml:space="preserve"> met in any of the</w:t>
      </w:r>
      <w:r w:rsidR="002A5343" w:rsidRPr="00DB622F">
        <w:t xml:space="preserve"> IMDC</w:t>
      </w:r>
      <w:r w:rsidR="00EF17ED" w:rsidRPr="00DB622F">
        <w:t xml:space="preserve"> risk groups. Therefore, pembrolizumab with </w:t>
      </w:r>
      <w:proofErr w:type="spellStart"/>
      <w:r w:rsidR="00EF17ED" w:rsidRPr="00DB622F">
        <w:t>axitinib</w:t>
      </w:r>
      <w:proofErr w:type="spellEnd"/>
      <w:r w:rsidR="00EF17ED" w:rsidRPr="00DB622F">
        <w:t xml:space="preserve"> does not meet the criteria to be considered as a life-extending treatment at the end of life.</w:t>
      </w:r>
    </w:p>
    <w:p w14:paraId="51260AE3" w14:textId="0E4F918D" w:rsidR="00643582" w:rsidRPr="00DB622F" w:rsidRDefault="00A7220D" w:rsidP="00643582">
      <w:pPr>
        <w:pStyle w:val="Heading2"/>
      </w:pPr>
      <w:r w:rsidRPr="00DB622F">
        <w:t>Cancer Drugs Fund</w:t>
      </w:r>
    </w:p>
    <w:p w14:paraId="3B7C90CA" w14:textId="79DA796B" w:rsidR="00643582" w:rsidRPr="00DB622F" w:rsidRDefault="00FE5CFA" w:rsidP="00FE5CFA">
      <w:pPr>
        <w:pStyle w:val="Heading3"/>
      </w:pPr>
      <w:r w:rsidRPr="00DB622F">
        <w:t xml:space="preserve">Pembrolizumab </w:t>
      </w:r>
      <w:r w:rsidR="002F1C23">
        <w:t>with</w:t>
      </w:r>
      <w:r w:rsidRPr="00DB622F">
        <w:t xml:space="preserve"> </w:t>
      </w:r>
      <w:proofErr w:type="spellStart"/>
      <w:r w:rsidRPr="00DB622F">
        <w:t>axitinib</w:t>
      </w:r>
      <w:proofErr w:type="spellEnd"/>
      <w:r w:rsidRPr="00DB622F">
        <w:t xml:space="preserve"> does not meet the criteria to be considered for inclusion in the </w:t>
      </w:r>
      <w:r w:rsidR="006B3157">
        <w:t>CDF</w:t>
      </w:r>
    </w:p>
    <w:p w14:paraId="3CCA68CC" w14:textId="47CCCCEE" w:rsidR="0042362A" w:rsidRPr="00042EAC" w:rsidRDefault="00643582" w:rsidP="00C52D9A">
      <w:pPr>
        <w:pStyle w:val="Numberedlevel2text"/>
        <w:rPr>
          <w:lang w:val="en-GB"/>
        </w:rPr>
      </w:pPr>
      <w:r w:rsidRPr="00042EAC">
        <w:rPr>
          <w:lang w:val="en-GB"/>
        </w:rPr>
        <w:t xml:space="preserve">The committee discussed the arrangements for the CDF agreed by NICE and NHS England in 2016, noting </w:t>
      </w:r>
      <w:r w:rsidR="000E6F19" w:rsidRPr="00DB622F">
        <w:rPr>
          <w:lang w:val="en-GB"/>
        </w:rPr>
        <w:t xml:space="preserve">NICE’s </w:t>
      </w:r>
      <w:hyperlink r:id="rId17" w:history="1">
        <w:r w:rsidR="000E6F19" w:rsidRPr="00DB622F">
          <w:rPr>
            <w:rStyle w:val="Hyperlink"/>
            <w:lang w:val="en-GB"/>
          </w:rPr>
          <w:t>Cancer Drugs Fund me</w:t>
        </w:r>
        <w:r w:rsidR="000E6F19" w:rsidRPr="00DB622F">
          <w:rPr>
            <w:rStyle w:val="Hyperlink"/>
            <w:lang w:val="en-GB"/>
          </w:rPr>
          <w:t>t</w:t>
        </w:r>
        <w:r w:rsidR="000E6F19" w:rsidRPr="00DB622F">
          <w:rPr>
            <w:rStyle w:val="Hyperlink"/>
            <w:lang w:val="en-GB"/>
          </w:rPr>
          <w:t>hods guide (addendum)</w:t>
        </w:r>
      </w:hyperlink>
      <w:r w:rsidRPr="00042EAC">
        <w:rPr>
          <w:lang w:val="en-GB"/>
        </w:rPr>
        <w:t xml:space="preserve">. </w:t>
      </w:r>
    </w:p>
    <w:p w14:paraId="7CEC1A5D" w14:textId="4C9BE0F5" w:rsidR="0042362A" w:rsidRPr="00DB622F" w:rsidRDefault="0042362A">
      <w:pPr>
        <w:pStyle w:val="Bulletindent1"/>
      </w:pPr>
      <w:r w:rsidRPr="00DB622F">
        <w:lastRenderedPageBreak/>
        <w:t xml:space="preserve">The modelling of overall survival data was uncertain. </w:t>
      </w:r>
      <w:r w:rsidR="00E942A3">
        <w:t>T</w:t>
      </w:r>
      <w:r w:rsidRPr="00DB622F">
        <w:t xml:space="preserve">here </w:t>
      </w:r>
      <w:r w:rsidR="00BF2826">
        <w:t>wa</w:t>
      </w:r>
      <w:r w:rsidRPr="00DB622F">
        <w:t xml:space="preserve">s no evidence to confirm that pembrolizumab </w:t>
      </w:r>
      <w:r w:rsidR="00124795">
        <w:t>with</w:t>
      </w:r>
      <w:r w:rsidRPr="00DB622F">
        <w:t xml:space="preserve"> </w:t>
      </w:r>
      <w:proofErr w:type="spellStart"/>
      <w:r w:rsidRPr="00DB622F">
        <w:t>axitinib</w:t>
      </w:r>
      <w:proofErr w:type="spellEnd"/>
      <w:r w:rsidRPr="00DB622F">
        <w:t xml:space="preserve"> w</w:t>
      </w:r>
      <w:r w:rsidR="00861AFC">
        <w:t>ould</w:t>
      </w:r>
      <w:r w:rsidRPr="00DB622F">
        <w:t xml:space="preserve"> </w:t>
      </w:r>
      <w:r w:rsidR="004D177B">
        <w:t>have</w:t>
      </w:r>
      <w:r w:rsidR="004D177B" w:rsidRPr="00DB622F">
        <w:t xml:space="preserve"> </w:t>
      </w:r>
      <w:r w:rsidRPr="00DB622F">
        <w:t xml:space="preserve">a durable response and the </w:t>
      </w:r>
      <w:r w:rsidR="002D683C">
        <w:t>size</w:t>
      </w:r>
      <w:r w:rsidR="002D683C" w:rsidRPr="00DB622F">
        <w:t xml:space="preserve"> </w:t>
      </w:r>
      <w:r w:rsidRPr="00DB622F">
        <w:t xml:space="preserve">of response is highly uncertain. Further information </w:t>
      </w:r>
      <w:r w:rsidR="005A4933">
        <w:t>could</w:t>
      </w:r>
      <w:r w:rsidRPr="00DB622F">
        <w:t xml:space="preserve"> reduc</w:t>
      </w:r>
      <w:r w:rsidR="00B25FF3">
        <w:t>e</w:t>
      </w:r>
      <w:r w:rsidRPr="00DB622F">
        <w:t xml:space="preserve"> this uncertainty, in particular:</w:t>
      </w:r>
    </w:p>
    <w:p w14:paraId="30C2C572" w14:textId="1CE2834E" w:rsidR="0042362A" w:rsidRPr="00DB622F" w:rsidRDefault="0042362A" w:rsidP="00042EAC">
      <w:pPr>
        <w:pStyle w:val="Bulletindent2"/>
      </w:pPr>
      <w:r w:rsidRPr="00DB622F">
        <w:t>the number of people who complete 2</w:t>
      </w:r>
      <w:r w:rsidR="001C3582">
        <w:t> </w:t>
      </w:r>
      <w:r w:rsidRPr="00DB622F">
        <w:t xml:space="preserve">years of therapy or </w:t>
      </w:r>
      <w:r w:rsidR="00FD352B">
        <w:t>stop</w:t>
      </w:r>
      <w:r w:rsidR="00FD352B" w:rsidRPr="00DB622F">
        <w:t xml:space="preserve"> </w:t>
      </w:r>
      <w:r w:rsidR="00FD352B">
        <w:t>because of</w:t>
      </w:r>
      <w:r w:rsidRPr="00DB622F">
        <w:t xml:space="preserve"> complete remission</w:t>
      </w:r>
    </w:p>
    <w:p w14:paraId="3B1D7FCE" w14:textId="38D4109E" w:rsidR="0042362A" w:rsidRPr="00DB622F" w:rsidRDefault="00BE04BE" w:rsidP="00042EAC">
      <w:pPr>
        <w:pStyle w:val="Bulletindent2"/>
      </w:pPr>
      <w:r w:rsidRPr="00DB622F">
        <w:t>t</w:t>
      </w:r>
      <w:r w:rsidR="0042362A" w:rsidRPr="00DB622F">
        <w:t>he proportion of these 2 groups that relapse and when they do</w:t>
      </w:r>
    </w:p>
    <w:p w14:paraId="01B799BC" w14:textId="3A8E499A" w:rsidR="00643582" w:rsidRPr="00DB622F" w:rsidRDefault="00BE04BE" w:rsidP="00042EAC">
      <w:pPr>
        <w:pStyle w:val="Bulletindent2"/>
      </w:pPr>
      <w:r w:rsidRPr="00DB622F">
        <w:t>t</w:t>
      </w:r>
      <w:r w:rsidR="0042362A" w:rsidRPr="00DB622F">
        <w:t>he response to retreatment.</w:t>
      </w:r>
    </w:p>
    <w:p w14:paraId="0693D6ED" w14:textId="2C7F1DF3" w:rsidR="0042362A" w:rsidRPr="00DB622F" w:rsidRDefault="0042362A">
      <w:pPr>
        <w:pStyle w:val="Bulletindent1"/>
      </w:pPr>
      <w:r w:rsidRPr="00DB622F">
        <w:t xml:space="preserve">The company stated that further data cuts were expected from </w:t>
      </w:r>
      <w:r w:rsidR="00556845" w:rsidRPr="00DB622F">
        <w:t>KEYNOTE</w:t>
      </w:r>
      <w:r w:rsidR="00065AA9">
        <w:noBreakHyphen/>
      </w:r>
      <w:r w:rsidR="00556845" w:rsidRPr="00DB622F">
        <w:t>426</w:t>
      </w:r>
      <w:r w:rsidRPr="00DB622F">
        <w:t>. While further analysis using this data would help reduce uncertainty, the committee did not believe that the uncertainty would be resolved</w:t>
      </w:r>
      <w:r w:rsidR="00BE04BE" w:rsidRPr="00DB622F">
        <w:t xml:space="preserve"> in the proposed timeframe</w:t>
      </w:r>
      <w:r w:rsidR="00B24FEF" w:rsidRPr="00DB622F">
        <w:t xml:space="preserve"> with the</w:t>
      </w:r>
      <w:r w:rsidR="00492EEF">
        <w:t>se</w:t>
      </w:r>
      <w:r w:rsidR="00B24FEF" w:rsidRPr="00DB622F">
        <w:t xml:space="preserve"> data.</w:t>
      </w:r>
    </w:p>
    <w:p w14:paraId="3D5E6E8A" w14:textId="327F76A0" w:rsidR="007E77D4" w:rsidRPr="00DB622F" w:rsidRDefault="007E77D4" w:rsidP="007E77D4">
      <w:pPr>
        <w:pStyle w:val="Bulletindent1"/>
      </w:pPr>
      <w:r w:rsidRPr="00DB622F">
        <w:t xml:space="preserve">The committee considered whether further information </w:t>
      </w:r>
      <w:r w:rsidR="005F7571">
        <w:t>about</w:t>
      </w:r>
      <w:r w:rsidRPr="00DB622F">
        <w:t xml:space="preserve"> progression</w:t>
      </w:r>
      <w:r w:rsidR="005F7571">
        <w:t>-</w:t>
      </w:r>
      <w:r w:rsidRPr="00DB622F">
        <w:t xml:space="preserve">free survival would be useful to collect </w:t>
      </w:r>
      <w:r w:rsidR="00515190">
        <w:t>through</w:t>
      </w:r>
      <w:r w:rsidRPr="00DB622F">
        <w:t xml:space="preserve"> the </w:t>
      </w:r>
      <w:r w:rsidR="0071780F" w:rsidRPr="00DB622F">
        <w:t>CDF</w:t>
      </w:r>
      <w:r w:rsidRPr="00DB622F">
        <w:t xml:space="preserve">. If </w:t>
      </w:r>
      <w:r w:rsidR="00C551C8" w:rsidRPr="00DB622F">
        <w:t>everyone</w:t>
      </w:r>
      <w:r w:rsidR="00920CE2">
        <w:t>’s disease</w:t>
      </w:r>
      <w:r w:rsidR="00C551C8" w:rsidRPr="00DB622F">
        <w:t xml:space="preserve"> had progressed </w:t>
      </w:r>
      <w:r w:rsidRPr="00DB622F">
        <w:t xml:space="preserve">by the end of the CDF data collection period, then it </w:t>
      </w:r>
      <w:r w:rsidR="00105467">
        <w:t>could</w:t>
      </w:r>
      <w:r w:rsidRPr="00DB622F">
        <w:t xml:space="preserve"> </w:t>
      </w:r>
      <w:r w:rsidR="007333B0">
        <w:t>rule out</w:t>
      </w:r>
      <w:r w:rsidR="00E612B2" w:rsidRPr="00DB622F">
        <w:t xml:space="preserve"> a</w:t>
      </w:r>
      <w:r w:rsidRPr="00DB622F">
        <w:t xml:space="preserve"> long</w:t>
      </w:r>
      <w:r w:rsidR="000C5CC0" w:rsidRPr="00DB622F">
        <w:t>-</w:t>
      </w:r>
      <w:r w:rsidRPr="00DB622F">
        <w:t>term immunotherapeutic effect</w:t>
      </w:r>
      <w:r w:rsidR="00E612B2" w:rsidRPr="00DB622F">
        <w:t xml:space="preserve"> with pembrolizumab</w:t>
      </w:r>
      <w:r w:rsidRPr="00DB622F">
        <w:t xml:space="preserve">. </w:t>
      </w:r>
    </w:p>
    <w:p w14:paraId="220FA989" w14:textId="596DAA4E" w:rsidR="0042362A" w:rsidRPr="00DB622F" w:rsidRDefault="0042362A" w:rsidP="00042EAC">
      <w:pPr>
        <w:pStyle w:val="Bulletindent1last"/>
      </w:pPr>
      <w:r w:rsidRPr="00DB622F">
        <w:t xml:space="preserve">There is no </w:t>
      </w:r>
      <w:r w:rsidRPr="000E07AB">
        <w:t>plausible</w:t>
      </w:r>
      <w:r w:rsidRPr="00DB622F">
        <w:t xml:space="preserve"> potential for routine use</w:t>
      </w:r>
      <w:r w:rsidR="00721CA4">
        <w:t xml:space="preserve"> </w:t>
      </w:r>
      <w:r w:rsidRPr="00DB622F">
        <w:t xml:space="preserve">because </w:t>
      </w:r>
      <w:r w:rsidR="0058503E">
        <w:t>all plausible</w:t>
      </w:r>
      <w:r w:rsidRPr="00DB622F">
        <w:t xml:space="preserve"> ICERs were</w:t>
      </w:r>
      <w:r w:rsidR="000C5CC0" w:rsidRPr="00DB622F">
        <w:t xml:space="preserve"> above £30,000 per QALY gained when commercial arrangements were included in the analys</w:t>
      </w:r>
      <w:r w:rsidR="0071780F" w:rsidRPr="00DB622F">
        <w:t>es</w:t>
      </w:r>
      <w:r w:rsidR="000C5CC0" w:rsidRPr="00DB622F">
        <w:t>.</w:t>
      </w:r>
    </w:p>
    <w:p w14:paraId="3EF6FA49" w14:textId="231F6549" w:rsidR="00BE04BE" w:rsidRPr="00DB622F" w:rsidRDefault="00BE04BE" w:rsidP="00042EAC">
      <w:pPr>
        <w:pStyle w:val="Numberedlevel2text"/>
        <w:numPr>
          <w:ilvl w:val="0"/>
          <w:numId w:val="0"/>
        </w:numPr>
        <w:ind w:left="1134"/>
      </w:pPr>
      <w:r w:rsidRPr="00DB622F">
        <w:t xml:space="preserve">The committee concluded that pembrolizumab </w:t>
      </w:r>
      <w:r w:rsidR="00D01F9B">
        <w:rPr>
          <w:lang w:val="en-US"/>
        </w:rPr>
        <w:t>with</w:t>
      </w:r>
      <w:r w:rsidRPr="00DB622F">
        <w:t xml:space="preserve"> </w:t>
      </w:r>
      <w:proofErr w:type="spellStart"/>
      <w:r w:rsidRPr="00DB622F">
        <w:t>axitinib</w:t>
      </w:r>
      <w:proofErr w:type="spellEnd"/>
      <w:r w:rsidRPr="00DB622F">
        <w:t xml:space="preserve"> did not meet the criteria to be considered for inclusion in the CDF.</w:t>
      </w:r>
    </w:p>
    <w:p w14:paraId="5822873C" w14:textId="66FE3A12" w:rsidR="00643582" w:rsidRPr="00DB622F" w:rsidRDefault="00F43622" w:rsidP="00C52D9A">
      <w:pPr>
        <w:pStyle w:val="Heading2"/>
      </w:pPr>
      <w:r w:rsidRPr="00DB622F">
        <w:t xml:space="preserve">Other </w:t>
      </w:r>
      <w:r w:rsidR="00536D42">
        <w:t>f</w:t>
      </w:r>
      <w:r w:rsidRPr="00DB622F">
        <w:t>actors</w:t>
      </w:r>
    </w:p>
    <w:p w14:paraId="36919B2A" w14:textId="4F885ADE" w:rsidR="00F43622" w:rsidRPr="00DB622F" w:rsidRDefault="00F43622" w:rsidP="00643582">
      <w:pPr>
        <w:pStyle w:val="NICEnormal"/>
      </w:pPr>
      <w:r w:rsidRPr="00DB622F">
        <w:rPr>
          <w:rFonts w:ascii="Arial-BoldMT" w:hAnsi="Arial-BoldMT" w:cs="Arial-BoldMT"/>
          <w:b/>
          <w:bCs/>
          <w:lang w:eastAsia="en-GB"/>
        </w:rPr>
        <w:t>There are no equality issues relevant to the recommendations</w:t>
      </w:r>
    </w:p>
    <w:p w14:paraId="19667D28" w14:textId="41797ABF" w:rsidR="00643582" w:rsidRPr="00042EAC" w:rsidRDefault="00F43622" w:rsidP="00643582">
      <w:pPr>
        <w:pStyle w:val="Numberedlevel2text"/>
        <w:numPr>
          <w:ilvl w:val="1"/>
          <w:numId w:val="1"/>
        </w:numPr>
        <w:rPr>
          <w:lang w:val="en-GB"/>
        </w:rPr>
      </w:pPr>
      <w:r w:rsidRPr="00042EAC">
        <w:rPr>
          <w:lang w:val="en-GB"/>
        </w:rPr>
        <w:t>No equality/social value judgement issues were identified.</w:t>
      </w:r>
    </w:p>
    <w:p w14:paraId="65A19C84" w14:textId="5DA594EA" w:rsidR="00F43622" w:rsidRPr="00DB622F" w:rsidRDefault="00F43622" w:rsidP="00C52D9A">
      <w:pPr>
        <w:pStyle w:val="Numberedlevel2text"/>
        <w:numPr>
          <w:ilvl w:val="0"/>
          <w:numId w:val="0"/>
        </w:numPr>
        <w:rPr>
          <w:lang w:val="en-GB"/>
        </w:rPr>
      </w:pPr>
      <w:r w:rsidRPr="00042EAC">
        <w:rPr>
          <w:rFonts w:ascii="Arial-BoldMT" w:hAnsi="Arial-BoldMT" w:cs="Arial-BoldMT"/>
          <w:b/>
          <w:bCs w:val="0"/>
          <w:lang w:val="en-GB" w:eastAsia="en-GB"/>
        </w:rPr>
        <w:t xml:space="preserve">The benefits of </w:t>
      </w:r>
      <w:r w:rsidRPr="00DB622F">
        <w:rPr>
          <w:rFonts w:ascii="Arial-BoldMT" w:hAnsi="Arial-BoldMT" w:cs="Arial-BoldMT"/>
          <w:b/>
          <w:bCs w:val="0"/>
          <w:lang w:val="en-GB" w:eastAsia="en-GB"/>
        </w:rPr>
        <w:t xml:space="preserve">pembrolizumab </w:t>
      </w:r>
      <w:r w:rsidR="002F1C23">
        <w:rPr>
          <w:rFonts w:ascii="Arial-BoldMT" w:hAnsi="Arial-BoldMT" w:cs="Arial-BoldMT"/>
          <w:b/>
          <w:bCs w:val="0"/>
          <w:lang w:val="en-GB" w:eastAsia="en-GB"/>
        </w:rPr>
        <w:t>with</w:t>
      </w:r>
      <w:r w:rsidRPr="00DB622F">
        <w:rPr>
          <w:rFonts w:ascii="Arial-BoldMT" w:hAnsi="Arial-BoldMT" w:cs="Arial-BoldMT"/>
          <w:b/>
          <w:bCs w:val="0"/>
          <w:lang w:val="en-GB" w:eastAsia="en-GB"/>
        </w:rPr>
        <w:t xml:space="preserve"> </w:t>
      </w:r>
      <w:proofErr w:type="spellStart"/>
      <w:r w:rsidRPr="00DB622F">
        <w:rPr>
          <w:rFonts w:ascii="Arial-BoldMT" w:hAnsi="Arial-BoldMT" w:cs="Arial-BoldMT"/>
          <w:b/>
          <w:bCs w:val="0"/>
          <w:lang w:val="en-GB" w:eastAsia="en-GB"/>
        </w:rPr>
        <w:t>axitinib</w:t>
      </w:r>
      <w:proofErr w:type="spellEnd"/>
      <w:r w:rsidRPr="00042EAC">
        <w:rPr>
          <w:rFonts w:ascii="Arial-BoldMT" w:hAnsi="Arial-BoldMT" w:cs="Arial-BoldMT"/>
          <w:b/>
          <w:bCs w:val="0"/>
          <w:lang w:val="en-GB" w:eastAsia="en-GB"/>
        </w:rPr>
        <w:t xml:space="preserve"> can be captured in the cost-effectiveness analysis</w:t>
      </w:r>
    </w:p>
    <w:p w14:paraId="1915AA18" w14:textId="2833D12A" w:rsidR="00643582" w:rsidRPr="000956D4" w:rsidRDefault="00A7220D" w:rsidP="00BE04BE">
      <w:pPr>
        <w:pStyle w:val="Numberedlevel2text"/>
        <w:rPr>
          <w:lang w:val="en-GB"/>
        </w:rPr>
      </w:pPr>
      <w:r w:rsidRPr="00042EAC">
        <w:rPr>
          <w:lang w:val="en-GB"/>
        </w:rPr>
        <w:t xml:space="preserve">The company and clinical experts considered that pembrolizumab </w:t>
      </w:r>
      <w:r w:rsidR="0056709B">
        <w:rPr>
          <w:lang w:val="en-GB"/>
        </w:rPr>
        <w:t>with</w:t>
      </w:r>
      <w:r w:rsidRPr="00042EAC">
        <w:rPr>
          <w:lang w:val="en-GB"/>
        </w:rPr>
        <w:t xml:space="preserve"> </w:t>
      </w:r>
      <w:proofErr w:type="spellStart"/>
      <w:r w:rsidRPr="00042EAC">
        <w:rPr>
          <w:lang w:val="en-GB"/>
        </w:rPr>
        <w:t>axitinib</w:t>
      </w:r>
      <w:proofErr w:type="spellEnd"/>
      <w:r w:rsidRPr="00042EAC">
        <w:rPr>
          <w:lang w:val="en-GB"/>
        </w:rPr>
        <w:t xml:space="preserve"> was innovative</w:t>
      </w:r>
      <w:r w:rsidR="0056709B">
        <w:rPr>
          <w:lang w:val="en-GB"/>
        </w:rPr>
        <w:t xml:space="preserve">. </w:t>
      </w:r>
      <w:r w:rsidRPr="00042EAC">
        <w:rPr>
          <w:lang w:val="en-GB"/>
        </w:rPr>
        <w:t xml:space="preserve">They noted </w:t>
      </w:r>
      <w:r w:rsidR="00FE5CFA" w:rsidRPr="00042EAC">
        <w:rPr>
          <w:lang w:val="en-GB"/>
        </w:rPr>
        <w:t xml:space="preserve">pembrolizumab </w:t>
      </w:r>
      <w:r w:rsidR="00637CE8" w:rsidRPr="00DB622F">
        <w:rPr>
          <w:lang w:val="en-GB"/>
        </w:rPr>
        <w:t>with</w:t>
      </w:r>
      <w:r w:rsidR="00FE5CFA" w:rsidRPr="00042EAC">
        <w:rPr>
          <w:lang w:val="en-GB"/>
        </w:rPr>
        <w:t xml:space="preserve"> </w:t>
      </w:r>
      <w:proofErr w:type="spellStart"/>
      <w:r w:rsidR="00FE5CFA" w:rsidRPr="00042EAC">
        <w:rPr>
          <w:lang w:val="en-GB"/>
        </w:rPr>
        <w:t>axitinib</w:t>
      </w:r>
      <w:proofErr w:type="spellEnd"/>
      <w:r w:rsidR="00FE5CFA" w:rsidRPr="00042EAC">
        <w:rPr>
          <w:lang w:val="en-GB"/>
        </w:rPr>
        <w:t xml:space="preserve"> </w:t>
      </w:r>
      <w:r w:rsidR="00FE5CFA" w:rsidRPr="00DB622F">
        <w:rPr>
          <w:lang w:val="en-GB"/>
        </w:rPr>
        <w:t>had</w:t>
      </w:r>
      <w:r w:rsidRPr="00042EAC">
        <w:rPr>
          <w:lang w:val="en-GB"/>
        </w:rPr>
        <w:t xml:space="preserve"> a </w:t>
      </w:r>
      <w:r w:rsidR="00FE5CFA" w:rsidRPr="00DB622F">
        <w:rPr>
          <w:lang w:val="en-GB"/>
        </w:rPr>
        <w:lastRenderedPageBreak/>
        <w:t>notable survival benefit</w:t>
      </w:r>
      <w:r w:rsidR="00E66677">
        <w:rPr>
          <w:lang w:val="en-GB"/>
        </w:rPr>
        <w:t xml:space="preserve"> and expected that the treatment would have a</w:t>
      </w:r>
      <w:r w:rsidR="00FE5CFA" w:rsidRPr="00DB622F">
        <w:rPr>
          <w:lang w:val="en-GB"/>
        </w:rPr>
        <w:t xml:space="preserve"> </w:t>
      </w:r>
      <w:r w:rsidRPr="00042EAC">
        <w:rPr>
          <w:lang w:val="en-GB"/>
        </w:rPr>
        <w:t>durable response</w:t>
      </w:r>
      <w:r w:rsidR="00E66677">
        <w:rPr>
          <w:lang w:val="en-GB"/>
        </w:rPr>
        <w:t xml:space="preserve">. A clinical expert commented that, observationally, the technology </w:t>
      </w:r>
      <w:r w:rsidR="00C661D0">
        <w:rPr>
          <w:lang w:val="en-GB"/>
        </w:rPr>
        <w:t>seemed</w:t>
      </w:r>
      <w:r w:rsidR="00E66677">
        <w:rPr>
          <w:lang w:val="en-GB"/>
        </w:rPr>
        <w:t xml:space="preserve"> to have an improved</w:t>
      </w:r>
      <w:r w:rsidRPr="00042EAC">
        <w:rPr>
          <w:lang w:val="en-GB"/>
        </w:rPr>
        <w:t xml:space="preserve"> adverse event profile when compared with</w:t>
      </w:r>
      <w:r w:rsidR="006869F1">
        <w:rPr>
          <w:lang w:val="en-GB"/>
        </w:rPr>
        <w:t xml:space="preserve"> other combination treatments</w:t>
      </w:r>
      <w:r w:rsidRPr="00042EAC">
        <w:rPr>
          <w:lang w:val="en-GB"/>
        </w:rPr>
        <w:t>. The committee agreed that</w:t>
      </w:r>
      <w:r w:rsidR="00E66677">
        <w:rPr>
          <w:lang w:val="en-GB"/>
        </w:rPr>
        <w:t xml:space="preserve"> while</w:t>
      </w:r>
      <w:r w:rsidRPr="00042EAC">
        <w:rPr>
          <w:lang w:val="en-GB"/>
        </w:rPr>
        <w:t xml:space="preserve"> these were important</w:t>
      </w:r>
      <w:r w:rsidR="00E66677">
        <w:rPr>
          <w:lang w:val="en-GB"/>
        </w:rPr>
        <w:t xml:space="preserve"> potential</w:t>
      </w:r>
      <w:r w:rsidRPr="00042EAC">
        <w:rPr>
          <w:lang w:val="en-GB"/>
        </w:rPr>
        <w:t xml:space="preserve"> benefits of </w:t>
      </w:r>
      <w:r w:rsidRPr="00DB622F">
        <w:rPr>
          <w:lang w:val="en-GB"/>
        </w:rPr>
        <w:t xml:space="preserve">pembrolizumab </w:t>
      </w:r>
      <w:r w:rsidR="00C258C9">
        <w:rPr>
          <w:lang w:val="en-GB"/>
        </w:rPr>
        <w:t>with</w:t>
      </w:r>
      <w:r w:rsidRPr="00DB622F">
        <w:rPr>
          <w:lang w:val="en-GB"/>
        </w:rPr>
        <w:t xml:space="preserve"> </w:t>
      </w:r>
      <w:proofErr w:type="spellStart"/>
      <w:r w:rsidRPr="00DB622F">
        <w:rPr>
          <w:lang w:val="en-GB"/>
        </w:rPr>
        <w:t>axitinib</w:t>
      </w:r>
      <w:proofErr w:type="spellEnd"/>
      <w:r w:rsidRPr="00042EAC">
        <w:rPr>
          <w:lang w:val="en-GB"/>
        </w:rPr>
        <w:t>, it had not been presented with evidence of any additional benefits that could not be captured in the measurement of QALYs</w:t>
      </w:r>
      <w:r w:rsidRPr="000956D4">
        <w:rPr>
          <w:lang w:val="en-GB"/>
        </w:rPr>
        <w:t>.</w:t>
      </w:r>
      <w:r w:rsidRPr="000956D4">
        <w:rPr>
          <w:highlight w:val="cyan"/>
          <w:lang w:val="en-GB"/>
        </w:rPr>
        <w:t xml:space="preserve"> </w:t>
      </w:r>
    </w:p>
    <w:p w14:paraId="6F2B2798" w14:textId="37D4E0EB" w:rsidR="00643582" w:rsidRPr="00DB622F" w:rsidRDefault="000A2E61" w:rsidP="00643582">
      <w:pPr>
        <w:pStyle w:val="Heading2"/>
      </w:pPr>
      <w:r w:rsidRPr="00DB622F">
        <w:t>Conclusion</w:t>
      </w:r>
    </w:p>
    <w:p w14:paraId="06D95B3C" w14:textId="06E0887E" w:rsidR="00EA4B7B" w:rsidRPr="00DB622F" w:rsidRDefault="00EA4B7B" w:rsidP="00EA4B7B">
      <w:pPr>
        <w:pStyle w:val="Heading3"/>
      </w:pPr>
      <w:r w:rsidRPr="00042EAC">
        <w:rPr>
          <w:iCs/>
        </w:rPr>
        <w:t xml:space="preserve">Pembrolizumab with </w:t>
      </w:r>
      <w:proofErr w:type="spellStart"/>
      <w:r w:rsidRPr="00042EAC">
        <w:rPr>
          <w:iCs/>
        </w:rPr>
        <w:t>axitinib</w:t>
      </w:r>
      <w:proofErr w:type="spellEnd"/>
      <w:r w:rsidRPr="00DB622F">
        <w:rPr>
          <w:iCs/>
        </w:rPr>
        <w:t xml:space="preserve"> is not recommended</w:t>
      </w:r>
    </w:p>
    <w:p w14:paraId="2AC04DCD" w14:textId="6EE0F89A" w:rsidR="00EA4B7B" w:rsidRPr="00042EAC" w:rsidRDefault="00EA4B7B" w:rsidP="005C654D">
      <w:pPr>
        <w:pStyle w:val="Numberedlevel2text"/>
        <w:rPr>
          <w:lang w:val="en-GB"/>
        </w:rPr>
      </w:pPr>
      <w:r w:rsidRPr="00042EAC">
        <w:rPr>
          <w:lang w:val="en-GB"/>
        </w:rPr>
        <w:t>The committee concluded that the most plausible ICER</w:t>
      </w:r>
      <w:r w:rsidR="00637CE8" w:rsidRPr="00DB622F">
        <w:rPr>
          <w:lang w:val="en-GB"/>
        </w:rPr>
        <w:t xml:space="preserve">, </w:t>
      </w:r>
      <w:r w:rsidR="000279EB" w:rsidRPr="00DB622F">
        <w:rPr>
          <w:lang w:val="en-GB"/>
        </w:rPr>
        <w:t>when commercial discounts were ta</w:t>
      </w:r>
      <w:r w:rsidR="00637CE8" w:rsidRPr="00DB622F">
        <w:rPr>
          <w:lang w:val="en-GB"/>
        </w:rPr>
        <w:t>ken into account,</w:t>
      </w:r>
      <w:r w:rsidRPr="00042EAC">
        <w:rPr>
          <w:lang w:val="en-GB"/>
        </w:rPr>
        <w:t xml:space="preserve"> was above the</w:t>
      </w:r>
      <w:r w:rsidRPr="00DB622F">
        <w:rPr>
          <w:lang w:val="en-GB"/>
        </w:rPr>
        <w:t xml:space="preserve"> </w:t>
      </w:r>
      <w:r w:rsidRPr="00042EAC">
        <w:rPr>
          <w:lang w:val="en-GB"/>
        </w:rPr>
        <w:t>range that NICE normally considers to be a cost-effective use of NHS</w:t>
      </w:r>
      <w:r w:rsidRPr="00DB622F">
        <w:rPr>
          <w:lang w:val="en-GB"/>
        </w:rPr>
        <w:t xml:space="preserve"> </w:t>
      </w:r>
      <w:r w:rsidRPr="00042EAC">
        <w:rPr>
          <w:lang w:val="en-GB"/>
        </w:rPr>
        <w:t>resources. It therefore</w:t>
      </w:r>
      <w:r w:rsidRPr="00DB622F">
        <w:rPr>
          <w:lang w:val="en-GB"/>
        </w:rPr>
        <w:t xml:space="preserve"> </w:t>
      </w:r>
      <w:r w:rsidRPr="00042EAC">
        <w:rPr>
          <w:lang w:val="en-GB"/>
        </w:rPr>
        <w:t xml:space="preserve">concluded </w:t>
      </w:r>
      <w:r w:rsidR="00504FF4">
        <w:rPr>
          <w:lang w:val="en-GB"/>
        </w:rPr>
        <w:t>that</w:t>
      </w:r>
      <w:r w:rsidRPr="00042EAC">
        <w:rPr>
          <w:lang w:val="en-GB"/>
        </w:rPr>
        <w:t xml:space="preserve"> </w:t>
      </w:r>
      <w:r w:rsidRPr="00DB622F">
        <w:rPr>
          <w:lang w:val="en-GB"/>
        </w:rPr>
        <w:t xml:space="preserve">pembrolizumab with </w:t>
      </w:r>
      <w:proofErr w:type="spellStart"/>
      <w:r w:rsidRPr="00DB622F">
        <w:rPr>
          <w:lang w:val="en-GB"/>
        </w:rPr>
        <w:t>axitinib</w:t>
      </w:r>
      <w:proofErr w:type="spellEnd"/>
      <w:r w:rsidRPr="00DB622F">
        <w:rPr>
          <w:lang w:val="en-GB"/>
        </w:rPr>
        <w:t xml:space="preserve"> </w:t>
      </w:r>
      <w:r w:rsidR="00504FF4">
        <w:rPr>
          <w:lang w:val="en-GB"/>
        </w:rPr>
        <w:t xml:space="preserve">is not recommended </w:t>
      </w:r>
      <w:r w:rsidRPr="00DB622F">
        <w:rPr>
          <w:lang w:val="en-GB"/>
        </w:rPr>
        <w:t xml:space="preserve">for untreated </w:t>
      </w:r>
      <w:r w:rsidR="00504FF4">
        <w:rPr>
          <w:lang w:val="en-GB"/>
        </w:rPr>
        <w:t xml:space="preserve">advanced </w:t>
      </w:r>
      <w:r w:rsidRPr="00DB622F">
        <w:rPr>
          <w:lang w:val="en-GB"/>
        </w:rPr>
        <w:t>renal cell carcinoma.</w:t>
      </w:r>
    </w:p>
    <w:p w14:paraId="7CD2EBE1" w14:textId="77777777" w:rsidR="000F48EC" w:rsidRPr="00DB622F" w:rsidRDefault="007A2801" w:rsidP="002E73E7">
      <w:pPr>
        <w:pStyle w:val="Numberedheading1"/>
      </w:pPr>
      <w:r w:rsidRPr="00DB622F">
        <w:t xml:space="preserve">Proposed date for </w:t>
      </w:r>
      <w:r w:rsidR="00000441" w:rsidRPr="00DB622F">
        <w:t>r</w:t>
      </w:r>
      <w:r w:rsidR="000F48EC" w:rsidRPr="00DB622F">
        <w:t>eview of guidance</w:t>
      </w:r>
    </w:p>
    <w:p w14:paraId="42B00748" w14:textId="2E537EC9" w:rsidR="001823EB" w:rsidRPr="00042EAC" w:rsidRDefault="001823EB" w:rsidP="001823EB">
      <w:pPr>
        <w:pStyle w:val="Numberedlevel2text"/>
        <w:rPr>
          <w:lang w:val="en-GB"/>
        </w:rPr>
      </w:pPr>
      <w:r w:rsidRPr="00042EAC">
        <w:rPr>
          <w:lang w:val="en-GB"/>
        </w:rPr>
        <w:t xml:space="preserve">NICE proposes that the guidance on this technology is considered for review by the </w:t>
      </w:r>
      <w:r w:rsidRPr="00DB622F">
        <w:rPr>
          <w:lang w:val="en-GB"/>
        </w:rPr>
        <w:t>g</w:t>
      </w:r>
      <w:r w:rsidRPr="00042EAC">
        <w:rPr>
          <w:lang w:val="en-GB"/>
        </w:rPr>
        <w:t xml:space="preserve">uidance </w:t>
      </w:r>
      <w:r w:rsidRPr="00DB622F">
        <w:rPr>
          <w:lang w:val="en-GB"/>
        </w:rPr>
        <w:t>e</w:t>
      </w:r>
      <w:r w:rsidRPr="00042EAC">
        <w:rPr>
          <w:lang w:val="en-GB"/>
        </w:rPr>
        <w:t>xecutive</w:t>
      </w:r>
      <w:r w:rsidRPr="00DB622F">
        <w:rPr>
          <w:lang w:val="en-GB"/>
        </w:rPr>
        <w:t xml:space="preserve"> 3 years after publication of the guidance</w:t>
      </w:r>
      <w:r w:rsidRPr="00042EAC">
        <w:rPr>
          <w:lang w:val="en-GB"/>
        </w:rPr>
        <w:t>.</w:t>
      </w:r>
      <w:r w:rsidR="00FE5CFA" w:rsidRPr="00DB622F">
        <w:rPr>
          <w:lang w:val="en-GB"/>
        </w:rPr>
        <w:t xml:space="preserve"> </w:t>
      </w:r>
      <w:r w:rsidRPr="00042EAC">
        <w:rPr>
          <w:lang w:val="en-GB"/>
        </w:rPr>
        <w:t xml:space="preserve">NICE welcomes comment on this proposed date. The </w:t>
      </w:r>
      <w:r w:rsidRPr="00DB622F">
        <w:rPr>
          <w:lang w:val="en-GB"/>
        </w:rPr>
        <w:t>g</w:t>
      </w:r>
      <w:r w:rsidRPr="00042EAC">
        <w:rPr>
          <w:lang w:val="en-GB"/>
        </w:rPr>
        <w:t xml:space="preserve">uidance </w:t>
      </w:r>
      <w:r w:rsidRPr="00DB622F">
        <w:rPr>
          <w:lang w:val="en-GB"/>
        </w:rPr>
        <w:t>e</w:t>
      </w:r>
      <w:r w:rsidRPr="00042EAC">
        <w:rPr>
          <w:lang w:val="en-GB"/>
        </w:rPr>
        <w:t xml:space="preserve">xecutive will decide whether the technology should be reviewed based on information gathered by NICE, and in consultation with consultees and commentators. </w:t>
      </w:r>
    </w:p>
    <w:p w14:paraId="4298C5C2" w14:textId="2B541D5F" w:rsidR="004845D0" w:rsidRPr="00DB622F" w:rsidRDefault="00642EE6" w:rsidP="00ED5F88">
      <w:pPr>
        <w:pStyle w:val="NICEnormal"/>
      </w:pPr>
      <w:r w:rsidRPr="00DB622F">
        <w:t>Stephen O’Brien</w:t>
      </w:r>
      <w:r w:rsidR="004845D0" w:rsidRPr="00DB622F">
        <w:br/>
        <w:t xml:space="preserve">Chair, </w:t>
      </w:r>
      <w:r w:rsidR="003847B9" w:rsidRPr="00DB622F">
        <w:t>a</w:t>
      </w:r>
      <w:r w:rsidR="004845D0" w:rsidRPr="00DB622F">
        <w:t xml:space="preserve">ppraisal </w:t>
      </w:r>
      <w:r w:rsidR="003847B9" w:rsidRPr="00DB622F">
        <w:t>c</w:t>
      </w:r>
      <w:r w:rsidR="004845D0" w:rsidRPr="00DB622F">
        <w:t>ommittee</w:t>
      </w:r>
      <w:r w:rsidR="00FE5CFA" w:rsidRPr="00DB622F">
        <w:t xml:space="preserve"> C</w:t>
      </w:r>
      <w:r w:rsidR="004845D0" w:rsidRPr="00DB622F">
        <w:br/>
      </w:r>
      <w:r w:rsidRPr="00DB622F">
        <w:t>January 2020</w:t>
      </w:r>
    </w:p>
    <w:p w14:paraId="79E7803D" w14:textId="77777777" w:rsidR="00B16431" w:rsidRPr="00DB622F" w:rsidRDefault="00B16431" w:rsidP="00B16431">
      <w:pPr>
        <w:pStyle w:val="Numberedheading1"/>
        <w:numPr>
          <w:ilvl w:val="0"/>
          <w:numId w:val="1"/>
        </w:numPr>
      </w:pPr>
      <w:r w:rsidRPr="00DB622F">
        <w:lastRenderedPageBreak/>
        <w:t xml:space="preserve">Appraisal </w:t>
      </w:r>
      <w:r w:rsidR="00343B53" w:rsidRPr="00DB622F">
        <w:t>c</w:t>
      </w:r>
      <w:r w:rsidRPr="00DB622F">
        <w:t>ommittee members and NICE project team</w:t>
      </w:r>
    </w:p>
    <w:p w14:paraId="412F900F" w14:textId="77777777" w:rsidR="00B16431" w:rsidRPr="00DB622F" w:rsidRDefault="00B16431" w:rsidP="00B16431">
      <w:pPr>
        <w:pStyle w:val="Heading2"/>
      </w:pPr>
      <w:r w:rsidRPr="00DB622F">
        <w:t xml:space="preserve">Appraisal </w:t>
      </w:r>
      <w:r w:rsidR="00343B53" w:rsidRPr="00DB622F">
        <w:t>c</w:t>
      </w:r>
      <w:r w:rsidRPr="00DB622F">
        <w:t>ommittee members</w:t>
      </w:r>
    </w:p>
    <w:p w14:paraId="58B65881" w14:textId="2041AA1B" w:rsidR="002F2583" w:rsidRPr="00DB622F" w:rsidRDefault="002F2583" w:rsidP="002F2583">
      <w:pPr>
        <w:pStyle w:val="NICEnormal"/>
        <w:rPr>
          <w:rFonts w:eastAsia="Calibri"/>
        </w:rPr>
      </w:pPr>
      <w:r w:rsidRPr="00DB622F">
        <w:t xml:space="preserve">The 4 technology appraisal committees are standing advisory committees of NICE. This topic was considered by </w:t>
      </w:r>
      <w:hyperlink r:id="rId18" w:history="1">
        <w:r w:rsidRPr="00DB622F">
          <w:rPr>
            <w:rStyle w:val="Hyperlink"/>
            <w:rFonts w:eastAsia="Calibri"/>
          </w:rPr>
          <w:t>co</w:t>
        </w:r>
        <w:r w:rsidRPr="00DB622F">
          <w:rPr>
            <w:rStyle w:val="Hyperlink"/>
            <w:rFonts w:eastAsia="Calibri"/>
          </w:rPr>
          <w:t>m</w:t>
        </w:r>
        <w:r w:rsidRPr="00DB622F">
          <w:rPr>
            <w:rStyle w:val="Hyperlink"/>
            <w:rFonts w:eastAsia="Calibri"/>
          </w:rPr>
          <w:t xml:space="preserve">mittee </w:t>
        </w:r>
        <w:r w:rsidR="00A7220D" w:rsidRPr="00DB622F">
          <w:rPr>
            <w:rStyle w:val="Hyperlink"/>
          </w:rPr>
          <w:t>C</w:t>
        </w:r>
      </w:hyperlink>
      <w:r w:rsidRPr="00DB622F">
        <w:t xml:space="preserve">. </w:t>
      </w:r>
    </w:p>
    <w:p w14:paraId="666E2A86" w14:textId="77777777" w:rsidR="002F2583" w:rsidRPr="00DB622F" w:rsidRDefault="002F2583" w:rsidP="002F2583">
      <w:pPr>
        <w:pStyle w:val="NICEnormal"/>
      </w:pPr>
      <w:r w:rsidRPr="00DB622F">
        <w:t xml:space="preserve">Committee members are asked to declare any interests in the technology to be appraised. If it is considered there is a conflict of interest, the member is excluded from participating further in that appraisal. </w:t>
      </w:r>
    </w:p>
    <w:p w14:paraId="2B623278" w14:textId="77777777" w:rsidR="002F2583" w:rsidRPr="00DB622F" w:rsidRDefault="002F2583" w:rsidP="002F2583">
      <w:pPr>
        <w:pStyle w:val="NICEnormal"/>
      </w:pPr>
      <w:r w:rsidRPr="00DB622F">
        <w:t xml:space="preserve">The </w:t>
      </w:r>
      <w:hyperlink r:id="rId19" w:history="1">
        <w:r w:rsidRPr="00DB622F">
          <w:rPr>
            <w:rStyle w:val="Hyperlink"/>
            <w:rFonts w:eastAsia="Calibri"/>
          </w:rPr>
          <w:t>min</w:t>
        </w:r>
        <w:r w:rsidRPr="00DB622F">
          <w:rPr>
            <w:rStyle w:val="Hyperlink"/>
            <w:rFonts w:eastAsia="Calibri"/>
          </w:rPr>
          <w:t>u</w:t>
        </w:r>
        <w:r w:rsidRPr="00DB622F">
          <w:rPr>
            <w:rStyle w:val="Hyperlink"/>
            <w:rFonts w:eastAsia="Calibri"/>
          </w:rPr>
          <w:t>tes</w:t>
        </w:r>
      </w:hyperlink>
      <w:r w:rsidRPr="00DB622F">
        <w:t xml:space="preserve"> of each appraisal committee meeting, which include the names of the members who attended and their declarations of interests, are posted on the NICE website.</w:t>
      </w:r>
    </w:p>
    <w:p w14:paraId="047C2DC0" w14:textId="77777777" w:rsidR="00B16431" w:rsidRPr="00DB622F" w:rsidRDefault="00B16431" w:rsidP="00B16431">
      <w:pPr>
        <w:pStyle w:val="Heading2"/>
      </w:pPr>
      <w:r w:rsidRPr="00DB622F">
        <w:t>NICE project team</w:t>
      </w:r>
    </w:p>
    <w:p w14:paraId="2AF3C1BE" w14:textId="6D247153" w:rsidR="00B16431" w:rsidRPr="00DB622F" w:rsidRDefault="00B16431" w:rsidP="00B16431">
      <w:pPr>
        <w:pStyle w:val="NICEnormal"/>
      </w:pPr>
      <w:r w:rsidRPr="00DB622F">
        <w:t xml:space="preserve">Each technology appraisal is assigned to a team consisting of 1 or more health technology analysts (who act as technical leads for the appraisal), a technical adviser and a project manager. </w:t>
      </w:r>
    </w:p>
    <w:p w14:paraId="645C6931" w14:textId="1F869A77" w:rsidR="00B16431" w:rsidRPr="00DB622F" w:rsidRDefault="00A7220D" w:rsidP="00B16431">
      <w:pPr>
        <w:pStyle w:val="NICEnormal"/>
      </w:pPr>
      <w:bookmarkStart w:id="8" w:name="Text45"/>
      <w:r w:rsidRPr="00DB622F">
        <w:rPr>
          <w:b/>
        </w:rPr>
        <w:t xml:space="preserve">Vicki Pollit </w:t>
      </w:r>
      <w:r w:rsidR="00B16431" w:rsidRPr="00DB622F">
        <w:br/>
        <w:t xml:space="preserve">Technical </w:t>
      </w:r>
      <w:r w:rsidR="00E65C76" w:rsidRPr="00DB622F">
        <w:t>l</w:t>
      </w:r>
      <w:r w:rsidR="00B16431" w:rsidRPr="00DB622F">
        <w:t>ead</w:t>
      </w:r>
    </w:p>
    <w:p w14:paraId="483C6E78" w14:textId="09E07E3B" w:rsidR="00B16431" w:rsidRPr="00DB622F" w:rsidRDefault="00A7220D" w:rsidP="00B16431">
      <w:pPr>
        <w:pStyle w:val="NICEnormal"/>
      </w:pPr>
      <w:r w:rsidRPr="00DB622F">
        <w:rPr>
          <w:b/>
        </w:rPr>
        <w:t xml:space="preserve">Caron Jones </w:t>
      </w:r>
      <w:r w:rsidR="00B16431" w:rsidRPr="00DB622F">
        <w:br/>
        <w:t xml:space="preserve">Technical </w:t>
      </w:r>
      <w:r w:rsidR="00E65C76" w:rsidRPr="00DB622F">
        <w:t>a</w:t>
      </w:r>
      <w:r w:rsidR="00B16431" w:rsidRPr="00DB622F">
        <w:t>dviser</w:t>
      </w:r>
    </w:p>
    <w:p w14:paraId="5166BA20" w14:textId="04575D5A" w:rsidR="00B16431" w:rsidRPr="00DB622F" w:rsidRDefault="00642EE6" w:rsidP="005D3FD9">
      <w:pPr>
        <w:pStyle w:val="NICEnormal"/>
      </w:pPr>
      <w:r w:rsidRPr="00DB622F">
        <w:rPr>
          <w:b/>
        </w:rPr>
        <w:t>Louise Jaffe</w:t>
      </w:r>
      <w:r w:rsidR="00A7220D" w:rsidRPr="00DB622F">
        <w:rPr>
          <w:b/>
        </w:rPr>
        <w:t>r</w:t>
      </w:r>
      <w:r w:rsidRPr="00DB622F">
        <w:rPr>
          <w:b/>
        </w:rPr>
        <w:t>ally</w:t>
      </w:r>
      <w:r w:rsidR="00B16431" w:rsidRPr="00DB622F">
        <w:br/>
        <w:t xml:space="preserve">Project </w:t>
      </w:r>
      <w:r w:rsidR="00E65C76" w:rsidRPr="00DB622F">
        <w:t>m</w:t>
      </w:r>
      <w:r w:rsidR="00B16431" w:rsidRPr="00DB622F">
        <w:t>anager</w:t>
      </w:r>
      <w:bookmarkEnd w:id="8"/>
    </w:p>
    <w:p w14:paraId="6CFF30DE" w14:textId="77777777" w:rsidR="006E7647" w:rsidRPr="00DB622F" w:rsidRDefault="006E7647" w:rsidP="00F05E37">
      <w:pPr>
        <w:pStyle w:val="NICEnormal"/>
      </w:pPr>
      <w:r w:rsidRPr="00DB622F">
        <w:t xml:space="preserve">ISBN: </w:t>
      </w:r>
      <w:r w:rsidRPr="00DB622F">
        <w:rPr>
          <w:highlight w:val="green"/>
        </w:rPr>
        <w:t>[to be added at publication]</w:t>
      </w:r>
    </w:p>
    <w:sectPr w:rsidR="006E7647" w:rsidRPr="00DB622F" w:rsidSect="00C76DDA">
      <w:headerReference w:type="default" r:id="rId20"/>
      <w:footerReference w:type="default" r:id="rId2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1908C" w14:textId="77777777" w:rsidR="000956D4" w:rsidRDefault="000956D4">
      <w:r>
        <w:separator/>
      </w:r>
    </w:p>
  </w:endnote>
  <w:endnote w:type="continuationSeparator" w:id="0">
    <w:p w14:paraId="4AA2585E" w14:textId="77777777" w:rsidR="000956D4" w:rsidRDefault="0009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B955" w14:textId="22A21A98" w:rsidR="000956D4" w:rsidRPr="003D33FB" w:rsidRDefault="000956D4" w:rsidP="00C52D9A">
    <w:pPr>
      <w:pStyle w:val="NICEnormalsinglespacing"/>
      <w:rPr>
        <w:sz w:val="18"/>
        <w:szCs w:val="18"/>
      </w:rPr>
    </w:pPr>
    <w:r w:rsidRPr="00874163">
      <w:rPr>
        <w:sz w:val="18"/>
        <w:szCs w:val="18"/>
      </w:rPr>
      <w:t xml:space="preserve">Appraisal consultation document – Pembrolizumab with </w:t>
    </w:r>
    <w:proofErr w:type="spellStart"/>
    <w:r w:rsidRPr="00874163">
      <w:rPr>
        <w:sz w:val="18"/>
        <w:szCs w:val="18"/>
      </w:rPr>
      <w:t>axitinib</w:t>
    </w:r>
    <w:proofErr w:type="spellEnd"/>
    <w:r w:rsidRPr="00874163">
      <w:rPr>
        <w:sz w:val="18"/>
        <w:szCs w:val="18"/>
      </w:rPr>
      <w:t xml:space="preserve"> for untreated </w:t>
    </w:r>
    <w:r w:rsidRPr="003C027B">
      <w:rPr>
        <w:rFonts w:cs="Arial"/>
        <w:sz w:val="18"/>
        <w:szCs w:val="18"/>
      </w:rPr>
      <w:t>advanced renal cell carcinoma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17073F">
      <w:rPr>
        <w:sz w:val="18"/>
        <w:szCs w:val="18"/>
      </w:rPr>
      <w:tab/>
    </w:r>
    <w:r w:rsidR="0017073F">
      <w:rPr>
        <w:sz w:val="18"/>
        <w:szCs w:val="18"/>
      </w:rPr>
      <w:tab/>
    </w:r>
    <w:r w:rsidR="0017073F">
      <w:rPr>
        <w:sz w:val="18"/>
        <w:szCs w:val="18"/>
      </w:rPr>
      <w:tab/>
    </w:r>
    <w:r w:rsidR="0017073F">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sidR="00906CE9">
      <w:rPr>
        <w:rStyle w:val="PageNumber"/>
        <w:noProof/>
        <w:sz w:val="20"/>
        <w:szCs w:val="20"/>
      </w:rPr>
      <w:t>18</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sidR="00906CE9">
      <w:rPr>
        <w:rStyle w:val="PageNumber"/>
        <w:noProof/>
        <w:sz w:val="20"/>
        <w:szCs w:val="20"/>
      </w:rPr>
      <w:t>18</w:t>
    </w:r>
    <w:r w:rsidRPr="0039118D">
      <w:rPr>
        <w:rStyle w:val="PageNumber"/>
        <w:sz w:val="20"/>
        <w:szCs w:val="20"/>
      </w:rPr>
      <w:fldChar w:fldCharType="end"/>
    </w:r>
  </w:p>
  <w:p w14:paraId="31A5B457" w14:textId="629ED9CF" w:rsidR="000956D4" w:rsidRDefault="000956D4" w:rsidP="007A7EC8">
    <w:pPr>
      <w:pStyle w:val="NICEnormalsinglespacing"/>
      <w:spacing w:after="120"/>
      <w:rPr>
        <w:sz w:val="18"/>
        <w:szCs w:val="18"/>
      </w:rPr>
    </w:pPr>
    <w:r w:rsidRPr="003D33FB">
      <w:rPr>
        <w:sz w:val="18"/>
        <w:szCs w:val="18"/>
      </w:rPr>
      <w:t xml:space="preserve">Issue date: </w:t>
    </w:r>
    <w:r>
      <w:rPr>
        <w:sz w:val="18"/>
        <w:szCs w:val="18"/>
      </w:rPr>
      <w:t>February 2020</w:t>
    </w:r>
  </w:p>
  <w:p w14:paraId="3D044BDE" w14:textId="0316C32E" w:rsidR="000956D4" w:rsidRPr="007A7EC8" w:rsidRDefault="000956D4"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6135B" w14:textId="77777777" w:rsidR="000956D4" w:rsidRDefault="000956D4">
      <w:r>
        <w:separator/>
      </w:r>
    </w:p>
  </w:footnote>
  <w:footnote w:type="continuationSeparator" w:id="0">
    <w:p w14:paraId="349C8AE4" w14:textId="77777777" w:rsidR="000956D4" w:rsidRDefault="0009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1DCB" w14:textId="77777777" w:rsidR="000956D4" w:rsidRPr="004E6427" w:rsidRDefault="000956D4"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6B1B10"/>
    <w:multiLevelType w:val="hybridMultilevel"/>
    <w:tmpl w:val="C9FE99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FBB61E9"/>
    <w:multiLevelType w:val="hybridMultilevel"/>
    <w:tmpl w:val="553C3B98"/>
    <w:lvl w:ilvl="0" w:tplc="92A09FD6">
      <w:start w:val="1"/>
      <w:numFmt w:val="decimal"/>
      <w:lvlText w:val="3.%1"/>
      <w:lvlJc w:val="left"/>
      <w:pPr>
        <w:ind w:left="907" w:hanging="547"/>
      </w:pPr>
      <w:rPr>
        <w:rFonts w:hint="default"/>
        <w:b w:val="0"/>
        <w:bCs w:val="0"/>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330C39"/>
    <w:multiLevelType w:val="hybridMultilevel"/>
    <w:tmpl w:val="27402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4"/>
  </w:num>
  <w:num w:numId="4">
    <w:abstractNumId w:val="10"/>
  </w:num>
  <w:num w:numId="5">
    <w:abstractNumId w:val="11"/>
  </w:num>
  <w:num w:numId="6">
    <w:abstractNumId w:val="0"/>
  </w:num>
  <w:num w:numId="7">
    <w:abstractNumId w:val="2"/>
  </w:num>
  <w:num w:numId="8">
    <w:abstractNumId w:val="4"/>
  </w:num>
  <w:num w:numId="9">
    <w:abstractNumId w:val="5"/>
  </w:num>
  <w:num w:numId="10">
    <w:abstractNumId w:val="6"/>
  </w:num>
  <w:num w:numId="11">
    <w:abstractNumId w:val="8"/>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16"/>
  </w:num>
  <w:num w:numId="19">
    <w:abstractNumId w:val="9"/>
  </w:num>
  <w:num w:numId="20">
    <w:abstractNumId w:val="13"/>
  </w:num>
  <w:num w:numId="2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53"/>
    <w:rsid w:val="00000441"/>
    <w:rsid w:val="00006590"/>
    <w:rsid w:val="000069A4"/>
    <w:rsid w:val="000069F9"/>
    <w:rsid w:val="0000727D"/>
    <w:rsid w:val="000107FA"/>
    <w:rsid w:val="000119FB"/>
    <w:rsid w:val="00014990"/>
    <w:rsid w:val="00016490"/>
    <w:rsid w:val="00016A22"/>
    <w:rsid w:val="00016E5E"/>
    <w:rsid w:val="00017610"/>
    <w:rsid w:val="00017E79"/>
    <w:rsid w:val="000205C6"/>
    <w:rsid w:val="000214EC"/>
    <w:rsid w:val="00021FB0"/>
    <w:rsid w:val="000221AA"/>
    <w:rsid w:val="0002331F"/>
    <w:rsid w:val="00023F26"/>
    <w:rsid w:val="000249F8"/>
    <w:rsid w:val="00025484"/>
    <w:rsid w:val="00026CB4"/>
    <w:rsid w:val="00026E82"/>
    <w:rsid w:val="000279EB"/>
    <w:rsid w:val="00030676"/>
    <w:rsid w:val="00030714"/>
    <w:rsid w:val="0003322C"/>
    <w:rsid w:val="000339C6"/>
    <w:rsid w:val="00034110"/>
    <w:rsid w:val="00035AC1"/>
    <w:rsid w:val="000368FC"/>
    <w:rsid w:val="000376EE"/>
    <w:rsid w:val="000421F8"/>
    <w:rsid w:val="00042412"/>
    <w:rsid w:val="00042EAC"/>
    <w:rsid w:val="00043262"/>
    <w:rsid w:val="0004520B"/>
    <w:rsid w:val="00045528"/>
    <w:rsid w:val="0004639B"/>
    <w:rsid w:val="00046BDC"/>
    <w:rsid w:val="00050F7A"/>
    <w:rsid w:val="00052063"/>
    <w:rsid w:val="00053239"/>
    <w:rsid w:val="00055DDF"/>
    <w:rsid w:val="00057724"/>
    <w:rsid w:val="00061C83"/>
    <w:rsid w:val="000631FE"/>
    <w:rsid w:val="00064C9E"/>
    <w:rsid w:val="00064E01"/>
    <w:rsid w:val="0006554C"/>
    <w:rsid w:val="00065AA9"/>
    <w:rsid w:val="0006624B"/>
    <w:rsid w:val="000702FF"/>
    <w:rsid w:val="000711F1"/>
    <w:rsid w:val="00071F3D"/>
    <w:rsid w:val="00072199"/>
    <w:rsid w:val="00073DA8"/>
    <w:rsid w:val="000755E6"/>
    <w:rsid w:val="000764D3"/>
    <w:rsid w:val="000768CB"/>
    <w:rsid w:val="0007717D"/>
    <w:rsid w:val="00080A47"/>
    <w:rsid w:val="00082117"/>
    <w:rsid w:val="00082F77"/>
    <w:rsid w:val="00085C5A"/>
    <w:rsid w:val="000862FC"/>
    <w:rsid w:val="00087323"/>
    <w:rsid w:val="000879ED"/>
    <w:rsid w:val="00087B80"/>
    <w:rsid w:val="00093649"/>
    <w:rsid w:val="000956D4"/>
    <w:rsid w:val="00095F34"/>
    <w:rsid w:val="00096246"/>
    <w:rsid w:val="00096F3E"/>
    <w:rsid w:val="00097AC3"/>
    <w:rsid w:val="000A0077"/>
    <w:rsid w:val="000A0A6E"/>
    <w:rsid w:val="000A0BD3"/>
    <w:rsid w:val="000A2E61"/>
    <w:rsid w:val="000A4016"/>
    <w:rsid w:val="000A6C40"/>
    <w:rsid w:val="000B0496"/>
    <w:rsid w:val="000B0690"/>
    <w:rsid w:val="000B5802"/>
    <w:rsid w:val="000B70D6"/>
    <w:rsid w:val="000B7F7A"/>
    <w:rsid w:val="000C04A1"/>
    <w:rsid w:val="000C05A1"/>
    <w:rsid w:val="000C194F"/>
    <w:rsid w:val="000C1A0B"/>
    <w:rsid w:val="000C1EEA"/>
    <w:rsid w:val="000C2222"/>
    <w:rsid w:val="000C5CC0"/>
    <w:rsid w:val="000C65B2"/>
    <w:rsid w:val="000D09ED"/>
    <w:rsid w:val="000D0A87"/>
    <w:rsid w:val="000D0FB1"/>
    <w:rsid w:val="000D11B8"/>
    <w:rsid w:val="000D145B"/>
    <w:rsid w:val="000D2AC6"/>
    <w:rsid w:val="000D32C7"/>
    <w:rsid w:val="000D480B"/>
    <w:rsid w:val="000D50CC"/>
    <w:rsid w:val="000D6016"/>
    <w:rsid w:val="000D7185"/>
    <w:rsid w:val="000D7AFF"/>
    <w:rsid w:val="000D7EB2"/>
    <w:rsid w:val="000E07AB"/>
    <w:rsid w:val="000E1CED"/>
    <w:rsid w:val="000E24BD"/>
    <w:rsid w:val="000E27FB"/>
    <w:rsid w:val="000E28CF"/>
    <w:rsid w:val="000E29D1"/>
    <w:rsid w:val="000E3797"/>
    <w:rsid w:val="000E5EA0"/>
    <w:rsid w:val="000E6F19"/>
    <w:rsid w:val="000F1B3B"/>
    <w:rsid w:val="000F1E3F"/>
    <w:rsid w:val="000F3DBC"/>
    <w:rsid w:val="000F48EC"/>
    <w:rsid w:val="000F4F31"/>
    <w:rsid w:val="000F5D8D"/>
    <w:rsid w:val="000F61AC"/>
    <w:rsid w:val="000F6C96"/>
    <w:rsid w:val="001017A9"/>
    <w:rsid w:val="00101F34"/>
    <w:rsid w:val="001033D5"/>
    <w:rsid w:val="001039F7"/>
    <w:rsid w:val="00103B92"/>
    <w:rsid w:val="00104ED7"/>
    <w:rsid w:val="00105409"/>
    <w:rsid w:val="00105467"/>
    <w:rsid w:val="001067B2"/>
    <w:rsid w:val="00107835"/>
    <w:rsid w:val="00107DBD"/>
    <w:rsid w:val="00107EFC"/>
    <w:rsid w:val="0011146F"/>
    <w:rsid w:val="001130A3"/>
    <w:rsid w:val="00113412"/>
    <w:rsid w:val="00113666"/>
    <w:rsid w:val="00114D85"/>
    <w:rsid w:val="00116446"/>
    <w:rsid w:val="001169FE"/>
    <w:rsid w:val="00116D19"/>
    <w:rsid w:val="00117EE2"/>
    <w:rsid w:val="00121E78"/>
    <w:rsid w:val="00122F65"/>
    <w:rsid w:val="001230AC"/>
    <w:rsid w:val="00123E87"/>
    <w:rsid w:val="00123F4B"/>
    <w:rsid w:val="00124184"/>
    <w:rsid w:val="00124604"/>
    <w:rsid w:val="00124670"/>
    <w:rsid w:val="00124795"/>
    <w:rsid w:val="00125F51"/>
    <w:rsid w:val="001265C0"/>
    <w:rsid w:val="00127BF8"/>
    <w:rsid w:val="0013356B"/>
    <w:rsid w:val="001337B7"/>
    <w:rsid w:val="00133921"/>
    <w:rsid w:val="001344B3"/>
    <w:rsid w:val="00135673"/>
    <w:rsid w:val="00136818"/>
    <w:rsid w:val="00140C93"/>
    <w:rsid w:val="001414FE"/>
    <w:rsid w:val="00143536"/>
    <w:rsid w:val="0014475F"/>
    <w:rsid w:val="00144763"/>
    <w:rsid w:val="00145B2F"/>
    <w:rsid w:val="001463FE"/>
    <w:rsid w:val="00150440"/>
    <w:rsid w:val="00151D8E"/>
    <w:rsid w:val="00152694"/>
    <w:rsid w:val="00156DFA"/>
    <w:rsid w:val="001570BC"/>
    <w:rsid w:val="001579BF"/>
    <w:rsid w:val="001605E5"/>
    <w:rsid w:val="0016095B"/>
    <w:rsid w:val="00161AA0"/>
    <w:rsid w:val="0016289A"/>
    <w:rsid w:val="00163FC1"/>
    <w:rsid w:val="00164079"/>
    <w:rsid w:val="00164551"/>
    <w:rsid w:val="001662BC"/>
    <w:rsid w:val="0016714B"/>
    <w:rsid w:val="0017072D"/>
    <w:rsid w:val="0017073F"/>
    <w:rsid w:val="00170B60"/>
    <w:rsid w:val="00171A2B"/>
    <w:rsid w:val="00175A60"/>
    <w:rsid w:val="00176FB2"/>
    <w:rsid w:val="001823EB"/>
    <w:rsid w:val="00184A64"/>
    <w:rsid w:val="0018716E"/>
    <w:rsid w:val="001872FE"/>
    <w:rsid w:val="001873CB"/>
    <w:rsid w:val="00191B56"/>
    <w:rsid w:val="00191C84"/>
    <w:rsid w:val="00192962"/>
    <w:rsid w:val="00193945"/>
    <w:rsid w:val="00194B64"/>
    <w:rsid w:val="001956FC"/>
    <w:rsid w:val="0019718A"/>
    <w:rsid w:val="001A1063"/>
    <w:rsid w:val="001A1AE2"/>
    <w:rsid w:val="001A2AC7"/>
    <w:rsid w:val="001A5F8F"/>
    <w:rsid w:val="001B0B2E"/>
    <w:rsid w:val="001B1B93"/>
    <w:rsid w:val="001B2DD8"/>
    <w:rsid w:val="001B47CA"/>
    <w:rsid w:val="001B61F0"/>
    <w:rsid w:val="001B7E00"/>
    <w:rsid w:val="001C0EF4"/>
    <w:rsid w:val="001C304E"/>
    <w:rsid w:val="001C3582"/>
    <w:rsid w:val="001C3872"/>
    <w:rsid w:val="001C47BE"/>
    <w:rsid w:val="001C59E4"/>
    <w:rsid w:val="001D0C52"/>
    <w:rsid w:val="001D1D43"/>
    <w:rsid w:val="001E27E5"/>
    <w:rsid w:val="001E293B"/>
    <w:rsid w:val="001E2C75"/>
    <w:rsid w:val="001E2CAF"/>
    <w:rsid w:val="001E4D37"/>
    <w:rsid w:val="001F1400"/>
    <w:rsid w:val="001F4A04"/>
    <w:rsid w:val="001F6078"/>
    <w:rsid w:val="001F62B2"/>
    <w:rsid w:val="001F7251"/>
    <w:rsid w:val="00200955"/>
    <w:rsid w:val="00204F82"/>
    <w:rsid w:val="0020632C"/>
    <w:rsid w:val="00207348"/>
    <w:rsid w:val="0021081C"/>
    <w:rsid w:val="002119CD"/>
    <w:rsid w:val="00212D08"/>
    <w:rsid w:val="00214389"/>
    <w:rsid w:val="002159C9"/>
    <w:rsid w:val="0021783B"/>
    <w:rsid w:val="0022184F"/>
    <w:rsid w:val="002218BC"/>
    <w:rsid w:val="00221F51"/>
    <w:rsid w:val="002226E7"/>
    <w:rsid w:val="00222BEA"/>
    <w:rsid w:val="00225439"/>
    <w:rsid w:val="00225F9B"/>
    <w:rsid w:val="0023201A"/>
    <w:rsid w:val="00232061"/>
    <w:rsid w:val="00232BB5"/>
    <w:rsid w:val="00235945"/>
    <w:rsid w:val="00235CAB"/>
    <w:rsid w:val="00240086"/>
    <w:rsid w:val="00253EB9"/>
    <w:rsid w:val="002555BE"/>
    <w:rsid w:val="00255679"/>
    <w:rsid w:val="00256218"/>
    <w:rsid w:val="00256321"/>
    <w:rsid w:val="00257B1C"/>
    <w:rsid w:val="00260FCE"/>
    <w:rsid w:val="00260FE3"/>
    <w:rsid w:val="002614EA"/>
    <w:rsid w:val="002626AA"/>
    <w:rsid w:val="00263ABA"/>
    <w:rsid w:val="00265B0E"/>
    <w:rsid w:val="00266F05"/>
    <w:rsid w:val="0027060F"/>
    <w:rsid w:val="002730C1"/>
    <w:rsid w:val="00273362"/>
    <w:rsid w:val="002775E8"/>
    <w:rsid w:val="00277B7B"/>
    <w:rsid w:val="00282178"/>
    <w:rsid w:val="002823AC"/>
    <w:rsid w:val="00282C30"/>
    <w:rsid w:val="00282D7E"/>
    <w:rsid w:val="00290445"/>
    <w:rsid w:val="00292044"/>
    <w:rsid w:val="0029297F"/>
    <w:rsid w:val="00292D6E"/>
    <w:rsid w:val="002931FA"/>
    <w:rsid w:val="00293811"/>
    <w:rsid w:val="00294445"/>
    <w:rsid w:val="002A151A"/>
    <w:rsid w:val="002A24FC"/>
    <w:rsid w:val="002A2687"/>
    <w:rsid w:val="002A3048"/>
    <w:rsid w:val="002A3895"/>
    <w:rsid w:val="002A3E96"/>
    <w:rsid w:val="002A5343"/>
    <w:rsid w:val="002A5C23"/>
    <w:rsid w:val="002A686F"/>
    <w:rsid w:val="002B0BE3"/>
    <w:rsid w:val="002B141D"/>
    <w:rsid w:val="002B173E"/>
    <w:rsid w:val="002B3340"/>
    <w:rsid w:val="002B3C80"/>
    <w:rsid w:val="002B5772"/>
    <w:rsid w:val="002B6D1D"/>
    <w:rsid w:val="002C0551"/>
    <w:rsid w:val="002C0F6A"/>
    <w:rsid w:val="002C2413"/>
    <w:rsid w:val="002C257D"/>
    <w:rsid w:val="002C262A"/>
    <w:rsid w:val="002C2774"/>
    <w:rsid w:val="002C381D"/>
    <w:rsid w:val="002D163E"/>
    <w:rsid w:val="002D683C"/>
    <w:rsid w:val="002D79A7"/>
    <w:rsid w:val="002E0A3E"/>
    <w:rsid w:val="002E3F68"/>
    <w:rsid w:val="002E4DFA"/>
    <w:rsid w:val="002E556A"/>
    <w:rsid w:val="002E558E"/>
    <w:rsid w:val="002E5C16"/>
    <w:rsid w:val="002E73E7"/>
    <w:rsid w:val="002F0AA7"/>
    <w:rsid w:val="002F1B28"/>
    <w:rsid w:val="002F1C23"/>
    <w:rsid w:val="002F2583"/>
    <w:rsid w:val="002F279A"/>
    <w:rsid w:val="002F2C1A"/>
    <w:rsid w:val="002F3E7F"/>
    <w:rsid w:val="002F4F5B"/>
    <w:rsid w:val="002F541E"/>
    <w:rsid w:val="002F621D"/>
    <w:rsid w:val="002F6272"/>
    <w:rsid w:val="002F68FE"/>
    <w:rsid w:val="0030096F"/>
    <w:rsid w:val="00300DF8"/>
    <w:rsid w:val="00303156"/>
    <w:rsid w:val="00307A2A"/>
    <w:rsid w:val="003107AB"/>
    <w:rsid w:val="0031127A"/>
    <w:rsid w:val="003117DC"/>
    <w:rsid w:val="0031480A"/>
    <w:rsid w:val="003154E8"/>
    <w:rsid w:val="00315C29"/>
    <w:rsid w:val="0031664C"/>
    <w:rsid w:val="0032030E"/>
    <w:rsid w:val="00320EC5"/>
    <w:rsid w:val="00324997"/>
    <w:rsid w:val="00324B9C"/>
    <w:rsid w:val="00324EE6"/>
    <w:rsid w:val="003256B1"/>
    <w:rsid w:val="00325EE6"/>
    <w:rsid w:val="0032639E"/>
    <w:rsid w:val="00326F22"/>
    <w:rsid w:val="00327C45"/>
    <w:rsid w:val="00330DD3"/>
    <w:rsid w:val="00331545"/>
    <w:rsid w:val="00331FE5"/>
    <w:rsid w:val="003330E6"/>
    <w:rsid w:val="0033333E"/>
    <w:rsid w:val="00333C0B"/>
    <w:rsid w:val="00334926"/>
    <w:rsid w:val="00335928"/>
    <w:rsid w:val="003368C0"/>
    <w:rsid w:val="0033730A"/>
    <w:rsid w:val="00341224"/>
    <w:rsid w:val="00341C27"/>
    <w:rsid w:val="00342E17"/>
    <w:rsid w:val="00343439"/>
    <w:rsid w:val="00343B53"/>
    <w:rsid w:val="003459E9"/>
    <w:rsid w:val="00346BA7"/>
    <w:rsid w:val="00347DE3"/>
    <w:rsid w:val="00350CB9"/>
    <w:rsid w:val="00351FE0"/>
    <w:rsid w:val="00354915"/>
    <w:rsid w:val="00354B19"/>
    <w:rsid w:val="00363A2B"/>
    <w:rsid w:val="0036487D"/>
    <w:rsid w:val="00364E30"/>
    <w:rsid w:val="0037070A"/>
    <w:rsid w:val="00372031"/>
    <w:rsid w:val="003736A0"/>
    <w:rsid w:val="003738C2"/>
    <w:rsid w:val="003741E3"/>
    <w:rsid w:val="00375157"/>
    <w:rsid w:val="003847B9"/>
    <w:rsid w:val="00385E85"/>
    <w:rsid w:val="003907A4"/>
    <w:rsid w:val="003908AC"/>
    <w:rsid w:val="0039118D"/>
    <w:rsid w:val="003918C2"/>
    <w:rsid w:val="00391AC8"/>
    <w:rsid w:val="00391CDC"/>
    <w:rsid w:val="00391D44"/>
    <w:rsid w:val="00392FB4"/>
    <w:rsid w:val="00394DFF"/>
    <w:rsid w:val="00395C05"/>
    <w:rsid w:val="003A0250"/>
    <w:rsid w:val="003A04CD"/>
    <w:rsid w:val="003A11AB"/>
    <w:rsid w:val="003A174E"/>
    <w:rsid w:val="003A1B9F"/>
    <w:rsid w:val="003A1DB1"/>
    <w:rsid w:val="003A1F14"/>
    <w:rsid w:val="003A3974"/>
    <w:rsid w:val="003A5838"/>
    <w:rsid w:val="003A5BAE"/>
    <w:rsid w:val="003A6779"/>
    <w:rsid w:val="003B084F"/>
    <w:rsid w:val="003B0BC2"/>
    <w:rsid w:val="003B37BB"/>
    <w:rsid w:val="003B3C01"/>
    <w:rsid w:val="003C027B"/>
    <w:rsid w:val="003C1743"/>
    <w:rsid w:val="003C36AC"/>
    <w:rsid w:val="003C4148"/>
    <w:rsid w:val="003C425D"/>
    <w:rsid w:val="003C46E3"/>
    <w:rsid w:val="003C7EF9"/>
    <w:rsid w:val="003D09E3"/>
    <w:rsid w:val="003D5A49"/>
    <w:rsid w:val="003D68D5"/>
    <w:rsid w:val="003D7050"/>
    <w:rsid w:val="003E045E"/>
    <w:rsid w:val="003E0C29"/>
    <w:rsid w:val="003E10CC"/>
    <w:rsid w:val="003E14CF"/>
    <w:rsid w:val="003E684C"/>
    <w:rsid w:val="003E6D04"/>
    <w:rsid w:val="003E6D4D"/>
    <w:rsid w:val="003F0783"/>
    <w:rsid w:val="003F168A"/>
    <w:rsid w:val="003F3E3C"/>
    <w:rsid w:val="003F6D61"/>
    <w:rsid w:val="00401096"/>
    <w:rsid w:val="00407D59"/>
    <w:rsid w:val="0041525E"/>
    <w:rsid w:val="00415939"/>
    <w:rsid w:val="00416196"/>
    <w:rsid w:val="00416513"/>
    <w:rsid w:val="004168ED"/>
    <w:rsid w:val="00416B52"/>
    <w:rsid w:val="00417B24"/>
    <w:rsid w:val="00420742"/>
    <w:rsid w:val="00421005"/>
    <w:rsid w:val="00421E23"/>
    <w:rsid w:val="00422385"/>
    <w:rsid w:val="0042362A"/>
    <w:rsid w:val="00425F59"/>
    <w:rsid w:val="004266F3"/>
    <w:rsid w:val="0042740B"/>
    <w:rsid w:val="00427B70"/>
    <w:rsid w:val="00431372"/>
    <w:rsid w:val="004313B6"/>
    <w:rsid w:val="0043330F"/>
    <w:rsid w:val="00433564"/>
    <w:rsid w:val="00435FEB"/>
    <w:rsid w:val="00437CA3"/>
    <w:rsid w:val="00437F43"/>
    <w:rsid w:val="0044027B"/>
    <w:rsid w:val="004408F8"/>
    <w:rsid w:val="0044648F"/>
    <w:rsid w:val="0044654B"/>
    <w:rsid w:val="00446DA2"/>
    <w:rsid w:val="00450F6B"/>
    <w:rsid w:val="004531E9"/>
    <w:rsid w:val="0045336F"/>
    <w:rsid w:val="00457843"/>
    <w:rsid w:val="00457F95"/>
    <w:rsid w:val="00460071"/>
    <w:rsid w:val="00460389"/>
    <w:rsid w:val="004604D1"/>
    <w:rsid w:val="00460908"/>
    <w:rsid w:val="00462002"/>
    <w:rsid w:val="0046212F"/>
    <w:rsid w:val="00462733"/>
    <w:rsid w:val="00463227"/>
    <w:rsid w:val="00463973"/>
    <w:rsid w:val="00464ABE"/>
    <w:rsid w:val="00466674"/>
    <w:rsid w:val="00470F0A"/>
    <w:rsid w:val="00471113"/>
    <w:rsid w:val="00471200"/>
    <w:rsid w:val="00471355"/>
    <w:rsid w:val="00471B0A"/>
    <w:rsid w:val="00472FF8"/>
    <w:rsid w:val="00475F03"/>
    <w:rsid w:val="00476AF1"/>
    <w:rsid w:val="004804B3"/>
    <w:rsid w:val="0048063E"/>
    <w:rsid w:val="00481E06"/>
    <w:rsid w:val="004820E9"/>
    <w:rsid w:val="00482725"/>
    <w:rsid w:val="00483119"/>
    <w:rsid w:val="0048361F"/>
    <w:rsid w:val="00483D14"/>
    <w:rsid w:val="004845D0"/>
    <w:rsid w:val="004852FF"/>
    <w:rsid w:val="0048599C"/>
    <w:rsid w:val="00490A69"/>
    <w:rsid w:val="00492EEF"/>
    <w:rsid w:val="00494E73"/>
    <w:rsid w:val="0049627E"/>
    <w:rsid w:val="00497A93"/>
    <w:rsid w:val="004A13E9"/>
    <w:rsid w:val="004A1BB8"/>
    <w:rsid w:val="004A2830"/>
    <w:rsid w:val="004A3AC7"/>
    <w:rsid w:val="004A4A0C"/>
    <w:rsid w:val="004A7E61"/>
    <w:rsid w:val="004B121A"/>
    <w:rsid w:val="004B2267"/>
    <w:rsid w:val="004B2BA4"/>
    <w:rsid w:val="004B417F"/>
    <w:rsid w:val="004B514C"/>
    <w:rsid w:val="004B7D57"/>
    <w:rsid w:val="004C00D8"/>
    <w:rsid w:val="004C3DAD"/>
    <w:rsid w:val="004C5923"/>
    <w:rsid w:val="004C6116"/>
    <w:rsid w:val="004C7C61"/>
    <w:rsid w:val="004D0779"/>
    <w:rsid w:val="004D0DFD"/>
    <w:rsid w:val="004D177B"/>
    <w:rsid w:val="004D1FBE"/>
    <w:rsid w:val="004D3005"/>
    <w:rsid w:val="004D37CF"/>
    <w:rsid w:val="004D3D40"/>
    <w:rsid w:val="004D46BE"/>
    <w:rsid w:val="004D4A86"/>
    <w:rsid w:val="004D7664"/>
    <w:rsid w:val="004E074F"/>
    <w:rsid w:val="004E44A9"/>
    <w:rsid w:val="004E6427"/>
    <w:rsid w:val="004E723E"/>
    <w:rsid w:val="004E7625"/>
    <w:rsid w:val="004E7E43"/>
    <w:rsid w:val="004F15FF"/>
    <w:rsid w:val="004F1956"/>
    <w:rsid w:val="004F5FC6"/>
    <w:rsid w:val="004F69FA"/>
    <w:rsid w:val="00501F11"/>
    <w:rsid w:val="00502453"/>
    <w:rsid w:val="005031E8"/>
    <w:rsid w:val="00503337"/>
    <w:rsid w:val="005037B2"/>
    <w:rsid w:val="005041E7"/>
    <w:rsid w:val="0050455E"/>
    <w:rsid w:val="005047AD"/>
    <w:rsid w:val="00504FF4"/>
    <w:rsid w:val="00507305"/>
    <w:rsid w:val="00507A50"/>
    <w:rsid w:val="00510B1D"/>
    <w:rsid w:val="0051107D"/>
    <w:rsid w:val="00513E18"/>
    <w:rsid w:val="00515190"/>
    <w:rsid w:val="00520DC6"/>
    <w:rsid w:val="00522A60"/>
    <w:rsid w:val="00526C07"/>
    <w:rsid w:val="005273A6"/>
    <w:rsid w:val="00527533"/>
    <w:rsid w:val="00527E88"/>
    <w:rsid w:val="0053330D"/>
    <w:rsid w:val="0053387C"/>
    <w:rsid w:val="00533FE2"/>
    <w:rsid w:val="005347CC"/>
    <w:rsid w:val="005347CE"/>
    <w:rsid w:val="00534F74"/>
    <w:rsid w:val="00536789"/>
    <w:rsid w:val="00536D2F"/>
    <w:rsid w:val="00536D42"/>
    <w:rsid w:val="00537050"/>
    <w:rsid w:val="005378C5"/>
    <w:rsid w:val="00540052"/>
    <w:rsid w:val="0054146B"/>
    <w:rsid w:val="00543DB4"/>
    <w:rsid w:val="00543E08"/>
    <w:rsid w:val="005449AD"/>
    <w:rsid w:val="00547CD9"/>
    <w:rsid w:val="005505ED"/>
    <w:rsid w:val="0055096F"/>
    <w:rsid w:val="00551EA7"/>
    <w:rsid w:val="00553151"/>
    <w:rsid w:val="00556845"/>
    <w:rsid w:val="00560F3C"/>
    <w:rsid w:val="00561B83"/>
    <w:rsid w:val="00564B04"/>
    <w:rsid w:val="0056709B"/>
    <w:rsid w:val="00570EDA"/>
    <w:rsid w:val="00573059"/>
    <w:rsid w:val="00573B96"/>
    <w:rsid w:val="0057536D"/>
    <w:rsid w:val="0057621E"/>
    <w:rsid w:val="00577B05"/>
    <w:rsid w:val="00580D6F"/>
    <w:rsid w:val="005812C6"/>
    <w:rsid w:val="005827CF"/>
    <w:rsid w:val="00582F4B"/>
    <w:rsid w:val="00583623"/>
    <w:rsid w:val="0058503E"/>
    <w:rsid w:val="00587130"/>
    <w:rsid w:val="005948FA"/>
    <w:rsid w:val="005959BE"/>
    <w:rsid w:val="00596210"/>
    <w:rsid w:val="00596286"/>
    <w:rsid w:val="00596999"/>
    <w:rsid w:val="005A0F31"/>
    <w:rsid w:val="005A15CC"/>
    <w:rsid w:val="005A28A1"/>
    <w:rsid w:val="005A42F8"/>
    <w:rsid w:val="005A46D0"/>
    <w:rsid w:val="005A4933"/>
    <w:rsid w:val="005A66AF"/>
    <w:rsid w:val="005A6FB5"/>
    <w:rsid w:val="005A7740"/>
    <w:rsid w:val="005B25E4"/>
    <w:rsid w:val="005B30C8"/>
    <w:rsid w:val="005B35BF"/>
    <w:rsid w:val="005B5BC9"/>
    <w:rsid w:val="005B5E99"/>
    <w:rsid w:val="005B693F"/>
    <w:rsid w:val="005B7778"/>
    <w:rsid w:val="005C051F"/>
    <w:rsid w:val="005C0EC4"/>
    <w:rsid w:val="005C2BDA"/>
    <w:rsid w:val="005C61F7"/>
    <w:rsid w:val="005C654D"/>
    <w:rsid w:val="005C6E7B"/>
    <w:rsid w:val="005C7594"/>
    <w:rsid w:val="005C762E"/>
    <w:rsid w:val="005D098C"/>
    <w:rsid w:val="005D3FD9"/>
    <w:rsid w:val="005D6074"/>
    <w:rsid w:val="005E2139"/>
    <w:rsid w:val="005E46BB"/>
    <w:rsid w:val="005E62E5"/>
    <w:rsid w:val="005E6A04"/>
    <w:rsid w:val="005E76A6"/>
    <w:rsid w:val="005F0EA5"/>
    <w:rsid w:val="005F2A29"/>
    <w:rsid w:val="005F350F"/>
    <w:rsid w:val="005F4B12"/>
    <w:rsid w:val="005F52F2"/>
    <w:rsid w:val="005F5EA5"/>
    <w:rsid w:val="005F6343"/>
    <w:rsid w:val="005F7571"/>
    <w:rsid w:val="006001CC"/>
    <w:rsid w:val="00601440"/>
    <w:rsid w:val="006017AC"/>
    <w:rsid w:val="00602B4D"/>
    <w:rsid w:val="00603518"/>
    <w:rsid w:val="00603C94"/>
    <w:rsid w:val="006041D0"/>
    <w:rsid w:val="006048E0"/>
    <w:rsid w:val="00604FAD"/>
    <w:rsid w:val="0060662A"/>
    <w:rsid w:val="00607308"/>
    <w:rsid w:val="00607BF6"/>
    <w:rsid w:val="00610D56"/>
    <w:rsid w:val="00612789"/>
    <w:rsid w:val="00613D24"/>
    <w:rsid w:val="00614BDA"/>
    <w:rsid w:val="00614E82"/>
    <w:rsid w:val="00620667"/>
    <w:rsid w:val="00621AFB"/>
    <w:rsid w:val="00625256"/>
    <w:rsid w:val="0062589A"/>
    <w:rsid w:val="00626725"/>
    <w:rsid w:val="006307C7"/>
    <w:rsid w:val="00631036"/>
    <w:rsid w:val="00631849"/>
    <w:rsid w:val="00632B82"/>
    <w:rsid w:val="006331B4"/>
    <w:rsid w:val="0063396D"/>
    <w:rsid w:val="006343F3"/>
    <w:rsid w:val="00637BE3"/>
    <w:rsid w:val="00637CE8"/>
    <w:rsid w:val="00640CF2"/>
    <w:rsid w:val="00641097"/>
    <w:rsid w:val="006417D6"/>
    <w:rsid w:val="00641DAA"/>
    <w:rsid w:val="00642803"/>
    <w:rsid w:val="00642906"/>
    <w:rsid w:val="00642EE6"/>
    <w:rsid w:val="00643582"/>
    <w:rsid w:val="00643B75"/>
    <w:rsid w:val="0064432D"/>
    <w:rsid w:val="006457EF"/>
    <w:rsid w:val="00645AEE"/>
    <w:rsid w:val="00646CC8"/>
    <w:rsid w:val="006475CF"/>
    <w:rsid w:val="00650F96"/>
    <w:rsid w:val="006512B7"/>
    <w:rsid w:val="00651C22"/>
    <w:rsid w:val="00652FDC"/>
    <w:rsid w:val="00655679"/>
    <w:rsid w:val="00655B4D"/>
    <w:rsid w:val="00655ED5"/>
    <w:rsid w:val="006605BB"/>
    <w:rsid w:val="00665734"/>
    <w:rsid w:val="00666F4B"/>
    <w:rsid w:val="00667D1A"/>
    <w:rsid w:val="00671977"/>
    <w:rsid w:val="00671D80"/>
    <w:rsid w:val="006726DF"/>
    <w:rsid w:val="00672EFB"/>
    <w:rsid w:val="00672F6B"/>
    <w:rsid w:val="006739CF"/>
    <w:rsid w:val="006772F6"/>
    <w:rsid w:val="00677339"/>
    <w:rsid w:val="0067752C"/>
    <w:rsid w:val="006776A2"/>
    <w:rsid w:val="006801A6"/>
    <w:rsid w:val="0068124B"/>
    <w:rsid w:val="00681610"/>
    <w:rsid w:val="0068269B"/>
    <w:rsid w:val="006850AF"/>
    <w:rsid w:val="0068597F"/>
    <w:rsid w:val="00685BF0"/>
    <w:rsid w:val="00685D36"/>
    <w:rsid w:val="006869E2"/>
    <w:rsid w:val="006869F1"/>
    <w:rsid w:val="00687248"/>
    <w:rsid w:val="00687304"/>
    <w:rsid w:val="006909C8"/>
    <w:rsid w:val="00692C71"/>
    <w:rsid w:val="006931A0"/>
    <w:rsid w:val="006935BC"/>
    <w:rsid w:val="006949A4"/>
    <w:rsid w:val="00696E55"/>
    <w:rsid w:val="006A0B0E"/>
    <w:rsid w:val="006A2DC7"/>
    <w:rsid w:val="006A3A9C"/>
    <w:rsid w:val="006A3CC5"/>
    <w:rsid w:val="006A5508"/>
    <w:rsid w:val="006A721F"/>
    <w:rsid w:val="006A7CCF"/>
    <w:rsid w:val="006B0581"/>
    <w:rsid w:val="006B0F36"/>
    <w:rsid w:val="006B229F"/>
    <w:rsid w:val="006B2874"/>
    <w:rsid w:val="006B2B20"/>
    <w:rsid w:val="006B30FD"/>
    <w:rsid w:val="006B3157"/>
    <w:rsid w:val="006B4254"/>
    <w:rsid w:val="006B5CB4"/>
    <w:rsid w:val="006B6DCF"/>
    <w:rsid w:val="006B6EAF"/>
    <w:rsid w:val="006B70E9"/>
    <w:rsid w:val="006B791B"/>
    <w:rsid w:val="006B7ABF"/>
    <w:rsid w:val="006B7B70"/>
    <w:rsid w:val="006C047F"/>
    <w:rsid w:val="006C143A"/>
    <w:rsid w:val="006C3043"/>
    <w:rsid w:val="006C4793"/>
    <w:rsid w:val="006D1673"/>
    <w:rsid w:val="006D36FB"/>
    <w:rsid w:val="006D42ED"/>
    <w:rsid w:val="006D4D1A"/>
    <w:rsid w:val="006D73F1"/>
    <w:rsid w:val="006E0DF8"/>
    <w:rsid w:val="006E2A29"/>
    <w:rsid w:val="006E2E79"/>
    <w:rsid w:val="006E3514"/>
    <w:rsid w:val="006E51F7"/>
    <w:rsid w:val="006E54A3"/>
    <w:rsid w:val="006E7421"/>
    <w:rsid w:val="006E7647"/>
    <w:rsid w:val="006E7F30"/>
    <w:rsid w:val="006F162C"/>
    <w:rsid w:val="006F1DA8"/>
    <w:rsid w:val="006F22E9"/>
    <w:rsid w:val="006F4CFA"/>
    <w:rsid w:val="006F5310"/>
    <w:rsid w:val="006F5899"/>
    <w:rsid w:val="006F696E"/>
    <w:rsid w:val="006F6B91"/>
    <w:rsid w:val="00702D68"/>
    <w:rsid w:val="007040CB"/>
    <w:rsid w:val="007049F3"/>
    <w:rsid w:val="0070523B"/>
    <w:rsid w:val="00706573"/>
    <w:rsid w:val="00707D16"/>
    <w:rsid w:val="0071000A"/>
    <w:rsid w:val="00711EF2"/>
    <w:rsid w:val="00712C88"/>
    <w:rsid w:val="00715E8A"/>
    <w:rsid w:val="00717226"/>
    <w:rsid w:val="0071780F"/>
    <w:rsid w:val="00720D32"/>
    <w:rsid w:val="00720FDD"/>
    <w:rsid w:val="00721CA4"/>
    <w:rsid w:val="00722521"/>
    <w:rsid w:val="00722883"/>
    <w:rsid w:val="00723AF0"/>
    <w:rsid w:val="0072769B"/>
    <w:rsid w:val="00727911"/>
    <w:rsid w:val="0073007E"/>
    <w:rsid w:val="007311E2"/>
    <w:rsid w:val="00732519"/>
    <w:rsid w:val="00732E78"/>
    <w:rsid w:val="007333B0"/>
    <w:rsid w:val="0073365B"/>
    <w:rsid w:val="00734474"/>
    <w:rsid w:val="00734F5A"/>
    <w:rsid w:val="00736D97"/>
    <w:rsid w:val="00737BED"/>
    <w:rsid w:val="00737CEF"/>
    <w:rsid w:val="00737DDA"/>
    <w:rsid w:val="00740ADA"/>
    <w:rsid w:val="00744CE6"/>
    <w:rsid w:val="00745DE0"/>
    <w:rsid w:val="00746455"/>
    <w:rsid w:val="00746B57"/>
    <w:rsid w:val="00747D90"/>
    <w:rsid w:val="007501B9"/>
    <w:rsid w:val="00751CB9"/>
    <w:rsid w:val="00754924"/>
    <w:rsid w:val="00754F50"/>
    <w:rsid w:val="0075624F"/>
    <w:rsid w:val="00756D96"/>
    <w:rsid w:val="00763641"/>
    <w:rsid w:val="00764161"/>
    <w:rsid w:val="00764E02"/>
    <w:rsid w:val="007653E6"/>
    <w:rsid w:val="007668BA"/>
    <w:rsid w:val="00770596"/>
    <w:rsid w:val="00772642"/>
    <w:rsid w:val="0077277D"/>
    <w:rsid w:val="00774049"/>
    <w:rsid w:val="007747D4"/>
    <w:rsid w:val="00774963"/>
    <w:rsid w:val="00781B7F"/>
    <w:rsid w:val="007822CF"/>
    <w:rsid w:val="00782DCB"/>
    <w:rsid w:val="00784156"/>
    <w:rsid w:val="00786D4D"/>
    <w:rsid w:val="00790F1F"/>
    <w:rsid w:val="007933B3"/>
    <w:rsid w:val="00794D72"/>
    <w:rsid w:val="00795C84"/>
    <w:rsid w:val="0079659B"/>
    <w:rsid w:val="007A048E"/>
    <w:rsid w:val="007A19AF"/>
    <w:rsid w:val="007A1E9D"/>
    <w:rsid w:val="007A2058"/>
    <w:rsid w:val="007A2801"/>
    <w:rsid w:val="007A4847"/>
    <w:rsid w:val="007A4EEE"/>
    <w:rsid w:val="007A50A5"/>
    <w:rsid w:val="007A5945"/>
    <w:rsid w:val="007A6DAA"/>
    <w:rsid w:val="007A6EB3"/>
    <w:rsid w:val="007A7EC8"/>
    <w:rsid w:val="007B032C"/>
    <w:rsid w:val="007B16C0"/>
    <w:rsid w:val="007B1AF8"/>
    <w:rsid w:val="007B2A16"/>
    <w:rsid w:val="007B47CC"/>
    <w:rsid w:val="007B4827"/>
    <w:rsid w:val="007B4B3F"/>
    <w:rsid w:val="007B787D"/>
    <w:rsid w:val="007B7B7B"/>
    <w:rsid w:val="007B7DE5"/>
    <w:rsid w:val="007C1845"/>
    <w:rsid w:val="007C3165"/>
    <w:rsid w:val="007C58D6"/>
    <w:rsid w:val="007C6D08"/>
    <w:rsid w:val="007C732D"/>
    <w:rsid w:val="007D1008"/>
    <w:rsid w:val="007D32B7"/>
    <w:rsid w:val="007D53B8"/>
    <w:rsid w:val="007D5B27"/>
    <w:rsid w:val="007D5C0B"/>
    <w:rsid w:val="007D5C80"/>
    <w:rsid w:val="007D62AE"/>
    <w:rsid w:val="007E013D"/>
    <w:rsid w:val="007E24F3"/>
    <w:rsid w:val="007E2754"/>
    <w:rsid w:val="007E29CD"/>
    <w:rsid w:val="007E2F8B"/>
    <w:rsid w:val="007E39DA"/>
    <w:rsid w:val="007E4C4F"/>
    <w:rsid w:val="007E5818"/>
    <w:rsid w:val="007E583E"/>
    <w:rsid w:val="007E61A7"/>
    <w:rsid w:val="007E65D7"/>
    <w:rsid w:val="007E67B8"/>
    <w:rsid w:val="007E77D4"/>
    <w:rsid w:val="007F0E38"/>
    <w:rsid w:val="007F181D"/>
    <w:rsid w:val="007F231A"/>
    <w:rsid w:val="007F238C"/>
    <w:rsid w:val="007F2DB2"/>
    <w:rsid w:val="007F2F03"/>
    <w:rsid w:val="007F6BEA"/>
    <w:rsid w:val="00800423"/>
    <w:rsid w:val="0080089C"/>
    <w:rsid w:val="00801666"/>
    <w:rsid w:val="00801E4D"/>
    <w:rsid w:val="00803318"/>
    <w:rsid w:val="00803456"/>
    <w:rsid w:val="0080390A"/>
    <w:rsid w:val="00804542"/>
    <w:rsid w:val="00804D8C"/>
    <w:rsid w:val="008073FA"/>
    <w:rsid w:val="00807B9F"/>
    <w:rsid w:val="008103B1"/>
    <w:rsid w:val="00811BBD"/>
    <w:rsid w:val="00811E26"/>
    <w:rsid w:val="00812976"/>
    <w:rsid w:val="00814DEF"/>
    <w:rsid w:val="00820AF8"/>
    <w:rsid w:val="00820C9C"/>
    <w:rsid w:val="008215D4"/>
    <w:rsid w:val="0082239E"/>
    <w:rsid w:val="00823581"/>
    <w:rsid w:val="00825A87"/>
    <w:rsid w:val="0083185C"/>
    <w:rsid w:val="00831914"/>
    <w:rsid w:val="00831B9B"/>
    <w:rsid w:val="00833C72"/>
    <w:rsid w:val="00835008"/>
    <w:rsid w:val="008366C6"/>
    <w:rsid w:val="00842589"/>
    <w:rsid w:val="00842A7E"/>
    <w:rsid w:val="008440C8"/>
    <w:rsid w:val="00844111"/>
    <w:rsid w:val="0084417B"/>
    <w:rsid w:val="00844D3D"/>
    <w:rsid w:val="0084532E"/>
    <w:rsid w:val="0084568D"/>
    <w:rsid w:val="00845810"/>
    <w:rsid w:val="00845F3C"/>
    <w:rsid w:val="00846159"/>
    <w:rsid w:val="00847E6F"/>
    <w:rsid w:val="008505C3"/>
    <w:rsid w:val="00851677"/>
    <w:rsid w:val="008522C6"/>
    <w:rsid w:val="00852E40"/>
    <w:rsid w:val="00853D6F"/>
    <w:rsid w:val="0085444F"/>
    <w:rsid w:val="008579B2"/>
    <w:rsid w:val="00857A90"/>
    <w:rsid w:val="00857CDD"/>
    <w:rsid w:val="00857F67"/>
    <w:rsid w:val="00857F6A"/>
    <w:rsid w:val="00860EA8"/>
    <w:rsid w:val="00861362"/>
    <w:rsid w:val="00861AFC"/>
    <w:rsid w:val="0086472B"/>
    <w:rsid w:val="0087368E"/>
    <w:rsid w:val="00874163"/>
    <w:rsid w:val="00877547"/>
    <w:rsid w:val="008802D9"/>
    <w:rsid w:val="00880B98"/>
    <w:rsid w:val="00881F26"/>
    <w:rsid w:val="00882274"/>
    <w:rsid w:val="00882A11"/>
    <w:rsid w:val="008838A1"/>
    <w:rsid w:val="0088652B"/>
    <w:rsid w:val="0088685E"/>
    <w:rsid w:val="0088689E"/>
    <w:rsid w:val="00887303"/>
    <w:rsid w:val="00887BE4"/>
    <w:rsid w:val="00890711"/>
    <w:rsid w:val="008914C7"/>
    <w:rsid w:val="00891794"/>
    <w:rsid w:val="00891929"/>
    <w:rsid w:val="00892A93"/>
    <w:rsid w:val="00893176"/>
    <w:rsid w:val="00893393"/>
    <w:rsid w:val="008944D3"/>
    <w:rsid w:val="00895446"/>
    <w:rsid w:val="008A05E4"/>
    <w:rsid w:val="008A2098"/>
    <w:rsid w:val="008A239A"/>
    <w:rsid w:val="008A32D1"/>
    <w:rsid w:val="008A3970"/>
    <w:rsid w:val="008A3ABC"/>
    <w:rsid w:val="008A79A5"/>
    <w:rsid w:val="008B03D8"/>
    <w:rsid w:val="008B394E"/>
    <w:rsid w:val="008B41D9"/>
    <w:rsid w:val="008B4E65"/>
    <w:rsid w:val="008B61CD"/>
    <w:rsid w:val="008B77A4"/>
    <w:rsid w:val="008B7B6B"/>
    <w:rsid w:val="008C1560"/>
    <w:rsid w:val="008C1CB3"/>
    <w:rsid w:val="008C26A6"/>
    <w:rsid w:val="008C4A61"/>
    <w:rsid w:val="008C4CB3"/>
    <w:rsid w:val="008C4F0F"/>
    <w:rsid w:val="008C510B"/>
    <w:rsid w:val="008C6CFD"/>
    <w:rsid w:val="008C7153"/>
    <w:rsid w:val="008C7D07"/>
    <w:rsid w:val="008C7F38"/>
    <w:rsid w:val="008D26A4"/>
    <w:rsid w:val="008D31F8"/>
    <w:rsid w:val="008D379F"/>
    <w:rsid w:val="008D3B9E"/>
    <w:rsid w:val="008D4598"/>
    <w:rsid w:val="008D55C9"/>
    <w:rsid w:val="008E5F55"/>
    <w:rsid w:val="008E7460"/>
    <w:rsid w:val="008E7585"/>
    <w:rsid w:val="008F1192"/>
    <w:rsid w:val="008F2E5C"/>
    <w:rsid w:val="008F504A"/>
    <w:rsid w:val="008F5AE1"/>
    <w:rsid w:val="008F5D99"/>
    <w:rsid w:val="008F646F"/>
    <w:rsid w:val="008F71BB"/>
    <w:rsid w:val="0090280E"/>
    <w:rsid w:val="00903E1B"/>
    <w:rsid w:val="00906982"/>
    <w:rsid w:val="00906A05"/>
    <w:rsid w:val="00906CE9"/>
    <w:rsid w:val="009076D0"/>
    <w:rsid w:val="00910F46"/>
    <w:rsid w:val="009136B4"/>
    <w:rsid w:val="00913DD3"/>
    <w:rsid w:val="00914F38"/>
    <w:rsid w:val="0091776B"/>
    <w:rsid w:val="00920396"/>
    <w:rsid w:val="00920CE2"/>
    <w:rsid w:val="00921A00"/>
    <w:rsid w:val="009225BB"/>
    <w:rsid w:val="009225DE"/>
    <w:rsid w:val="0092657D"/>
    <w:rsid w:val="0092663E"/>
    <w:rsid w:val="00932B67"/>
    <w:rsid w:val="009337B8"/>
    <w:rsid w:val="00934FC9"/>
    <w:rsid w:val="00935018"/>
    <w:rsid w:val="00935F08"/>
    <w:rsid w:val="0093671F"/>
    <w:rsid w:val="00936783"/>
    <w:rsid w:val="00937D0C"/>
    <w:rsid w:val="00937F0D"/>
    <w:rsid w:val="00941D1F"/>
    <w:rsid w:val="0094366C"/>
    <w:rsid w:val="0094666B"/>
    <w:rsid w:val="009479C0"/>
    <w:rsid w:val="00950914"/>
    <w:rsid w:val="00950C51"/>
    <w:rsid w:val="00951973"/>
    <w:rsid w:val="0095252E"/>
    <w:rsid w:val="00952591"/>
    <w:rsid w:val="00952C90"/>
    <w:rsid w:val="00953ADF"/>
    <w:rsid w:val="00953B55"/>
    <w:rsid w:val="00957E73"/>
    <w:rsid w:val="0096135C"/>
    <w:rsid w:val="00961925"/>
    <w:rsid w:val="009622EF"/>
    <w:rsid w:val="00962B17"/>
    <w:rsid w:val="00967670"/>
    <w:rsid w:val="009734C6"/>
    <w:rsid w:val="009740A6"/>
    <w:rsid w:val="009746D7"/>
    <w:rsid w:val="00976973"/>
    <w:rsid w:val="00976EFA"/>
    <w:rsid w:val="00976F5B"/>
    <w:rsid w:val="009808B4"/>
    <w:rsid w:val="00980E4E"/>
    <w:rsid w:val="00980FC8"/>
    <w:rsid w:val="00983391"/>
    <w:rsid w:val="00984821"/>
    <w:rsid w:val="0098517E"/>
    <w:rsid w:val="00985969"/>
    <w:rsid w:val="00994BCD"/>
    <w:rsid w:val="009961A7"/>
    <w:rsid w:val="0099716A"/>
    <w:rsid w:val="009A0593"/>
    <w:rsid w:val="009A2797"/>
    <w:rsid w:val="009A293E"/>
    <w:rsid w:val="009A2C14"/>
    <w:rsid w:val="009A3D97"/>
    <w:rsid w:val="009A3ED6"/>
    <w:rsid w:val="009A4743"/>
    <w:rsid w:val="009A4F66"/>
    <w:rsid w:val="009A598B"/>
    <w:rsid w:val="009A698B"/>
    <w:rsid w:val="009B2D86"/>
    <w:rsid w:val="009B3F94"/>
    <w:rsid w:val="009B4FF9"/>
    <w:rsid w:val="009B5E70"/>
    <w:rsid w:val="009B621A"/>
    <w:rsid w:val="009B64E6"/>
    <w:rsid w:val="009B672F"/>
    <w:rsid w:val="009B6EAB"/>
    <w:rsid w:val="009B718D"/>
    <w:rsid w:val="009C0BCC"/>
    <w:rsid w:val="009C3FA3"/>
    <w:rsid w:val="009C45D9"/>
    <w:rsid w:val="009C5285"/>
    <w:rsid w:val="009C6048"/>
    <w:rsid w:val="009C6530"/>
    <w:rsid w:val="009C6F32"/>
    <w:rsid w:val="009C73C6"/>
    <w:rsid w:val="009D06D8"/>
    <w:rsid w:val="009D2BEF"/>
    <w:rsid w:val="009D7187"/>
    <w:rsid w:val="009D783B"/>
    <w:rsid w:val="009E01DD"/>
    <w:rsid w:val="009E1043"/>
    <w:rsid w:val="009E2207"/>
    <w:rsid w:val="009E4005"/>
    <w:rsid w:val="009E547A"/>
    <w:rsid w:val="009F30C8"/>
    <w:rsid w:val="009F312D"/>
    <w:rsid w:val="009F3F67"/>
    <w:rsid w:val="009F4054"/>
    <w:rsid w:val="009F7953"/>
    <w:rsid w:val="00A02F7D"/>
    <w:rsid w:val="00A03791"/>
    <w:rsid w:val="00A06657"/>
    <w:rsid w:val="00A12DA0"/>
    <w:rsid w:val="00A13B12"/>
    <w:rsid w:val="00A14744"/>
    <w:rsid w:val="00A16DFA"/>
    <w:rsid w:val="00A17BB8"/>
    <w:rsid w:val="00A17C0A"/>
    <w:rsid w:val="00A205F9"/>
    <w:rsid w:val="00A2127D"/>
    <w:rsid w:val="00A22FA7"/>
    <w:rsid w:val="00A238D0"/>
    <w:rsid w:val="00A25CEF"/>
    <w:rsid w:val="00A275E4"/>
    <w:rsid w:val="00A3096E"/>
    <w:rsid w:val="00A30D69"/>
    <w:rsid w:val="00A3107A"/>
    <w:rsid w:val="00A31A04"/>
    <w:rsid w:val="00A33919"/>
    <w:rsid w:val="00A35976"/>
    <w:rsid w:val="00A3601F"/>
    <w:rsid w:val="00A36968"/>
    <w:rsid w:val="00A37535"/>
    <w:rsid w:val="00A41149"/>
    <w:rsid w:val="00A4232B"/>
    <w:rsid w:val="00A44745"/>
    <w:rsid w:val="00A44F15"/>
    <w:rsid w:val="00A45E2B"/>
    <w:rsid w:val="00A467C6"/>
    <w:rsid w:val="00A47011"/>
    <w:rsid w:val="00A47B7B"/>
    <w:rsid w:val="00A50621"/>
    <w:rsid w:val="00A53E54"/>
    <w:rsid w:val="00A54175"/>
    <w:rsid w:val="00A54807"/>
    <w:rsid w:val="00A56809"/>
    <w:rsid w:val="00A60089"/>
    <w:rsid w:val="00A60D9A"/>
    <w:rsid w:val="00A63A07"/>
    <w:rsid w:val="00A654A2"/>
    <w:rsid w:val="00A65CE3"/>
    <w:rsid w:val="00A67183"/>
    <w:rsid w:val="00A70079"/>
    <w:rsid w:val="00A7220D"/>
    <w:rsid w:val="00A757D6"/>
    <w:rsid w:val="00A76391"/>
    <w:rsid w:val="00A76452"/>
    <w:rsid w:val="00A776E8"/>
    <w:rsid w:val="00A81261"/>
    <w:rsid w:val="00A83F5F"/>
    <w:rsid w:val="00A84DF8"/>
    <w:rsid w:val="00A86408"/>
    <w:rsid w:val="00A86D3D"/>
    <w:rsid w:val="00A86D98"/>
    <w:rsid w:val="00A9013E"/>
    <w:rsid w:val="00A915F3"/>
    <w:rsid w:val="00A94B17"/>
    <w:rsid w:val="00A94F1F"/>
    <w:rsid w:val="00A95347"/>
    <w:rsid w:val="00AA471D"/>
    <w:rsid w:val="00AA4B1C"/>
    <w:rsid w:val="00AA6188"/>
    <w:rsid w:val="00AA749E"/>
    <w:rsid w:val="00AA7E33"/>
    <w:rsid w:val="00AB265E"/>
    <w:rsid w:val="00AB2948"/>
    <w:rsid w:val="00AB39FA"/>
    <w:rsid w:val="00AB3B30"/>
    <w:rsid w:val="00AB426C"/>
    <w:rsid w:val="00AB427E"/>
    <w:rsid w:val="00AB451C"/>
    <w:rsid w:val="00AB59F2"/>
    <w:rsid w:val="00AB74DA"/>
    <w:rsid w:val="00AC0BA6"/>
    <w:rsid w:val="00AC11B2"/>
    <w:rsid w:val="00AC2867"/>
    <w:rsid w:val="00AC382F"/>
    <w:rsid w:val="00AC3BAC"/>
    <w:rsid w:val="00AC3E62"/>
    <w:rsid w:val="00AC556E"/>
    <w:rsid w:val="00AC5AF9"/>
    <w:rsid w:val="00AC6192"/>
    <w:rsid w:val="00AC68C8"/>
    <w:rsid w:val="00AC7155"/>
    <w:rsid w:val="00AD194F"/>
    <w:rsid w:val="00AD2F03"/>
    <w:rsid w:val="00AD3BC8"/>
    <w:rsid w:val="00AD4123"/>
    <w:rsid w:val="00AD57FE"/>
    <w:rsid w:val="00AD6933"/>
    <w:rsid w:val="00AD6B7B"/>
    <w:rsid w:val="00AD6F38"/>
    <w:rsid w:val="00AD7CAB"/>
    <w:rsid w:val="00AD7F26"/>
    <w:rsid w:val="00AE0D6A"/>
    <w:rsid w:val="00AE0ECB"/>
    <w:rsid w:val="00AE10BE"/>
    <w:rsid w:val="00AE16C9"/>
    <w:rsid w:val="00AE1C8A"/>
    <w:rsid w:val="00AE2124"/>
    <w:rsid w:val="00AE29F5"/>
    <w:rsid w:val="00AE3EF5"/>
    <w:rsid w:val="00AE4C56"/>
    <w:rsid w:val="00AE4F2A"/>
    <w:rsid w:val="00AE51E6"/>
    <w:rsid w:val="00AE58F2"/>
    <w:rsid w:val="00AE5D90"/>
    <w:rsid w:val="00AE5F33"/>
    <w:rsid w:val="00AE6F3A"/>
    <w:rsid w:val="00AF0AD5"/>
    <w:rsid w:val="00AF15E6"/>
    <w:rsid w:val="00AF51E7"/>
    <w:rsid w:val="00AF6744"/>
    <w:rsid w:val="00AF6CE8"/>
    <w:rsid w:val="00B00CA9"/>
    <w:rsid w:val="00B025E9"/>
    <w:rsid w:val="00B0277C"/>
    <w:rsid w:val="00B03867"/>
    <w:rsid w:val="00B05620"/>
    <w:rsid w:val="00B05F37"/>
    <w:rsid w:val="00B12E05"/>
    <w:rsid w:val="00B12EBE"/>
    <w:rsid w:val="00B14CB5"/>
    <w:rsid w:val="00B16431"/>
    <w:rsid w:val="00B166A4"/>
    <w:rsid w:val="00B219B7"/>
    <w:rsid w:val="00B228D7"/>
    <w:rsid w:val="00B22929"/>
    <w:rsid w:val="00B2467E"/>
    <w:rsid w:val="00B24FEF"/>
    <w:rsid w:val="00B25038"/>
    <w:rsid w:val="00B25FF3"/>
    <w:rsid w:val="00B26831"/>
    <w:rsid w:val="00B274A9"/>
    <w:rsid w:val="00B27FF1"/>
    <w:rsid w:val="00B3159A"/>
    <w:rsid w:val="00B33465"/>
    <w:rsid w:val="00B35C09"/>
    <w:rsid w:val="00B3643D"/>
    <w:rsid w:val="00B379C5"/>
    <w:rsid w:val="00B37AA3"/>
    <w:rsid w:val="00B37B0F"/>
    <w:rsid w:val="00B4183F"/>
    <w:rsid w:val="00B42198"/>
    <w:rsid w:val="00B46ABF"/>
    <w:rsid w:val="00B46AD2"/>
    <w:rsid w:val="00B47C95"/>
    <w:rsid w:val="00B53FF9"/>
    <w:rsid w:val="00B54FA1"/>
    <w:rsid w:val="00B60DC7"/>
    <w:rsid w:val="00B615A0"/>
    <w:rsid w:val="00B61609"/>
    <w:rsid w:val="00B63772"/>
    <w:rsid w:val="00B63CB2"/>
    <w:rsid w:val="00B64BBE"/>
    <w:rsid w:val="00B66941"/>
    <w:rsid w:val="00B67DE1"/>
    <w:rsid w:val="00B70757"/>
    <w:rsid w:val="00B70CC6"/>
    <w:rsid w:val="00B71082"/>
    <w:rsid w:val="00B73894"/>
    <w:rsid w:val="00B77494"/>
    <w:rsid w:val="00B8193F"/>
    <w:rsid w:val="00B81E20"/>
    <w:rsid w:val="00B82A82"/>
    <w:rsid w:val="00B8473D"/>
    <w:rsid w:val="00B87F1D"/>
    <w:rsid w:val="00B90410"/>
    <w:rsid w:val="00B90E10"/>
    <w:rsid w:val="00B91B49"/>
    <w:rsid w:val="00B934AA"/>
    <w:rsid w:val="00B964CA"/>
    <w:rsid w:val="00B973B0"/>
    <w:rsid w:val="00BA175C"/>
    <w:rsid w:val="00BA30FD"/>
    <w:rsid w:val="00BA31C4"/>
    <w:rsid w:val="00BA3DCC"/>
    <w:rsid w:val="00BA4655"/>
    <w:rsid w:val="00BA78B6"/>
    <w:rsid w:val="00BA7935"/>
    <w:rsid w:val="00BB0029"/>
    <w:rsid w:val="00BB047B"/>
    <w:rsid w:val="00BB171A"/>
    <w:rsid w:val="00BB2A5C"/>
    <w:rsid w:val="00BB388A"/>
    <w:rsid w:val="00BB4818"/>
    <w:rsid w:val="00BB4AF3"/>
    <w:rsid w:val="00BB4B88"/>
    <w:rsid w:val="00BB6398"/>
    <w:rsid w:val="00BB7126"/>
    <w:rsid w:val="00BB7CE8"/>
    <w:rsid w:val="00BC0301"/>
    <w:rsid w:val="00BC25EF"/>
    <w:rsid w:val="00BC2DAF"/>
    <w:rsid w:val="00BC3670"/>
    <w:rsid w:val="00BC4FD3"/>
    <w:rsid w:val="00BC6311"/>
    <w:rsid w:val="00BC6827"/>
    <w:rsid w:val="00BC6C7A"/>
    <w:rsid w:val="00BC7D9E"/>
    <w:rsid w:val="00BD0372"/>
    <w:rsid w:val="00BD44F5"/>
    <w:rsid w:val="00BD46D7"/>
    <w:rsid w:val="00BD6FAB"/>
    <w:rsid w:val="00BE04BE"/>
    <w:rsid w:val="00BE0797"/>
    <w:rsid w:val="00BE4340"/>
    <w:rsid w:val="00BE4920"/>
    <w:rsid w:val="00BE5C41"/>
    <w:rsid w:val="00BE5E59"/>
    <w:rsid w:val="00BF0646"/>
    <w:rsid w:val="00BF157B"/>
    <w:rsid w:val="00BF1C32"/>
    <w:rsid w:val="00BF2826"/>
    <w:rsid w:val="00BF76A6"/>
    <w:rsid w:val="00C0068D"/>
    <w:rsid w:val="00C01587"/>
    <w:rsid w:val="00C01C2A"/>
    <w:rsid w:val="00C01F23"/>
    <w:rsid w:val="00C02FE4"/>
    <w:rsid w:val="00C03C51"/>
    <w:rsid w:val="00C03EC8"/>
    <w:rsid w:val="00C044BE"/>
    <w:rsid w:val="00C04BAB"/>
    <w:rsid w:val="00C0607B"/>
    <w:rsid w:val="00C06DEF"/>
    <w:rsid w:val="00C075A2"/>
    <w:rsid w:val="00C107CB"/>
    <w:rsid w:val="00C118C4"/>
    <w:rsid w:val="00C11F58"/>
    <w:rsid w:val="00C11FBD"/>
    <w:rsid w:val="00C120D7"/>
    <w:rsid w:val="00C132D1"/>
    <w:rsid w:val="00C139CA"/>
    <w:rsid w:val="00C13A7D"/>
    <w:rsid w:val="00C149B5"/>
    <w:rsid w:val="00C1713A"/>
    <w:rsid w:val="00C17ED5"/>
    <w:rsid w:val="00C17F05"/>
    <w:rsid w:val="00C210F4"/>
    <w:rsid w:val="00C241A8"/>
    <w:rsid w:val="00C24ABA"/>
    <w:rsid w:val="00C25044"/>
    <w:rsid w:val="00C258C9"/>
    <w:rsid w:val="00C264CB"/>
    <w:rsid w:val="00C27919"/>
    <w:rsid w:val="00C31253"/>
    <w:rsid w:val="00C31825"/>
    <w:rsid w:val="00C33472"/>
    <w:rsid w:val="00C34508"/>
    <w:rsid w:val="00C34981"/>
    <w:rsid w:val="00C35129"/>
    <w:rsid w:val="00C36632"/>
    <w:rsid w:val="00C419DB"/>
    <w:rsid w:val="00C447EA"/>
    <w:rsid w:val="00C45654"/>
    <w:rsid w:val="00C469B7"/>
    <w:rsid w:val="00C476F1"/>
    <w:rsid w:val="00C51429"/>
    <w:rsid w:val="00C51E8F"/>
    <w:rsid w:val="00C52CE9"/>
    <w:rsid w:val="00C52D9A"/>
    <w:rsid w:val="00C52FC0"/>
    <w:rsid w:val="00C53F9E"/>
    <w:rsid w:val="00C551C8"/>
    <w:rsid w:val="00C559E9"/>
    <w:rsid w:val="00C57AC3"/>
    <w:rsid w:val="00C57D34"/>
    <w:rsid w:val="00C57D63"/>
    <w:rsid w:val="00C608C1"/>
    <w:rsid w:val="00C60DEB"/>
    <w:rsid w:val="00C619BF"/>
    <w:rsid w:val="00C634D7"/>
    <w:rsid w:val="00C63D4E"/>
    <w:rsid w:val="00C63EA9"/>
    <w:rsid w:val="00C661D0"/>
    <w:rsid w:val="00C665A0"/>
    <w:rsid w:val="00C67725"/>
    <w:rsid w:val="00C67771"/>
    <w:rsid w:val="00C700F3"/>
    <w:rsid w:val="00C707D3"/>
    <w:rsid w:val="00C7092F"/>
    <w:rsid w:val="00C715D0"/>
    <w:rsid w:val="00C75605"/>
    <w:rsid w:val="00C760B3"/>
    <w:rsid w:val="00C76DDA"/>
    <w:rsid w:val="00C806C1"/>
    <w:rsid w:val="00C807B3"/>
    <w:rsid w:val="00C81108"/>
    <w:rsid w:val="00C81779"/>
    <w:rsid w:val="00C825C9"/>
    <w:rsid w:val="00C834B2"/>
    <w:rsid w:val="00C839EC"/>
    <w:rsid w:val="00C86CC3"/>
    <w:rsid w:val="00C86E37"/>
    <w:rsid w:val="00C872D6"/>
    <w:rsid w:val="00C901B1"/>
    <w:rsid w:val="00C90EBC"/>
    <w:rsid w:val="00C911A7"/>
    <w:rsid w:val="00C91B69"/>
    <w:rsid w:val="00C9341D"/>
    <w:rsid w:val="00C96EEF"/>
    <w:rsid w:val="00CA18B7"/>
    <w:rsid w:val="00CA27D7"/>
    <w:rsid w:val="00CA282B"/>
    <w:rsid w:val="00CA3207"/>
    <w:rsid w:val="00CA3856"/>
    <w:rsid w:val="00CA597F"/>
    <w:rsid w:val="00CA5A3F"/>
    <w:rsid w:val="00CA67E0"/>
    <w:rsid w:val="00CB0122"/>
    <w:rsid w:val="00CB0269"/>
    <w:rsid w:val="00CB0833"/>
    <w:rsid w:val="00CB08AA"/>
    <w:rsid w:val="00CB0E4B"/>
    <w:rsid w:val="00CB18F5"/>
    <w:rsid w:val="00CB203C"/>
    <w:rsid w:val="00CB35A8"/>
    <w:rsid w:val="00CB736D"/>
    <w:rsid w:val="00CB75BE"/>
    <w:rsid w:val="00CC008E"/>
    <w:rsid w:val="00CC02ED"/>
    <w:rsid w:val="00CC0BBC"/>
    <w:rsid w:val="00CC63EB"/>
    <w:rsid w:val="00CD022A"/>
    <w:rsid w:val="00CD03BE"/>
    <w:rsid w:val="00CD0707"/>
    <w:rsid w:val="00CD07E1"/>
    <w:rsid w:val="00CD0A77"/>
    <w:rsid w:val="00CD1A25"/>
    <w:rsid w:val="00CD1BB9"/>
    <w:rsid w:val="00CD2E16"/>
    <w:rsid w:val="00CD36A2"/>
    <w:rsid w:val="00CD4220"/>
    <w:rsid w:val="00CD4A78"/>
    <w:rsid w:val="00CD5870"/>
    <w:rsid w:val="00CD61B4"/>
    <w:rsid w:val="00CD65E7"/>
    <w:rsid w:val="00CD71A0"/>
    <w:rsid w:val="00CD7BFC"/>
    <w:rsid w:val="00CE1815"/>
    <w:rsid w:val="00CE2B95"/>
    <w:rsid w:val="00CE2F1A"/>
    <w:rsid w:val="00CE7857"/>
    <w:rsid w:val="00CF1A11"/>
    <w:rsid w:val="00CF30FC"/>
    <w:rsid w:val="00CF3F29"/>
    <w:rsid w:val="00CF4286"/>
    <w:rsid w:val="00CF58AA"/>
    <w:rsid w:val="00CF5CB2"/>
    <w:rsid w:val="00CF6ABA"/>
    <w:rsid w:val="00D01B9F"/>
    <w:rsid w:val="00D01F9B"/>
    <w:rsid w:val="00D025DF"/>
    <w:rsid w:val="00D03B38"/>
    <w:rsid w:val="00D03F87"/>
    <w:rsid w:val="00D040E7"/>
    <w:rsid w:val="00D04CD4"/>
    <w:rsid w:val="00D051CA"/>
    <w:rsid w:val="00D0532A"/>
    <w:rsid w:val="00D05717"/>
    <w:rsid w:val="00D07174"/>
    <w:rsid w:val="00D10C85"/>
    <w:rsid w:val="00D1131E"/>
    <w:rsid w:val="00D118A1"/>
    <w:rsid w:val="00D12095"/>
    <w:rsid w:val="00D12B2D"/>
    <w:rsid w:val="00D1380E"/>
    <w:rsid w:val="00D14C59"/>
    <w:rsid w:val="00D168EA"/>
    <w:rsid w:val="00D200AF"/>
    <w:rsid w:val="00D21AEC"/>
    <w:rsid w:val="00D22D06"/>
    <w:rsid w:val="00D23D1B"/>
    <w:rsid w:val="00D24772"/>
    <w:rsid w:val="00D26827"/>
    <w:rsid w:val="00D26927"/>
    <w:rsid w:val="00D26E91"/>
    <w:rsid w:val="00D272A6"/>
    <w:rsid w:val="00D27539"/>
    <w:rsid w:val="00D3441D"/>
    <w:rsid w:val="00D355C4"/>
    <w:rsid w:val="00D357D5"/>
    <w:rsid w:val="00D3612A"/>
    <w:rsid w:val="00D36DAA"/>
    <w:rsid w:val="00D37703"/>
    <w:rsid w:val="00D37DBF"/>
    <w:rsid w:val="00D37F25"/>
    <w:rsid w:val="00D40B4C"/>
    <w:rsid w:val="00D41089"/>
    <w:rsid w:val="00D422A6"/>
    <w:rsid w:val="00D42DE2"/>
    <w:rsid w:val="00D42F4F"/>
    <w:rsid w:val="00D43075"/>
    <w:rsid w:val="00D44141"/>
    <w:rsid w:val="00D45E97"/>
    <w:rsid w:val="00D46C0C"/>
    <w:rsid w:val="00D511E2"/>
    <w:rsid w:val="00D565AE"/>
    <w:rsid w:val="00D56A53"/>
    <w:rsid w:val="00D61403"/>
    <w:rsid w:val="00D6324F"/>
    <w:rsid w:val="00D63458"/>
    <w:rsid w:val="00D63B15"/>
    <w:rsid w:val="00D65773"/>
    <w:rsid w:val="00D66D37"/>
    <w:rsid w:val="00D72C67"/>
    <w:rsid w:val="00D750CC"/>
    <w:rsid w:val="00D758DC"/>
    <w:rsid w:val="00D80187"/>
    <w:rsid w:val="00D81648"/>
    <w:rsid w:val="00D8426E"/>
    <w:rsid w:val="00D84315"/>
    <w:rsid w:val="00D84369"/>
    <w:rsid w:val="00D84C8F"/>
    <w:rsid w:val="00D86378"/>
    <w:rsid w:val="00D8684B"/>
    <w:rsid w:val="00D873AD"/>
    <w:rsid w:val="00D90BEE"/>
    <w:rsid w:val="00D91AAC"/>
    <w:rsid w:val="00D91C06"/>
    <w:rsid w:val="00D91C9F"/>
    <w:rsid w:val="00D92329"/>
    <w:rsid w:val="00D924EC"/>
    <w:rsid w:val="00D93274"/>
    <w:rsid w:val="00D93FD1"/>
    <w:rsid w:val="00D94378"/>
    <w:rsid w:val="00D96CE5"/>
    <w:rsid w:val="00D97C82"/>
    <w:rsid w:val="00DA0603"/>
    <w:rsid w:val="00DA0730"/>
    <w:rsid w:val="00DA08F5"/>
    <w:rsid w:val="00DA110D"/>
    <w:rsid w:val="00DA2ADC"/>
    <w:rsid w:val="00DB01E2"/>
    <w:rsid w:val="00DB049A"/>
    <w:rsid w:val="00DB0764"/>
    <w:rsid w:val="00DB3506"/>
    <w:rsid w:val="00DB52C9"/>
    <w:rsid w:val="00DB622F"/>
    <w:rsid w:val="00DB7A9A"/>
    <w:rsid w:val="00DB7AC4"/>
    <w:rsid w:val="00DC1623"/>
    <w:rsid w:val="00DC3177"/>
    <w:rsid w:val="00DC3276"/>
    <w:rsid w:val="00DC588D"/>
    <w:rsid w:val="00DD13AB"/>
    <w:rsid w:val="00DD19FC"/>
    <w:rsid w:val="00DD22B8"/>
    <w:rsid w:val="00DD2712"/>
    <w:rsid w:val="00DD2841"/>
    <w:rsid w:val="00DD37D8"/>
    <w:rsid w:val="00DD4EB5"/>
    <w:rsid w:val="00DD5902"/>
    <w:rsid w:val="00DD733B"/>
    <w:rsid w:val="00DD7E56"/>
    <w:rsid w:val="00DE01A4"/>
    <w:rsid w:val="00DE133B"/>
    <w:rsid w:val="00DE1C89"/>
    <w:rsid w:val="00DE3E40"/>
    <w:rsid w:val="00DE4597"/>
    <w:rsid w:val="00DE4BC1"/>
    <w:rsid w:val="00DE56CA"/>
    <w:rsid w:val="00DE643F"/>
    <w:rsid w:val="00DF1BA3"/>
    <w:rsid w:val="00DF5867"/>
    <w:rsid w:val="00DF62D1"/>
    <w:rsid w:val="00DF6542"/>
    <w:rsid w:val="00DF6840"/>
    <w:rsid w:val="00DF7013"/>
    <w:rsid w:val="00E010AB"/>
    <w:rsid w:val="00E015AD"/>
    <w:rsid w:val="00E0233F"/>
    <w:rsid w:val="00E02678"/>
    <w:rsid w:val="00E02FC9"/>
    <w:rsid w:val="00E050EC"/>
    <w:rsid w:val="00E06262"/>
    <w:rsid w:val="00E063AD"/>
    <w:rsid w:val="00E0748A"/>
    <w:rsid w:val="00E1034D"/>
    <w:rsid w:val="00E128A9"/>
    <w:rsid w:val="00E13845"/>
    <w:rsid w:val="00E13D11"/>
    <w:rsid w:val="00E143DA"/>
    <w:rsid w:val="00E14BA3"/>
    <w:rsid w:val="00E16744"/>
    <w:rsid w:val="00E16D4F"/>
    <w:rsid w:val="00E177E5"/>
    <w:rsid w:val="00E20617"/>
    <w:rsid w:val="00E21FE8"/>
    <w:rsid w:val="00E242BA"/>
    <w:rsid w:val="00E253F7"/>
    <w:rsid w:val="00E25953"/>
    <w:rsid w:val="00E27F5A"/>
    <w:rsid w:val="00E3066B"/>
    <w:rsid w:val="00E32BEA"/>
    <w:rsid w:val="00E32F5B"/>
    <w:rsid w:val="00E3380B"/>
    <w:rsid w:val="00E364BA"/>
    <w:rsid w:val="00E3799F"/>
    <w:rsid w:val="00E37DA2"/>
    <w:rsid w:val="00E40998"/>
    <w:rsid w:val="00E4121B"/>
    <w:rsid w:val="00E42EAF"/>
    <w:rsid w:val="00E42FA4"/>
    <w:rsid w:val="00E43ACF"/>
    <w:rsid w:val="00E44194"/>
    <w:rsid w:val="00E45864"/>
    <w:rsid w:val="00E4622C"/>
    <w:rsid w:val="00E471F5"/>
    <w:rsid w:val="00E47EBF"/>
    <w:rsid w:val="00E47F40"/>
    <w:rsid w:val="00E51FFB"/>
    <w:rsid w:val="00E52DD3"/>
    <w:rsid w:val="00E5471E"/>
    <w:rsid w:val="00E558A4"/>
    <w:rsid w:val="00E55A08"/>
    <w:rsid w:val="00E57027"/>
    <w:rsid w:val="00E576D9"/>
    <w:rsid w:val="00E61216"/>
    <w:rsid w:val="00E612B2"/>
    <w:rsid w:val="00E64C93"/>
    <w:rsid w:val="00E65C76"/>
    <w:rsid w:val="00E65EA1"/>
    <w:rsid w:val="00E6605D"/>
    <w:rsid w:val="00E6611F"/>
    <w:rsid w:val="00E6661C"/>
    <w:rsid w:val="00E66677"/>
    <w:rsid w:val="00E66821"/>
    <w:rsid w:val="00E6697A"/>
    <w:rsid w:val="00E66AD6"/>
    <w:rsid w:val="00E7315F"/>
    <w:rsid w:val="00E73D45"/>
    <w:rsid w:val="00E753FB"/>
    <w:rsid w:val="00E8035D"/>
    <w:rsid w:val="00E827EE"/>
    <w:rsid w:val="00E8349F"/>
    <w:rsid w:val="00E83CB7"/>
    <w:rsid w:val="00E90256"/>
    <w:rsid w:val="00E9168B"/>
    <w:rsid w:val="00E923A0"/>
    <w:rsid w:val="00E9265B"/>
    <w:rsid w:val="00E92FDC"/>
    <w:rsid w:val="00E942A3"/>
    <w:rsid w:val="00E95253"/>
    <w:rsid w:val="00E95CAB"/>
    <w:rsid w:val="00E978F3"/>
    <w:rsid w:val="00EA15A1"/>
    <w:rsid w:val="00EA1CB1"/>
    <w:rsid w:val="00EA25EE"/>
    <w:rsid w:val="00EA3A14"/>
    <w:rsid w:val="00EA4B7B"/>
    <w:rsid w:val="00EA4F02"/>
    <w:rsid w:val="00EA5233"/>
    <w:rsid w:val="00EA6125"/>
    <w:rsid w:val="00EA7E62"/>
    <w:rsid w:val="00EB1ACD"/>
    <w:rsid w:val="00EB5918"/>
    <w:rsid w:val="00EB6AF6"/>
    <w:rsid w:val="00EC0435"/>
    <w:rsid w:val="00EC2CEB"/>
    <w:rsid w:val="00EC7180"/>
    <w:rsid w:val="00ED209D"/>
    <w:rsid w:val="00ED418D"/>
    <w:rsid w:val="00ED46C4"/>
    <w:rsid w:val="00ED5F88"/>
    <w:rsid w:val="00ED664B"/>
    <w:rsid w:val="00ED7359"/>
    <w:rsid w:val="00ED7C2E"/>
    <w:rsid w:val="00EE0936"/>
    <w:rsid w:val="00EE29AA"/>
    <w:rsid w:val="00EE5111"/>
    <w:rsid w:val="00EF04B2"/>
    <w:rsid w:val="00EF157F"/>
    <w:rsid w:val="00EF176F"/>
    <w:rsid w:val="00EF17ED"/>
    <w:rsid w:val="00EF21E8"/>
    <w:rsid w:val="00EF250D"/>
    <w:rsid w:val="00EF2730"/>
    <w:rsid w:val="00EF28D7"/>
    <w:rsid w:val="00EF482B"/>
    <w:rsid w:val="00EF5671"/>
    <w:rsid w:val="00F0031B"/>
    <w:rsid w:val="00F0064F"/>
    <w:rsid w:val="00F00814"/>
    <w:rsid w:val="00F01D63"/>
    <w:rsid w:val="00F03786"/>
    <w:rsid w:val="00F038B3"/>
    <w:rsid w:val="00F0596B"/>
    <w:rsid w:val="00F05E37"/>
    <w:rsid w:val="00F07897"/>
    <w:rsid w:val="00F07EF7"/>
    <w:rsid w:val="00F10A79"/>
    <w:rsid w:val="00F10CAF"/>
    <w:rsid w:val="00F112AC"/>
    <w:rsid w:val="00F130AD"/>
    <w:rsid w:val="00F1342A"/>
    <w:rsid w:val="00F15267"/>
    <w:rsid w:val="00F179B1"/>
    <w:rsid w:val="00F2002D"/>
    <w:rsid w:val="00F22093"/>
    <w:rsid w:val="00F227E8"/>
    <w:rsid w:val="00F241D2"/>
    <w:rsid w:val="00F24647"/>
    <w:rsid w:val="00F26374"/>
    <w:rsid w:val="00F26A9F"/>
    <w:rsid w:val="00F30DE4"/>
    <w:rsid w:val="00F31A47"/>
    <w:rsid w:val="00F32CDD"/>
    <w:rsid w:val="00F331B5"/>
    <w:rsid w:val="00F34AF9"/>
    <w:rsid w:val="00F351D9"/>
    <w:rsid w:val="00F41E62"/>
    <w:rsid w:val="00F432A1"/>
    <w:rsid w:val="00F43622"/>
    <w:rsid w:val="00F436C6"/>
    <w:rsid w:val="00F45725"/>
    <w:rsid w:val="00F45A35"/>
    <w:rsid w:val="00F47B58"/>
    <w:rsid w:val="00F47BED"/>
    <w:rsid w:val="00F53521"/>
    <w:rsid w:val="00F53991"/>
    <w:rsid w:val="00F548FA"/>
    <w:rsid w:val="00F55D02"/>
    <w:rsid w:val="00F57676"/>
    <w:rsid w:val="00F602FA"/>
    <w:rsid w:val="00F6166A"/>
    <w:rsid w:val="00F61722"/>
    <w:rsid w:val="00F617C6"/>
    <w:rsid w:val="00F6208E"/>
    <w:rsid w:val="00F62BD2"/>
    <w:rsid w:val="00F63541"/>
    <w:rsid w:val="00F66A33"/>
    <w:rsid w:val="00F66F7C"/>
    <w:rsid w:val="00F70BA5"/>
    <w:rsid w:val="00F70F67"/>
    <w:rsid w:val="00F71818"/>
    <w:rsid w:val="00F71FE2"/>
    <w:rsid w:val="00F73842"/>
    <w:rsid w:val="00F73B39"/>
    <w:rsid w:val="00F74981"/>
    <w:rsid w:val="00F75994"/>
    <w:rsid w:val="00F75C04"/>
    <w:rsid w:val="00F777FC"/>
    <w:rsid w:val="00F80253"/>
    <w:rsid w:val="00F81005"/>
    <w:rsid w:val="00F815FD"/>
    <w:rsid w:val="00F81D94"/>
    <w:rsid w:val="00F83873"/>
    <w:rsid w:val="00F85402"/>
    <w:rsid w:val="00F87360"/>
    <w:rsid w:val="00F900D8"/>
    <w:rsid w:val="00F90692"/>
    <w:rsid w:val="00F92325"/>
    <w:rsid w:val="00F92F95"/>
    <w:rsid w:val="00F95772"/>
    <w:rsid w:val="00FA0701"/>
    <w:rsid w:val="00FA27ED"/>
    <w:rsid w:val="00FA5771"/>
    <w:rsid w:val="00FA70D0"/>
    <w:rsid w:val="00FB0C26"/>
    <w:rsid w:val="00FB2CA2"/>
    <w:rsid w:val="00FB4289"/>
    <w:rsid w:val="00FB5E6A"/>
    <w:rsid w:val="00FB6631"/>
    <w:rsid w:val="00FB7E86"/>
    <w:rsid w:val="00FC0149"/>
    <w:rsid w:val="00FC02BD"/>
    <w:rsid w:val="00FC1824"/>
    <w:rsid w:val="00FC1EF9"/>
    <w:rsid w:val="00FC220E"/>
    <w:rsid w:val="00FC2985"/>
    <w:rsid w:val="00FC7254"/>
    <w:rsid w:val="00FC7BC0"/>
    <w:rsid w:val="00FD008B"/>
    <w:rsid w:val="00FD09FD"/>
    <w:rsid w:val="00FD0D96"/>
    <w:rsid w:val="00FD0E0E"/>
    <w:rsid w:val="00FD12A2"/>
    <w:rsid w:val="00FD2C3C"/>
    <w:rsid w:val="00FD34D8"/>
    <w:rsid w:val="00FD352B"/>
    <w:rsid w:val="00FD37EA"/>
    <w:rsid w:val="00FD424D"/>
    <w:rsid w:val="00FD4A27"/>
    <w:rsid w:val="00FD5803"/>
    <w:rsid w:val="00FD6C73"/>
    <w:rsid w:val="00FD711E"/>
    <w:rsid w:val="00FD7B57"/>
    <w:rsid w:val="00FE2CF0"/>
    <w:rsid w:val="00FE432E"/>
    <w:rsid w:val="00FE44CF"/>
    <w:rsid w:val="00FE5C36"/>
    <w:rsid w:val="00FE5CFA"/>
    <w:rsid w:val="00FE5D13"/>
    <w:rsid w:val="00FE7DDF"/>
    <w:rsid w:val="00FF20D4"/>
    <w:rsid w:val="00FF2AF6"/>
    <w:rsid w:val="00FF3F44"/>
    <w:rsid w:val="00FF43DA"/>
    <w:rsid w:val="00FF491C"/>
    <w:rsid w:val="00FF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E48E8CB"/>
  <w15:chartTrackingRefBased/>
  <w15:docId w15:val="{62805662-EFE5-4C0A-BA15-A8E6BACA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paragraph" w:styleId="NormalWeb">
    <w:name w:val="Normal (Web)"/>
    <w:basedOn w:val="Normal"/>
    <w:uiPriority w:val="99"/>
    <w:unhideWhenUsed/>
    <w:rsid w:val="00737BED"/>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56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1197">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66135270">
      <w:bodyDiv w:val="1"/>
      <w:marLeft w:val="0"/>
      <w:marRight w:val="0"/>
      <w:marTop w:val="0"/>
      <w:marBottom w:val="0"/>
      <w:divBdr>
        <w:top w:val="none" w:sz="0" w:space="0" w:color="auto"/>
        <w:left w:val="none" w:sz="0" w:space="0" w:color="auto"/>
        <w:bottom w:val="none" w:sz="0" w:space="0" w:color="auto"/>
        <w:right w:val="none" w:sz="0" w:space="0" w:color="auto"/>
      </w:divBdr>
    </w:div>
    <w:div w:id="930116060">
      <w:bodyDiv w:val="1"/>
      <w:marLeft w:val="0"/>
      <w:marRight w:val="0"/>
      <w:marTop w:val="0"/>
      <w:marBottom w:val="0"/>
      <w:divBdr>
        <w:top w:val="none" w:sz="0" w:space="0" w:color="auto"/>
        <w:left w:val="none" w:sz="0" w:space="0" w:color="auto"/>
        <w:bottom w:val="none" w:sz="0" w:space="0" w:color="auto"/>
        <w:right w:val="none" w:sz="0" w:space="0" w:color="auto"/>
      </w:divBdr>
    </w:div>
    <w:div w:id="1065640748">
      <w:bodyDiv w:val="1"/>
      <w:marLeft w:val="0"/>
      <w:marRight w:val="0"/>
      <w:marTop w:val="0"/>
      <w:marBottom w:val="0"/>
      <w:divBdr>
        <w:top w:val="none" w:sz="0" w:space="0" w:color="auto"/>
        <w:left w:val="none" w:sz="0" w:space="0" w:color="auto"/>
        <w:bottom w:val="none" w:sz="0" w:space="0" w:color="auto"/>
        <w:right w:val="none" w:sz="0" w:space="0" w:color="auto"/>
      </w:divBdr>
    </w:div>
    <w:div w:id="1387417164">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43020257">
      <w:bodyDiv w:val="1"/>
      <w:marLeft w:val="0"/>
      <w:marRight w:val="0"/>
      <w:marTop w:val="0"/>
      <w:marBottom w:val="0"/>
      <w:divBdr>
        <w:top w:val="none" w:sz="0" w:space="0" w:color="auto"/>
        <w:left w:val="none" w:sz="0" w:space="0" w:color="auto"/>
        <w:bottom w:val="none" w:sz="0" w:space="0" w:color="auto"/>
        <w:right w:val="none" w:sz="0" w:space="0" w:color="auto"/>
      </w:divBdr>
    </w:div>
    <w:div w:id="1861817628">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31/documents" TargetMode="External"/><Relationship Id="rId13" Type="http://schemas.openxmlformats.org/officeDocument/2006/relationships/hyperlink" Target="https://www.nice.org.uk/guidance/ta542" TargetMode="External"/><Relationship Id="rId18" Type="http://schemas.openxmlformats.org/officeDocument/2006/relationships/hyperlink" Target="https://www.nice.org.uk/Get-Involved/Meetings-in-public/Technology-appraisal-Committee/Committee-C-Membe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ta512" TargetMode="External"/><Relationship Id="rId17" Type="http://schemas.openxmlformats.org/officeDocument/2006/relationships/hyperlink" Target="https://www.nice.org.uk/about/what-we-do/our-programmes/nice-guidance/nice-technology-appraisal-guidance/cancer-drugs-fund" TargetMode="External"/><Relationship Id="rId2" Type="http://schemas.openxmlformats.org/officeDocument/2006/relationships/numbering" Target="numbering.xml"/><Relationship Id="rId16" Type="http://schemas.openxmlformats.org/officeDocument/2006/relationships/hyperlink" Target="https://www.nice.org.uk/process/pmg9/chapter/the-appraisal-of-the-evidence-and-structured-decision-mak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215" TargetMode="External"/><Relationship Id="rId5" Type="http://schemas.openxmlformats.org/officeDocument/2006/relationships/webSettings" Target="webSettings.xml"/><Relationship Id="rId15" Type="http://schemas.openxmlformats.org/officeDocument/2006/relationships/hyperlink" Target="https://www.nice.org.uk/process/pmg9/chapter/the-appraisal-of-the-evidence-and-structured-decision-making" TargetMode="External"/><Relationship Id="rId23" Type="http://schemas.openxmlformats.org/officeDocument/2006/relationships/theme" Target="theme/theme1.xml"/><Relationship Id="rId10" Type="http://schemas.openxmlformats.org/officeDocument/2006/relationships/hyperlink" Target="https://www.nice.org.uk/guidance/indevelopment/gid-ta10331/documents" TargetMode="External"/><Relationship Id="rId19" Type="http://schemas.openxmlformats.org/officeDocument/2006/relationships/hyperlink" Target="https://www.nice.org.uk/get-involved/meetings-in-public/technology-appraisal-committee"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uidance/ta58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CD39D-391F-4F16-804C-62160C2A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81EDBE37</Template>
  <TotalTime>6</TotalTime>
  <Pages>18</Pages>
  <Words>4568</Words>
  <Characters>26919</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31425</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Vicki Pollit</dc:creator>
  <cp:keywords/>
  <cp:lastModifiedBy>Vicki Pollit</cp:lastModifiedBy>
  <cp:revision>3</cp:revision>
  <cp:lastPrinted>2020-01-24T14:23:00Z</cp:lastPrinted>
  <dcterms:created xsi:type="dcterms:W3CDTF">2020-02-05T11:18:00Z</dcterms:created>
  <dcterms:modified xsi:type="dcterms:W3CDTF">2020-02-05T11:18:00Z</dcterms:modified>
</cp:coreProperties>
</file>