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237A0" w14:textId="77777777" w:rsidR="000F48EC" w:rsidRPr="000F48EC" w:rsidRDefault="000F48EC" w:rsidP="0093671F">
      <w:pPr>
        <w:pStyle w:val="Title2"/>
      </w:pPr>
      <w:bookmarkStart w:id="0" w:name="_Hlk41479069"/>
      <w:r w:rsidRPr="000F48EC">
        <w:t>NATIONAL INSTITUTE FOR HEALTH AND C</w:t>
      </w:r>
      <w:r w:rsidR="00CC63EB">
        <w:t>ARE</w:t>
      </w:r>
      <w:r w:rsidRPr="000F48EC">
        <w:t xml:space="preserve"> EXCELLENCE</w:t>
      </w:r>
    </w:p>
    <w:p w14:paraId="36BCCAD8" w14:textId="226E5752" w:rsidR="000F48EC" w:rsidRPr="000F48EC" w:rsidRDefault="007A2801" w:rsidP="000069F9">
      <w:pPr>
        <w:pStyle w:val="Title2"/>
      </w:pPr>
      <w:r>
        <w:t>Appraisal consultation document</w:t>
      </w:r>
    </w:p>
    <w:p w14:paraId="4107A7D2" w14:textId="21DF8C0C" w:rsidR="007A2801" w:rsidRPr="000F48EC" w:rsidRDefault="007137D9" w:rsidP="007137D9">
      <w:pPr>
        <w:pStyle w:val="Title1"/>
      </w:pPr>
      <w:proofErr w:type="spellStart"/>
      <w:r w:rsidRPr="007137D9">
        <w:t>Isatuximab</w:t>
      </w:r>
      <w:proofErr w:type="spellEnd"/>
      <w:r w:rsidRPr="007137D9">
        <w:t xml:space="preserve"> </w:t>
      </w:r>
      <w:r w:rsidR="00E34292">
        <w:t>plus</w:t>
      </w:r>
      <w:r w:rsidRPr="007137D9">
        <w:t xml:space="preserve"> pomalidomide and dexamethasone for treating relapsed </w:t>
      </w:r>
      <w:r>
        <w:t>and</w:t>
      </w:r>
      <w:r w:rsidRPr="007137D9">
        <w:t xml:space="preserve"> refractory multiple myeloma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14:paraId="102883D0" w14:textId="77777777" w:rsidTr="00734F5A">
        <w:tc>
          <w:tcPr>
            <w:tcW w:w="8529" w:type="dxa"/>
            <w:shd w:val="clear" w:color="auto" w:fill="auto"/>
          </w:tcPr>
          <w:p w14:paraId="5DBE0345" w14:textId="2E84E2E5" w:rsidR="007A2801" w:rsidRPr="00981B9F" w:rsidRDefault="007A2801" w:rsidP="00734F5A">
            <w:pPr>
              <w:pStyle w:val="NICEnormalsinglespacing"/>
            </w:pPr>
            <w:r w:rsidRPr="00981B9F">
              <w:t xml:space="preserve">The Department of Health </w:t>
            </w:r>
            <w:r>
              <w:t xml:space="preserve">and Social Care </w:t>
            </w:r>
            <w:r w:rsidRPr="00981B9F">
              <w:t xml:space="preserve">has asked the National Institute for Health and Care Excellence (NICE) to produce guidance on using </w:t>
            </w:r>
            <w:proofErr w:type="spellStart"/>
            <w:r w:rsidR="00CB7405" w:rsidRPr="00983D09">
              <w:t>isatuximab</w:t>
            </w:r>
            <w:proofErr w:type="spellEnd"/>
            <w:r w:rsidR="00CB7405" w:rsidRPr="00983D09">
              <w:t xml:space="preserve"> plus pomalidomide </w:t>
            </w:r>
            <w:r w:rsidR="00DD5D27">
              <w:t>and</w:t>
            </w:r>
            <w:r w:rsidR="00DD5D27" w:rsidRPr="00983D09">
              <w:t xml:space="preserve"> </w:t>
            </w:r>
            <w:r w:rsidR="00CB7405" w:rsidRPr="00983D09">
              <w:t>dexamethasone</w:t>
            </w:r>
            <w:r w:rsidRPr="00981B9F">
              <w:t xml:space="preserve"> in the NHS in England.</w:t>
            </w:r>
            <w:r w:rsidR="00CB7405">
              <w:t xml:space="preserve"> </w:t>
            </w:r>
            <w:r w:rsidRPr="00981B9F">
              <w:t xml:space="preserve">The </w:t>
            </w:r>
            <w:r>
              <w:t>a</w:t>
            </w:r>
            <w:r w:rsidRPr="00981B9F">
              <w:t xml:space="preserve">ppraisal </w:t>
            </w:r>
            <w:r>
              <w:t>c</w:t>
            </w:r>
            <w:r w:rsidRPr="00981B9F">
              <w:t xml:space="preserve">ommittee has considered the evidence submitted by the </w:t>
            </w:r>
            <w:r>
              <w:t>company</w:t>
            </w:r>
            <w:r w:rsidRPr="00981B9F">
              <w:t xml:space="preserve"> and the views of non-</w:t>
            </w:r>
            <w:r>
              <w:t>company</w:t>
            </w:r>
            <w:r w:rsidRPr="00981B9F">
              <w:t xml:space="preserve"> consultees and commentators, clinical </w:t>
            </w:r>
            <w:proofErr w:type="gramStart"/>
            <w:r>
              <w:t>experts</w:t>
            </w:r>
            <w:proofErr w:type="gramEnd"/>
            <w:r w:rsidRPr="00981B9F">
              <w:t xml:space="preserve"> and patient experts.</w:t>
            </w:r>
          </w:p>
          <w:p w14:paraId="5D90620E" w14:textId="61318E7E" w:rsidR="007A2801" w:rsidRPr="00981B9F" w:rsidRDefault="007A2801" w:rsidP="00734F5A">
            <w:pPr>
              <w:pStyle w:val="NICEnormalsinglespacing"/>
            </w:pPr>
            <w:r w:rsidRPr="00E975D0">
              <w:rPr>
                <w:b/>
              </w:rPr>
              <w:t>This document has been prepared for consultation with the consultees.</w:t>
            </w:r>
            <w:r w:rsidRPr="00981B9F">
              <w:t xml:space="preserve"> It summarises the evidence and views that have been considered and sets out the recommendations made by the </w:t>
            </w:r>
            <w:r>
              <w:t>c</w:t>
            </w:r>
            <w:r w:rsidRPr="00981B9F">
              <w:t>ommittee. NICE invites comments from the consultees and commentators for this appraisal and the public. This document should be read along with the evidence (</w:t>
            </w:r>
            <w:r>
              <w:t xml:space="preserve">see </w:t>
            </w:r>
            <w:r w:rsidRPr="00981B9F">
              <w:t xml:space="preserve">the </w:t>
            </w:r>
            <w:hyperlink r:id="rId8" w:history="1">
              <w:r>
                <w:rPr>
                  <w:rStyle w:val="Hyperlink"/>
                </w:rPr>
                <w:t>committee papers</w:t>
              </w:r>
            </w:hyperlink>
            <w:r w:rsidRPr="00981B9F">
              <w:t>).</w:t>
            </w:r>
          </w:p>
          <w:p w14:paraId="070E93D2" w14:textId="77777777" w:rsidR="007A2801" w:rsidRPr="00981494" w:rsidRDefault="007A2801" w:rsidP="00734F5A">
            <w:pPr>
              <w:pStyle w:val="NICEnormalsinglespacing"/>
            </w:pPr>
            <w:r w:rsidRPr="00981494">
              <w:t xml:space="preserve">The </w:t>
            </w:r>
            <w:r>
              <w:t>a</w:t>
            </w:r>
            <w:r w:rsidRPr="00981494">
              <w:t xml:space="preserve">ppraisal </w:t>
            </w:r>
            <w:r>
              <w:t>c</w:t>
            </w:r>
            <w:r w:rsidRPr="00981494">
              <w:t>ommittee is interested in receiving comments on the following:</w:t>
            </w:r>
          </w:p>
          <w:p w14:paraId="5549A5DF" w14:textId="77777777" w:rsidR="007A2801" w:rsidRPr="00981494" w:rsidRDefault="007A2801" w:rsidP="00734F5A">
            <w:pPr>
              <w:pStyle w:val="Bulletleft1"/>
              <w:spacing w:line="240" w:lineRule="auto"/>
            </w:pPr>
            <w:r w:rsidRPr="00981494">
              <w:t xml:space="preserve">Has </w:t>
            </w:r>
            <w:proofErr w:type="gramStart"/>
            <w:r w:rsidRPr="00981494">
              <w:t>all of</w:t>
            </w:r>
            <w:proofErr w:type="gramEnd"/>
            <w:r w:rsidRPr="00981494">
              <w:t xml:space="preserve"> the relevant evidence been taken into account?</w:t>
            </w:r>
          </w:p>
          <w:p w14:paraId="056D39E7" w14:textId="77777777" w:rsidR="007A2801" w:rsidRPr="00981494" w:rsidRDefault="007A2801" w:rsidP="00734F5A">
            <w:pPr>
              <w:pStyle w:val="Bulletleft1"/>
              <w:spacing w:line="240" w:lineRule="auto"/>
            </w:pPr>
            <w:r w:rsidRPr="00981494">
              <w:t>Are the summaries of clinical and cost effectiveness reasonable interpretations of the evidence?</w:t>
            </w:r>
          </w:p>
          <w:p w14:paraId="4A52F6E2" w14:textId="77777777" w:rsidR="007A2801" w:rsidRPr="00981494" w:rsidRDefault="007A2801" w:rsidP="00734F5A">
            <w:pPr>
              <w:pStyle w:val="Bulletleft1"/>
              <w:spacing w:line="240" w:lineRule="auto"/>
            </w:pPr>
            <w:r w:rsidRPr="00981494">
              <w:t>Are the recommendations sound and a suitable basis for guidance to the NHS?</w:t>
            </w:r>
          </w:p>
          <w:p w14:paraId="6BD61D22" w14:textId="77777777" w:rsidR="007A2801" w:rsidRPr="00981494" w:rsidRDefault="007A2801" w:rsidP="00734F5A">
            <w:pPr>
              <w:pStyle w:val="Bulletleft1"/>
              <w:spacing w:line="240" w:lineRule="auto"/>
            </w:pPr>
            <w:r w:rsidRPr="00981494">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c>
      </w:tr>
    </w:tbl>
    <w:p w14:paraId="7D5569BF" w14:textId="77777777" w:rsidR="007A2801" w:rsidRDefault="007A2801">
      <w:pPr>
        <w:rPr>
          <w:rFonts w:ascii="Arial" w:hAnsi="Arial"/>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14:paraId="7DC3EE76" w14:textId="77777777" w:rsidTr="00734F5A">
        <w:tc>
          <w:tcPr>
            <w:tcW w:w="8529" w:type="dxa"/>
            <w:shd w:val="clear" w:color="auto" w:fill="auto"/>
          </w:tcPr>
          <w:p w14:paraId="50C6C483" w14:textId="77777777" w:rsidR="007A2801" w:rsidRPr="00E975D0" w:rsidRDefault="007A2801" w:rsidP="00734F5A">
            <w:pPr>
              <w:pStyle w:val="NICEnormalsinglespacing"/>
              <w:rPr>
                <w:b/>
                <w:bCs/>
              </w:rPr>
            </w:pPr>
            <w:r w:rsidRPr="00E975D0">
              <w:rPr>
                <w:b/>
                <w:bCs/>
              </w:rPr>
              <w:lastRenderedPageBreak/>
              <w:t>Note that this document is not NICE's final guidance on this technology. The recommendations in section 1 may change after consultation.</w:t>
            </w:r>
          </w:p>
          <w:p w14:paraId="746DC6CE" w14:textId="77777777" w:rsidR="007A2801" w:rsidRPr="00981494" w:rsidRDefault="007A2801" w:rsidP="00734F5A">
            <w:pPr>
              <w:pStyle w:val="NICEnormalsinglespacing"/>
            </w:pPr>
            <w:r w:rsidRPr="00981494">
              <w:t>After consultation:</w:t>
            </w:r>
          </w:p>
          <w:p w14:paraId="3270B849" w14:textId="77777777" w:rsidR="007A2801" w:rsidRPr="00981494" w:rsidRDefault="007A2801" w:rsidP="00734F5A">
            <w:pPr>
              <w:pStyle w:val="Bulletleft1"/>
              <w:spacing w:line="240" w:lineRule="auto"/>
            </w:pPr>
            <w:r w:rsidRPr="00981494">
              <w:t xml:space="preserve">The </w:t>
            </w:r>
            <w:r>
              <w:t>a</w:t>
            </w:r>
            <w:r w:rsidRPr="00981494">
              <w:t xml:space="preserve">ppraisal </w:t>
            </w:r>
            <w:r>
              <w:t>c</w:t>
            </w:r>
            <w:r w:rsidRPr="00981494">
              <w:t xml:space="preserve">ommittee will meet again to consider the evidence, this appraisal consultation </w:t>
            </w:r>
            <w:proofErr w:type="gramStart"/>
            <w:r w:rsidRPr="00981494">
              <w:t>document</w:t>
            </w:r>
            <w:proofErr w:type="gramEnd"/>
            <w:r w:rsidRPr="00981494">
              <w:t xml:space="preserve"> and comments from the consultees.</w:t>
            </w:r>
          </w:p>
          <w:p w14:paraId="295A8E48" w14:textId="77777777" w:rsidR="007A2801" w:rsidRPr="00981494" w:rsidRDefault="007A2801" w:rsidP="00734F5A">
            <w:pPr>
              <w:pStyle w:val="Bulletleft1"/>
              <w:spacing w:line="240" w:lineRule="auto"/>
            </w:pPr>
            <w:r w:rsidRPr="00981494">
              <w:t xml:space="preserve">At that meeting, the </w:t>
            </w:r>
            <w:r>
              <w:t>c</w:t>
            </w:r>
            <w:r w:rsidRPr="00981494">
              <w:t>ommittee will also consider comments made by people who are not consultees.</w:t>
            </w:r>
          </w:p>
          <w:p w14:paraId="121117C2" w14:textId="77777777" w:rsidR="007A2801" w:rsidRPr="00981494" w:rsidRDefault="007A2801" w:rsidP="00734F5A">
            <w:pPr>
              <w:pStyle w:val="Bulletleft1"/>
              <w:spacing w:line="240" w:lineRule="auto"/>
            </w:pPr>
            <w:r w:rsidRPr="00981494">
              <w:t xml:space="preserve">After considering these comments, the </w:t>
            </w:r>
            <w:r>
              <w:t>c</w:t>
            </w:r>
            <w:r w:rsidRPr="00981494">
              <w:t>ommittee will prepare the final appraisal d</w:t>
            </w:r>
            <w:r>
              <w:t>ocument</w:t>
            </w:r>
            <w:r w:rsidRPr="00981494">
              <w:t>.</w:t>
            </w:r>
          </w:p>
          <w:p w14:paraId="34C91869" w14:textId="3B51CF1D" w:rsidR="007A2801" w:rsidRPr="00981494" w:rsidRDefault="007A2801" w:rsidP="00734F5A">
            <w:pPr>
              <w:pStyle w:val="Bulletleft1last"/>
              <w:spacing w:line="240" w:lineRule="auto"/>
            </w:pPr>
            <w:r w:rsidRPr="00981494">
              <w:t>Subject to any appeal by consultees, the final appraisal d</w:t>
            </w:r>
            <w:r>
              <w:t>ocument</w:t>
            </w:r>
            <w:r w:rsidRPr="00981494">
              <w:t xml:space="preserve"> may be used as the basis for NICE’s guidance on using </w:t>
            </w:r>
            <w:proofErr w:type="spellStart"/>
            <w:r w:rsidR="00A16A3A">
              <w:t>isatuximab</w:t>
            </w:r>
            <w:proofErr w:type="spellEnd"/>
            <w:r w:rsidR="00A16A3A">
              <w:t xml:space="preserve"> plus pomalidomide </w:t>
            </w:r>
            <w:r w:rsidR="00EA09CF">
              <w:t>and</w:t>
            </w:r>
            <w:r w:rsidR="00A16A3A">
              <w:t xml:space="preserve"> dexamethasone</w:t>
            </w:r>
            <w:r w:rsidRPr="00981494">
              <w:t xml:space="preserve"> in the NHS in England.</w:t>
            </w:r>
          </w:p>
          <w:p w14:paraId="21BA510F" w14:textId="77777777" w:rsidR="007A2801" w:rsidRPr="00981494" w:rsidRDefault="007A2801" w:rsidP="00734F5A">
            <w:pPr>
              <w:pStyle w:val="NICEnormalsinglespacing"/>
            </w:pPr>
            <w:r w:rsidRPr="00276C00">
              <w:t xml:space="preserve">For further details, see </w:t>
            </w:r>
            <w:hyperlink r:id="rId9" w:history="1">
              <w:r w:rsidRPr="00D019BA">
                <w:rPr>
                  <w:rStyle w:val="Hyperlink"/>
                </w:rPr>
                <w:t>NICE’s guide to the processes of technology appraisal</w:t>
              </w:r>
            </w:hyperlink>
            <w:r>
              <w:t>.</w:t>
            </w:r>
          </w:p>
          <w:p w14:paraId="03C468EC" w14:textId="77777777" w:rsidR="007A2801" w:rsidRPr="00981494" w:rsidRDefault="007A2801" w:rsidP="00734F5A">
            <w:pPr>
              <w:pStyle w:val="NICEnormalsinglespacing"/>
              <w:rPr>
                <w:b/>
                <w:bCs/>
              </w:rPr>
            </w:pPr>
            <w:r w:rsidRPr="00981494">
              <w:rPr>
                <w:b/>
                <w:bCs/>
              </w:rPr>
              <w:t>The key dates for this appraisal are:</w:t>
            </w:r>
          </w:p>
          <w:p w14:paraId="20F9C941" w14:textId="6B6C612C" w:rsidR="007A2801" w:rsidRPr="00981494" w:rsidRDefault="007A2801" w:rsidP="00734F5A">
            <w:pPr>
              <w:pStyle w:val="NICEnormalsinglespacing"/>
            </w:pPr>
            <w:r w:rsidRPr="00981494">
              <w:t xml:space="preserve">Closing date for comments: </w:t>
            </w:r>
            <w:r w:rsidR="009D6F42">
              <w:t>25 June 2020</w:t>
            </w:r>
          </w:p>
          <w:p w14:paraId="29AA79D6" w14:textId="1EA731BB" w:rsidR="007A2801" w:rsidRPr="00981494" w:rsidRDefault="007A2801" w:rsidP="00734F5A">
            <w:pPr>
              <w:pStyle w:val="NICEnormalsinglespacing"/>
            </w:pPr>
            <w:r w:rsidRPr="00981494">
              <w:t xml:space="preserve">Second </w:t>
            </w:r>
            <w:r>
              <w:t>a</w:t>
            </w:r>
            <w:r w:rsidRPr="00981494">
              <w:t xml:space="preserve">ppraisal </w:t>
            </w:r>
            <w:r>
              <w:t>c</w:t>
            </w:r>
            <w:r w:rsidRPr="00981494">
              <w:t>ommittee meeting</w:t>
            </w:r>
            <w:r w:rsidR="007D2C3F">
              <w:t>: TBC</w:t>
            </w:r>
          </w:p>
          <w:p w14:paraId="0C10DB91" w14:textId="72135FD4" w:rsidR="007A2801" w:rsidRPr="00981494" w:rsidRDefault="007A2801" w:rsidP="00734F5A">
            <w:pPr>
              <w:pStyle w:val="NICEnormalsinglespacing"/>
            </w:pPr>
            <w:r w:rsidRPr="00981494">
              <w:t xml:space="preserve">Details of membership of the </w:t>
            </w:r>
            <w:r>
              <w:t>a</w:t>
            </w:r>
            <w:r w:rsidRPr="00981494">
              <w:t xml:space="preserve">ppraisal </w:t>
            </w:r>
            <w:r>
              <w:t>c</w:t>
            </w:r>
            <w:r w:rsidRPr="00981494">
              <w:t xml:space="preserve">ommittee are given in section </w:t>
            </w:r>
            <w:r w:rsidR="002E0320">
              <w:t>5</w:t>
            </w:r>
            <w:r>
              <w:t>.</w:t>
            </w:r>
          </w:p>
        </w:tc>
      </w:tr>
    </w:tbl>
    <w:p w14:paraId="60A02C30" w14:textId="77777777" w:rsidR="007A2801" w:rsidRDefault="007A2801" w:rsidP="00C76DDA">
      <w:pPr>
        <w:pStyle w:val="NICEnormal"/>
      </w:pPr>
    </w:p>
    <w:p w14:paraId="7BCC0912" w14:textId="77777777" w:rsidR="007A2801" w:rsidRDefault="007A2801">
      <w:pPr>
        <w:rPr>
          <w:rFonts w:ascii="Arial" w:hAnsi="Arial"/>
        </w:rPr>
      </w:pPr>
      <w:r>
        <w:br w:type="page"/>
      </w:r>
    </w:p>
    <w:p w14:paraId="5D84FD5C" w14:textId="77777777" w:rsidR="000F48EC" w:rsidRPr="000F48EC" w:rsidRDefault="00B379C5" w:rsidP="00F130AD">
      <w:pPr>
        <w:pStyle w:val="Numberedheading1"/>
      </w:pPr>
      <w:r>
        <w:lastRenderedPageBreak/>
        <w:t>Recommendations</w:t>
      </w:r>
    </w:p>
    <w:p w14:paraId="4C1D4F57" w14:textId="65A17EE5" w:rsidR="007A2801" w:rsidRPr="00981B9F" w:rsidRDefault="00EB4A35" w:rsidP="00F24288">
      <w:pPr>
        <w:pStyle w:val="Numberedlevel2text"/>
      </w:pPr>
      <w:proofErr w:type="spellStart"/>
      <w:r w:rsidRPr="00F24288">
        <w:rPr>
          <w:rStyle w:val="Numberedlevel2textChar"/>
          <w:lang w:val="en-US"/>
        </w:rPr>
        <w:t>Isatuximab</w:t>
      </w:r>
      <w:proofErr w:type="spellEnd"/>
      <w:r w:rsidRPr="00F24288">
        <w:rPr>
          <w:rStyle w:val="Numberedlevel2textChar"/>
          <w:lang w:val="en-US"/>
        </w:rPr>
        <w:t xml:space="preserve"> </w:t>
      </w:r>
      <w:r w:rsidR="00CC7EBB">
        <w:rPr>
          <w:rStyle w:val="Numberedlevel2textChar"/>
          <w:lang w:val="en-US"/>
        </w:rPr>
        <w:t>plus</w:t>
      </w:r>
      <w:r w:rsidRPr="00F24288">
        <w:rPr>
          <w:rStyle w:val="Numberedlevel2textChar"/>
          <w:lang w:val="en-US"/>
        </w:rPr>
        <w:t xml:space="preserve"> pomalidomide </w:t>
      </w:r>
      <w:r w:rsidR="00DD5D27">
        <w:rPr>
          <w:rStyle w:val="Numberedlevel2textChar"/>
          <w:lang w:val="en-US"/>
        </w:rPr>
        <w:t>and</w:t>
      </w:r>
      <w:r w:rsidR="00DD5D27" w:rsidRPr="00F24288">
        <w:rPr>
          <w:rStyle w:val="Numberedlevel2textChar"/>
          <w:lang w:val="en-US"/>
        </w:rPr>
        <w:t xml:space="preserve"> </w:t>
      </w:r>
      <w:r w:rsidRPr="00F24288">
        <w:rPr>
          <w:rStyle w:val="Numberedlevel2textChar"/>
          <w:lang w:val="en-US"/>
        </w:rPr>
        <w:t>dexamethasone</w:t>
      </w:r>
      <w:r w:rsidR="007A2801" w:rsidRPr="00981B9F">
        <w:t xml:space="preserve"> is not recommended</w:t>
      </w:r>
      <w:r w:rsidR="007A2801">
        <w:t>,</w:t>
      </w:r>
      <w:r w:rsidR="007A2801" w:rsidRPr="00981B9F">
        <w:t xml:space="preserve"> within its</w:t>
      </w:r>
      <w:r w:rsidR="004B49B0">
        <w:rPr>
          <w:lang w:val="en-US"/>
        </w:rPr>
        <w:t xml:space="preserve"> anticipated</w:t>
      </w:r>
      <w:r w:rsidR="007A2801" w:rsidRPr="00981B9F">
        <w:t xml:space="preserve"> marketing authorisation</w:t>
      </w:r>
      <w:r w:rsidR="007A2801">
        <w:t>,</w:t>
      </w:r>
      <w:r w:rsidR="007A2801" w:rsidRPr="00981B9F">
        <w:t xml:space="preserve"> for treating </w:t>
      </w:r>
      <w:r w:rsidRPr="00EB4A35">
        <w:t>relapsed and refractory multiple myeloma</w:t>
      </w:r>
      <w:r w:rsidR="007A2801">
        <w:t xml:space="preserve"> in </w:t>
      </w:r>
      <w:r w:rsidRPr="00F24288">
        <w:rPr>
          <w:rStyle w:val="Numberedlevel2textChar"/>
          <w:lang w:val="en-US"/>
        </w:rPr>
        <w:t>adults</w:t>
      </w:r>
      <w:r w:rsidR="00DD5D27">
        <w:rPr>
          <w:rStyle w:val="Numberedlevel2textChar"/>
          <w:lang w:val="en-US"/>
        </w:rPr>
        <w:t xml:space="preserve"> who have had at least 2</w:t>
      </w:r>
      <w:r w:rsidR="00E913FF">
        <w:rPr>
          <w:rStyle w:val="Numberedlevel2textChar"/>
          <w:lang w:val="en-US"/>
        </w:rPr>
        <w:t> </w:t>
      </w:r>
      <w:r w:rsidR="00DD5D27">
        <w:rPr>
          <w:rStyle w:val="Numberedlevel2textChar"/>
          <w:lang w:val="en-US"/>
        </w:rPr>
        <w:t>t</w:t>
      </w:r>
      <w:r w:rsidR="00412145">
        <w:rPr>
          <w:rStyle w:val="Numberedlevel2textChar"/>
          <w:lang w:val="en-US"/>
        </w:rPr>
        <w:t>reatments</w:t>
      </w:r>
      <w:r w:rsidR="00DD5D27">
        <w:rPr>
          <w:rStyle w:val="Numberedlevel2textChar"/>
          <w:lang w:val="en-US"/>
        </w:rPr>
        <w:t xml:space="preserve"> </w:t>
      </w:r>
      <w:r w:rsidR="00B2448E">
        <w:rPr>
          <w:rStyle w:val="Numberedlevel2textChar"/>
          <w:lang w:val="en-US"/>
        </w:rPr>
        <w:t>(</w:t>
      </w:r>
      <w:r w:rsidR="00DD5D27">
        <w:rPr>
          <w:rStyle w:val="Numberedlevel2textChar"/>
          <w:lang w:val="en-US"/>
        </w:rPr>
        <w:t>including lenalidomide and a proteasome inhibitor</w:t>
      </w:r>
      <w:r w:rsidR="00B2448E">
        <w:rPr>
          <w:rStyle w:val="Numberedlevel2textChar"/>
          <w:lang w:val="en-US"/>
        </w:rPr>
        <w:t>)</w:t>
      </w:r>
      <w:r w:rsidR="00DD5D27">
        <w:rPr>
          <w:rStyle w:val="Numberedlevel2textChar"/>
          <w:lang w:val="en-US"/>
        </w:rPr>
        <w:t xml:space="preserve"> and whose disease has progressed on the last t</w:t>
      </w:r>
      <w:r w:rsidR="00E913FF">
        <w:rPr>
          <w:rStyle w:val="Numberedlevel2textChar"/>
          <w:lang w:val="en-US"/>
        </w:rPr>
        <w:t>reatment</w:t>
      </w:r>
      <w:r w:rsidR="007A2801" w:rsidRPr="00981B9F">
        <w:t>.</w:t>
      </w:r>
    </w:p>
    <w:p w14:paraId="6B23CE71" w14:textId="03A3CEBD" w:rsidR="007A2801" w:rsidRPr="001C5513" w:rsidRDefault="002F2C1A" w:rsidP="000E4097">
      <w:pPr>
        <w:pStyle w:val="Numberedlevel2text"/>
      </w:pPr>
      <w:r w:rsidRPr="0009129B">
        <w:t>This</w:t>
      </w:r>
      <w:r>
        <w:t xml:space="preserve"> recommendation is</w:t>
      </w:r>
      <w:r w:rsidRPr="0009129B">
        <w:t xml:space="preserve"> not intended to affect </w:t>
      </w:r>
      <w:r w:rsidRPr="006A2D99">
        <w:t xml:space="preserve">treatment with </w:t>
      </w:r>
      <w:proofErr w:type="spellStart"/>
      <w:r w:rsidR="001D2CE6">
        <w:t>isatuximab</w:t>
      </w:r>
      <w:proofErr w:type="spellEnd"/>
      <w:r w:rsidR="001D2CE6">
        <w:t xml:space="preserve"> plus pomalidomide </w:t>
      </w:r>
      <w:r w:rsidR="00DD5D27">
        <w:rPr>
          <w:lang w:val="en-GB"/>
        </w:rPr>
        <w:t>and</w:t>
      </w:r>
      <w:r w:rsidR="001D2CE6">
        <w:t xml:space="preserve"> </w:t>
      </w:r>
      <w:r w:rsidR="0014600D">
        <w:t>dexamethasone</w:t>
      </w:r>
      <w:r w:rsidRPr="006A2D99">
        <w:t xml:space="preserve"> </w:t>
      </w:r>
      <w:r>
        <w:t xml:space="preserve">that </w:t>
      </w:r>
      <w:r w:rsidRPr="006A2D99">
        <w:t>was started in the NHS befo</w:t>
      </w:r>
      <w:r>
        <w:t xml:space="preserve">re this guidance was published. People having treatment outside this recommendation may </w:t>
      </w:r>
      <w:r w:rsidRPr="006A2D99">
        <w:t xml:space="preserve">continue </w:t>
      </w:r>
      <w:r>
        <w:t>without change to the funding arrangements in place for them before this guidance was published,</w:t>
      </w:r>
      <w:r w:rsidRPr="006A2D99">
        <w:t xml:space="preserve"> until they and their NHS clinician consider it appropriate to stop</w:t>
      </w:r>
      <w:r w:rsidRPr="007C0BAA">
        <w:t>.</w:t>
      </w:r>
    </w:p>
    <w:p w14:paraId="59B2BDDD" w14:textId="691A12C4" w:rsidR="00B8464A" w:rsidRPr="00283325" w:rsidRDefault="00C11F58" w:rsidP="00C52CE9">
      <w:pPr>
        <w:pStyle w:val="NICEnormal"/>
        <w:rPr>
          <w:b/>
        </w:rPr>
      </w:pPr>
      <w:r w:rsidRPr="008522C6">
        <w:rPr>
          <w:b/>
        </w:rPr>
        <w:t>Why the committee made these recommendations</w:t>
      </w:r>
    </w:p>
    <w:p w14:paraId="34416E8F" w14:textId="76B5EEF3" w:rsidR="009E2A4E" w:rsidRDefault="0004025F" w:rsidP="00C52CE9">
      <w:pPr>
        <w:pStyle w:val="NICEnormal"/>
      </w:pPr>
      <w:r>
        <w:t>The company</w:t>
      </w:r>
      <w:r w:rsidR="00520149">
        <w:t xml:space="preserve"> </w:t>
      </w:r>
      <w:r w:rsidR="009A73AB">
        <w:t>proposes</w:t>
      </w:r>
      <w:r w:rsidR="00EA09CF">
        <w:t xml:space="preserve"> </w:t>
      </w:r>
      <w:r w:rsidR="009A73AB">
        <w:t>that</w:t>
      </w:r>
      <w:r>
        <w:t xml:space="preserve"> </w:t>
      </w:r>
      <w:proofErr w:type="spellStart"/>
      <w:r>
        <w:t>i</w:t>
      </w:r>
      <w:r w:rsidR="00983D09">
        <w:t>satuximab</w:t>
      </w:r>
      <w:proofErr w:type="spellEnd"/>
      <w:r w:rsidR="00983D09">
        <w:t xml:space="preserve"> plus pomalidomide </w:t>
      </w:r>
      <w:r w:rsidR="00DD5D27">
        <w:t>and</w:t>
      </w:r>
      <w:r w:rsidR="00983D09">
        <w:t xml:space="preserve"> dexamethasone </w:t>
      </w:r>
      <w:r w:rsidR="009A73AB">
        <w:t xml:space="preserve">is </w:t>
      </w:r>
      <w:r w:rsidR="00895A35">
        <w:t xml:space="preserve">for </w:t>
      </w:r>
      <w:r w:rsidR="00147E28">
        <w:t xml:space="preserve">treating </w:t>
      </w:r>
      <w:r w:rsidR="006D1147">
        <w:t>multiple myeloma</w:t>
      </w:r>
      <w:r w:rsidR="007516DB">
        <w:t xml:space="preserve"> </w:t>
      </w:r>
      <w:r w:rsidR="00520149">
        <w:t xml:space="preserve">only </w:t>
      </w:r>
      <w:r w:rsidR="009A73AB">
        <w:t>in</w:t>
      </w:r>
      <w:r w:rsidR="007516DB">
        <w:t xml:space="preserve"> people who have had at least 3</w:t>
      </w:r>
      <w:r w:rsidR="00E913FF">
        <w:t> </w:t>
      </w:r>
      <w:r w:rsidR="007516DB">
        <w:t>t</w:t>
      </w:r>
      <w:r w:rsidR="00412145">
        <w:t>reatment</w:t>
      </w:r>
      <w:r w:rsidR="007516DB">
        <w:t>s</w:t>
      </w:r>
      <w:r>
        <w:t xml:space="preserve"> before</w:t>
      </w:r>
      <w:r w:rsidR="00B00F19">
        <w:t>.</w:t>
      </w:r>
      <w:r w:rsidR="00EE4140">
        <w:t xml:space="preserve"> </w:t>
      </w:r>
      <w:r w:rsidR="00895A35">
        <w:t>C</w:t>
      </w:r>
      <w:r w:rsidR="008A7EB7">
        <w:t>urrent treatment</w:t>
      </w:r>
      <w:r w:rsidR="000246A0">
        <w:t xml:space="preserve"> </w:t>
      </w:r>
      <w:r w:rsidR="008A7EB7">
        <w:t xml:space="preserve">at this point </w:t>
      </w:r>
      <w:r w:rsidR="000246A0">
        <w:t xml:space="preserve">is usually </w:t>
      </w:r>
      <w:r w:rsidR="00111120">
        <w:t xml:space="preserve">pomalidomide </w:t>
      </w:r>
      <w:r w:rsidR="00CA7286">
        <w:t>plus</w:t>
      </w:r>
      <w:r w:rsidR="00111120">
        <w:t xml:space="preserve"> dexamethasone, or daratumumab</w:t>
      </w:r>
      <w:r w:rsidR="00AC0153">
        <w:t xml:space="preserve"> </w:t>
      </w:r>
      <w:r w:rsidR="00E913FF">
        <w:t>alone (</w:t>
      </w:r>
      <w:r w:rsidR="001810F1">
        <w:t>in</w:t>
      </w:r>
      <w:r w:rsidR="00111120">
        <w:t xml:space="preserve"> the </w:t>
      </w:r>
      <w:r w:rsidR="008A7EB7">
        <w:t>C</w:t>
      </w:r>
      <w:r w:rsidR="00111120">
        <w:t xml:space="preserve">ancer </w:t>
      </w:r>
      <w:r w:rsidR="008A7EB7">
        <w:t>D</w:t>
      </w:r>
      <w:r w:rsidR="00111120">
        <w:t xml:space="preserve">rugs </w:t>
      </w:r>
      <w:r w:rsidR="008A7EB7">
        <w:t>F</w:t>
      </w:r>
      <w:r w:rsidR="00111120">
        <w:t>und</w:t>
      </w:r>
      <w:r w:rsidR="00E913FF">
        <w:t>)</w:t>
      </w:r>
      <w:r w:rsidR="00111120">
        <w:t>.</w:t>
      </w:r>
    </w:p>
    <w:p w14:paraId="654A7D01" w14:textId="3B2D0106" w:rsidR="00875DEB" w:rsidRDefault="00895A35" w:rsidP="00C52CE9">
      <w:pPr>
        <w:pStyle w:val="NICEnormal"/>
      </w:pPr>
      <w:r>
        <w:t xml:space="preserve">Clinical trial evidence </w:t>
      </w:r>
      <w:r w:rsidR="00EA09CF">
        <w:t>in this group</w:t>
      </w:r>
      <w:r w:rsidR="00983D09">
        <w:t xml:space="preserve"> </w:t>
      </w:r>
      <w:r w:rsidR="00E913FF">
        <w:t xml:space="preserve">suggests that </w:t>
      </w:r>
      <w:proofErr w:type="spellStart"/>
      <w:r w:rsidR="00983D09">
        <w:t>isatuximab</w:t>
      </w:r>
      <w:proofErr w:type="spellEnd"/>
      <w:r w:rsidR="00983D09">
        <w:t xml:space="preserve"> plus pomalidomide </w:t>
      </w:r>
      <w:r>
        <w:t xml:space="preserve">and </w:t>
      </w:r>
      <w:r w:rsidR="00983D09">
        <w:t xml:space="preserve">dexamethasone </w:t>
      </w:r>
      <w:r w:rsidR="008A7EB7">
        <w:t xml:space="preserve">delays </w:t>
      </w:r>
      <w:r w:rsidR="00FA7538">
        <w:t xml:space="preserve">the </w:t>
      </w:r>
      <w:r w:rsidR="008A7EB7">
        <w:t>disease progressi</w:t>
      </w:r>
      <w:r w:rsidR="007C01E6">
        <w:t>ng</w:t>
      </w:r>
      <w:r w:rsidR="00983D09">
        <w:t xml:space="preserve"> </w:t>
      </w:r>
      <w:r w:rsidR="005F7D5A">
        <w:t xml:space="preserve">and increases how long people live </w:t>
      </w:r>
      <w:r w:rsidR="00983D09">
        <w:t xml:space="preserve">compared </w:t>
      </w:r>
      <w:r w:rsidR="00875DEB">
        <w:t>with</w:t>
      </w:r>
      <w:r w:rsidR="00983D09">
        <w:t xml:space="preserve"> pomalidomide plus dexamethasone.</w:t>
      </w:r>
      <w:r w:rsidR="00875DEB">
        <w:t xml:space="preserve"> But the trial is not yet finished</w:t>
      </w:r>
      <w:r w:rsidR="00983D09">
        <w:t xml:space="preserve">, </w:t>
      </w:r>
      <w:r w:rsidR="00875DEB">
        <w:t xml:space="preserve">so </w:t>
      </w:r>
      <w:r w:rsidR="00C66FF9">
        <w:t xml:space="preserve">it is not certain </w:t>
      </w:r>
      <w:r w:rsidR="00F8563D">
        <w:t>how much</w:t>
      </w:r>
      <w:r w:rsidR="004B5100">
        <w:t xml:space="preserve"> </w:t>
      </w:r>
      <w:r w:rsidR="002936FD">
        <w:t xml:space="preserve">more </w:t>
      </w:r>
      <w:r w:rsidR="004B5100">
        <w:t xml:space="preserve">clinical benefit </w:t>
      </w:r>
      <w:proofErr w:type="spellStart"/>
      <w:r w:rsidR="004B5100" w:rsidRPr="004B5100">
        <w:t>isatuximab</w:t>
      </w:r>
      <w:proofErr w:type="spellEnd"/>
      <w:r w:rsidR="004B5100" w:rsidRPr="004B5100">
        <w:t xml:space="preserve"> plus pomalidomide and dexamethasone </w:t>
      </w:r>
      <w:r w:rsidR="00F8563D">
        <w:t xml:space="preserve">has </w:t>
      </w:r>
      <w:r w:rsidR="002936FD">
        <w:t>than</w:t>
      </w:r>
      <w:r w:rsidR="004B5100">
        <w:t xml:space="preserve"> pomalidomide plus dexamethasone.</w:t>
      </w:r>
    </w:p>
    <w:p w14:paraId="4920C3EC" w14:textId="16F084E8" w:rsidR="00870047" w:rsidRPr="00B8464A" w:rsidRDefault="00426A39" w:rsidP="00C52CE9">
      <w:pPr>
        <w:pStyle w:val="NICEnormal"/>
      </w:pPr>
      <w:r>
        <w:t>T</w:t>
      </w:r>
      <w:r w:rsidR="00FC63D4">
        <w:t xml:space="preserve">he </w:t>
      </w:r>
      <w:r w:rsidR="00EE4140">
        <w:t xml:space="preserve">most likely </w:t>
      </w:r>
      <w:r w:rsidR="00FC63D4">
        <w:t>cost</w:t>
      </w:r>
      <w:r w:rsidR="00B40E86">
        <w:t>-effectiveness</w:t>
      </w:r>
      <w:r w:rsidR="00FC63D4">
        <w:t xml:space="preserve"> </w:t>
      </w:r>
      <w:r w:rsidR="00E913FF">
        <w:t xml:space="preserve">estimates </w:t>
      </w:r>
      <w:r w:rsidR="00FC63D4">
        <w:t xml:space="preserve">for </w:t>
      </w:r>
      <w:bookmarkStart w:id="1" w:name="_Hlk40341286"/>
      <w:proofErr w:type="spellStart"/>
      <w:r w:rsidR="009E2A4E">
        <w:t>i</w:t>
      </w:r>
      <w:r w:rsidR="00FC63D4">
        <w:t>satuximab</w:t>
      </w:r>
      <w:proofErr w:type="spellEnd"/>
      <w:r w:rsidR="00FC63D4">
        <w:t xml:space="preserve"> plus pomalidomide </w:t>
      </w:r>
      <w:r w:rsidR="00875DEB">
        <w:t>and</w:t>
      </w:r>
      <w:r w:rsidR="00FC63D4">
        <w:t xml:space="preserve"> dexamethasone</w:t>
      </w:r>
      <w:bookmarkEnd w:id="1"/>
      <w:r w:rsidR="00FC63D4">
        <w:t xml:space="preserve"> are</w:t>
      </w:r>
      <w:r w:rsidR="00B72A48">
        <w:t xml:space="preserve"> </w:t>
      </w:r>
      <w:r w:rsidR="00875DEB">
        <w:t xml:space="preserve">much </w:t>
      </w:r>
      <w:r w:rsidR="00FC63D4">
        <w:t>higher than what NICE normally considers</w:t>
      </w:r>
      <w:r w:rsidR="00A60056">
        <w:t xml:space="preserve"> a cost-effective use of NHS resources. Therefore, </w:t>
      </w:r>
      <w:r w:rsidR="004A0007">
        <w:t>it</w:t>
      </w:r>
      <w:r w:rsidR="009E2A4E">
        <w:t xml:space="preserve"> is not recommended.</w:t>
      </w:r>
    </w:p>
    <w:p w14:paraId="392A9C41" w14:textId="1E5EB105" w:rsidR="00EA1CB1" w:rsidRDefault="00EA1CB1" w:rsidP="00EA1CB1">
      <w:pPr>
        <w:pStyle w:val="Numberedheading1"/>
        <w:keepLines/>
      </w:pPr>
      <w:r>
        <w:lastRenderedPageBreak/>
        <w:t xml:space="preserve">Information about </w:t>
      </w:r>
      <w:proofErr w:type="spellStart"/>
      <w:r w:rsidR="005A15E3">
        <w:t>i</w:t>
      </w:r>
      <w:r w:rsidR="00ED6449">
        <w:t>satuximab</w:t>
      </w:r>
      <w:proofErr w:type="spellEnd"/>
    </w:p>
    <w:p w14:paraId="32B942B4" w14:textId="5647F913" w:rsidR="00B82A82" w:rsidRDefault="004C401A" w:rsidP="00B82A82">
      <w:pPr>
        <w:pStyle w:val="Heading2"/>
      </w:pPr>
      <w:r>
        <w:t>A</w:t>
      </w:r>
      <w:r w:rsidR="00B82A82" w:rsidRPr="00A76391">
        <w:t>nticipated marketing authorisation indication</w:t>
      </w:r>
    </w:p>
    <w:p w14:paraId="781F0AD6" w14:textId="24276C49" w:rsidR="00B82A82" w:rsidRDefault="00B82A82" w:rsidP="00E00D4A">
      <w:pPr>
        <w:pStyle w:val="Numberedlevel2text"/>
        <w:numPr>
          <w:ilvl w:val="1"/>
          <w:numId w:val="1"/>
        </w:numPr>
      </w:pPr>
      <w:r w:rsidRPr="00331D9B">
        <w:t xml:space="preserve">On </w:t>
      </w:r>
      <w:r w:rsidR="009E5D3D" w:rsidRPr="00E00D4A">
        <w:rPr>
          <w:rStyle w:val="Numberedlevel2textChar"/>
          <w:lang w:val="en-US"/>
        </w:rPr>
        <w:t>26</w:t>
      </w:r>
      <w:r w:rsidR="00163E52" w:rsidRPr="00E00D4A">
        <w:rPr>
          <w:rStyle w:val="Numberedlevel2textChar"/>
          <w:lang w:val="en-US"/>
        </w:rPr>
        <w:t xml:space="preserve"> March 2020</w:t>
      </w:r>
      <w:r w:rsidRPr="00331D9B">
        <w:t xml:space="preserve"> the Committee for Medicinal Products for Human Use (CHMP) adopted a positive opinion, recommending </w:t>
      </w:r>
      <w:r w:rsidR="005A15E3">
        <w:rPr>
          <w:lang w:val="en-GB"/>
        </w:rPr>
        <w:t xml:space="preserve">the </w:t>
      </w:r>
      <w:r w:rsidRPr="00331D9B">
        <w:t xml:space="preserve">granting </w:t>
      </w:r>
      <w:r w:rsidR="005A15E3">
        <w:rPr>
          <w:lang w:val="en-GB"/>
        </w:rPr>
        <w:t>of</w:t>
      </w:r>
      <w:r w:rsidRPr="00331D9B">
        <w:t xml:space="preserve"> a marketing authorisation for the medicinal product</w:t>
      </w:r>
      <w:r w:rsidR="00163E52" w:rsidRPr="00E00D4A">
        <w:rPr>
          <w:rStyle w:val="Numberedlevel2textChar"/>
          <w:lang w:val="en-US"/>
        </w:rPr>
        <w:t xml:space="preserve"> </w:t>
      </w:r>
      <w:proofErr w:type="spellStart"/>
      <w:r w:rsidR="00163E52" w:rsidRPr="00E00D4A">
        <w:rPr>
          <w:rStyle w:val="Numberedlevel2textChar"/>
          <w:lang w:val="en-US"/>
        </w:rPr>
        <w:t>isatuximab</w:t>
      </w:r>
      <w:proofErr w:type="spellEnd"/>
      <w:r w:rsidR="00176876" w:rsidRPr="00E00D4A">
        <w:rPr>
          <w:rStyle w:val="Numberedlevel2textChar"/>
          <w:lang w:val="en-US"/>
        </w:rPr>
        <w:t xml:space="preserve"> (</w:t>
      </w:r>
      <w:proofErr w:type="spellStart"/>
      <w:r w:rsidR="00176876" w:rsidRPr="00E00D4A">
        <w:rPr>
          <w:rStyle w:val="Numberedlevel2textChar"/>
          <w:lang w:val="en-US"/>
        </w:rPr>
        <w:t>Sar</w:t>
      </w:r>
      <w:r w:rsidR="00486448">
        <w:rPr>
          <w:rStyle w:val="Numberedlevel2textChar"/>
          <w:lang w:val="en-US"/>
        </w:rPr>
        <w:t>c</w:t>
      </w:r>
      <w:r w:rsidR="00176876" w:rsidRPr="00E00D4A">
        <w:rPr>
          <w:rStyle w:val="Numberedlevel2textChar"/>
          <w:lang w:val="en-US"/>
        </w:rPr>
        <w:t>li</w:t>
      </w:r>
      <w:r w:rsidR="00486448">
        <w:rPr>
          <w:rStyle w:val="Numberedlevel2textChar"/>
          <w:lang w:val="en-US"/>
        </w:rPr>
        <w:t>s</w:t>
      </w:r>
      <w:r w:rsidR="00176876" w:rsidRPr="00E00D4A">
        <w:rPr>
          <w:rStyle w:val="Numberedlevel2textChar"/>
          <w:lang w:val="en-US"/>
        </w:rPr>
        <w:t>a</w:t>
      </w:r>
      <w:proofErr w:type="spellEnd"/>
      <w:r w:rsidR="00B2502C" w:rsidRPr="00E00D4A">
        <w:rPr>
          <w:rStyle w:val="Numberedlevel2textChar"/>
          <w:lang w:val="en-US"/>
        </w:rPr>
        <w:t>, Sanofi</w:t>
      </w:r>
      <w:r w:rsidR="00176876" w:rsidRPr="00E00D4A">
        <w:rPr>
          <w:rStyle w:val="Numberedlevel2textChar"/>
          <w:lang w:val="en-US"/>
        </w:rPr>
        <w:t>)</w:t>
      </w:r>
      <w:r w:rsidR="009E5D3D" w:rsidRPr="00E00D4A">
        <w:rPr>
          <w:rStyle w:val="Numberedlevel2textChar"/>
          <w:lang w:val="en-US"/>
        </w:rPr>
        <w:t xml:space="preserve"> </w:t>
      </w:r>
      <w:r w:rsidR="001D67F2">
        <w:rPr>
          <w:rStyle w:val="Numberedlevel2textChar"/>
          <w:lang w:val="en-US"/>
        </w:rPr>
        <w:t>‘</w:t>
      </w:r>
      <w:r w:rsidR="009E5D3D" w:rsidRPr="00E00D4A">
        <w:rPr>
          <w:rStyle w:val="Numberedlevel2textChar"/>
          <w:lang w:val="en-US"/>
        </w:rPr>
        <w:t>in combination with pomalidomide and dexamethasone</w:t>
      </w:r>
      <w:r w:rsidRPr="00331D9B">
        <w:t>,</w:t>
      </w:r>
      <w:r w:rsidR="00931FD2">
        <w:rPr>
          <w:lang w:val="en-GB"/>
        </w:rPr>
        <w:t xml:space="preserve"> </w:t>
      </w:r>
      <w:r w:rsidRPr="00331D9B">
        <w:t>in</w:t>
      </w:r>
      <w:r w:rsidR="00176876">
        <w:t>dicated</w:t>
      </w:r>
      <w:r w:rsidR="00176876" w:rsidRPr="00176876">
        <w:t xml:space="preserve"> for the treatment of adult patients with relapsed and refractory multiple myeloma who have received at least </w:t>
      </w:r>
      <w:r w:rsidR="008E0E98">
        <w:rPr>
          <w:lang w:val="en-GB"/>
        </w:rPr>
        <w:t>2</w:t>
      </w:r>
      <w:r w:rsidR="00C66FF9">
        <w:rPr>
          <w:lang w:val="en-GB"/>
        </w:rPr>
        <w:t> </w:t>
      </w:r>
      <w:r w:rsidR="00176876" w:rsidRPr="00176876">
        <w:t>prior therapies including lenalidomide and a proteasome inhibitor and have demonstrated disease progression on the last therapy</w:t>
      </w:r>
      <w:r w:rsidR="00931FD2">
        <w:rPr>
          <w:lang w:val="en-GB"/>
        </w:rPr>
        <w:t>’</w:t>
      </w:r>
      <w:r w:rsidR="00151D37">
        <w:rPr>
          <w:lang w:val="en-US"/>
        </w:rPr>
        <w:t>.</w:t>
      </w:r>
    </w:p>
    <w:p w14:paraId="59EFA2B6" w14:textId="77777777" w:rsidR="00B82A82" w:rsidRDefault="00B82A82" w:rsidP="00B82A82">
      <w:pPr>
        <w:pStyle w:val="Heading2"/>
      </w:pPr>
      <w:r>
        <w:t>Dosage in the marketing authorisation</w:t>
      </w:r>
    </w:p>
    <w:p w14:paraId="5941FA68" w14:textId="323695F7" w:rsidR="00B82A82" w:rsidRPr="00570524" w:rsidRDefault="00FE2CE3" w:rsidP="007137D9">
      <w:pPr>
        <w:pStyle w:val="Numberedlevel2text"/>
        <w:numPr>
          <w:ilvl w:val="1"/>
          <w:numId w:val="1"/>
        </w:numPr>
        <w:rPr>
          <w:rStyle w:val="Numberedlevel2textChar"/>
        </w:rPr>
      </w:pPr>
      <w:r w:rsidRPr="00570524">
        <w:rPr>
          <w:lang w:val="en-GB"/>
        </w:rPr>
        <w:t xml:space="preserve">The dosage schedule </w:t>
      </w:r>
      <w:r w:rsidR="000D2B43">
        <w:rPr>
          <w:lang w:val="en-GB"/>
        </w:rPr>
        <w:t>will be</w:t>
      </w:r>
      <w:r w:rsidR="00570524" w:rsidRPr="00570524">
        <w:rPr>
          <w:lang w:val="en-GB"/>
        </w:rPr>
        <w:t xml:space="preserve"> available in </w:t>
      </w:r>
      <w:r w:rsidR="00570524">
        <w:rPr>
          <w:lang w:val="en-GB"/>
        </w:rPr>
        <w:t>the summary of product characteristics</w:t>
      </w:r>
      <w:r w:rsidR="00A932AA">
        <w:rPr>
          <w:lang w:val="en-GB"/>
        </w:rPr>
        <w:t>.</w:t>
      </w:r>
    </w:p>
    <w:p w14:paraId="53303CE6" w14:textId="77777777" w:rsidR="00B82A82" w:rsidRDefault="00B82A82" w:rsidP="00B82A82">
      <w:pPr>
        <w:pStyle w:val="Heading2"/>
      </w:pPr>
      <w:r>
        <w:t>Price</w:t>
      </w:r>
    </w:p>
    <w:p w14:paraId="55ADD5E1" w14:textId="63DAF194" w:rsidR="00B82A82" w:rsidRPr="00EE4140" w:rsidRDefault="00EE4140" w:rsidP="00EE4140">
      <w:pPr>
        <w:pStyle w:val="Numberedlevel2text"/>
        <w:numPr>
          <w:ilvl w:val="1"/>
          <w:numId w:val="1"/>
        </w:numPr>
      </w:pPr>
      <w:r>
        <w:rPr>
          <w:rStyle w:val="NICEnormalChar"/>
        </w:rPr>
        <w:t xml:space="preserve">The list price for </w:t>
      </w:r>
      <w:proofErr w:type="spellStart"/>
      <w:r>
        <w:rPr>
          <w:rStyle w:val="NICEnormalChar"/>
        </w:rPr>
        <w:t>isatuximab</w:t>
      </w:r>
      <w:proofErr w:type="spellEnd"/>
      <w:r>
        <w:rPr>
          <w:rStyle w:val="NICEnormalChar"/>
        </w:rPr>
        <w:t xml:space="preserve"> </w:t>
      </w:r>
      <w:r w:rsidR="00B35858">
        <w:rPr>
          <w:rStyle w:val="NICEnormalChar"/>
        </w:rPr>
        <w:t>will be available after the marketing authorisation has been received</w:t>
      </w:r>
      <w:r>
        <w:rPr>
          <w:rStyle w:val="NICEnormalChar"/>
        </w:rPr>
        <w:t>.</w:t>
      </w:r>
      <w:bookmarkStart w:id="2" w:name="_Hlk24530292"/>
      <w:r>
        <w:rPr>
          <w:rStyle w:val="NICEnormalChar"/>
        </w:rPr>
        <w:t xml:space="preserve"> </w:t>
      </w:r>
      <w:r w:rsidR="00B82A82">
        <w:t>The company has a commercial arrangement</w:t>
      </w:r>
      <w:r w:rsidR="008E0E98">
        <w:rPr>
          <w:lang w:val="en-GB"/>
        </w:rPr>
        <w:t xml:space="preserve">, </w:t>
      </w:r>
      <w:r w:rsidR="00B82A82">
        <w:t xml:space="preserve">which would have applied </w:t>
      </w:r>
      <w:r w:rsidR="007516DB">
        <w:rPr>
          <w:lang w:val="en-GB"/>
        </w:rPr>
        <w:t>if</w:t>
      </w:r>
      <w:r w:rsidR="008E0E98">
        <w:t xml:space="preserve"> </w:t>
      </w:r>
      <w:r w:rsidR="00B82A82">
        <w:t xml:space="preserve">the technology </w:t>
      </w:r>
      <w:r w:rsidR="007516DB">
        <w:rPr>
          <w:lang w:val="en-GB"/>
        </w:rPr>
        <w:t xml:space="preserve">had </w:t>
      </w:r>
      <w:r w:rsidR="00B82A82">
        <w:t>been recommended.</w:t>
      </w:r>
    </w:p>
    <w:bookmarkEnd w:id="2"/>
    <w:p w14:paraId="19F929F9" w14:textId="267C9055" w:rsidR="00F130AD" w:rsidRDefault="00222BEA" w:rsidP="00F130AD">
      <w:pPr>
        <w:pStyle w:val="Numberedheading1"/>
      </w:pPr>
      <w:r w:rsidRPr="000F48EC">
        <w:t>Co</w:t>
      </w:r>
      <w:r>
        <w:t>mmittee discussion</w:t>
      </w:r>
    </w:p>
    <w:p w14:paraId="5C710138" w14:textId="1771E23F" w:rsidR="007516DB" w:rsidRDefault="007516DB" w:rsidP="009F3CC9">
      <w:pPr>
        <w:pStyle w:val="NICEnormal"/>
      </w:pPr>
      <w:r w:rsidRPr="007D7F83">
        <w:t xml:space="preserve">The </w:t>
      </w:r>
      <w:r>
        <w:t>a</w:t>
      </w:r>
      <w:r w:rsidRPr="007D7F83">
        <w:t xml:space="preserve">ppraisal </w:t>
      </w:r>
      <w:r>
        <w:t>c</w:t>
      </w:r>
      <w:r w:rsidRPr="007D7F83">
        <w:t xml:space="preserve">ommittee </w:t>
      </w:r>
      <w:r>
        <w:t>(section</w:t>
      </w:r>
      <w:r w:rsidR="00F8563D">
        <w:t> </w:t>
      </w:r>
      <w:r>
        <w:t xml:space="preserve">5) </w:t>
      </w:r>
      <w:r w:rsidRPr="007D7F83">
        <w:t xml:space="preserve">considered evidence submitted by </w:t>
      </w:r>
      <w:r>
        <w:t>Sanofi,</w:t>
      </w:r>
      <w:r w:rsidRPr="00981B9F">
        <w:t xml:space="preserve"> </w:t>
      </w:r>
      <w:r w:rsidRPr="007D7F83">
        <w:t xml:space="preserve">a review of this submission by the </w:t>
      </w:r>
      <w:r>
        <w:t>e</w:t>
      </w:r>
      <w:r w:rsidRPr="007D7F83">
        <w:t xml:space="preserve">vidence </w:t>
      </w:r>
      <w:r>
        <w:t>r</w:t>
      </w:r>
      <w:r w:rsidRPr="007D7F83">
        <w:t xml:space="preserve">eview </w:t>
      </w:r>
      <w:r>
        <w:t>g</w:t>
      </w:r>
      <w:r w:rsidRPr="007D7F83">
        <w:t>roup (ERG)</w:t>
      </w:r>
      <w:r>
        <w:t>, the technical report, and responses from stakeholders</w:t>
      </w:r>
      <w:r w:rsidRPr="007D7F83">
        <w:t>.</w:t>
      </w:r>
      <w:r>
        <w:t xml:space="preserve"> See the </w:t>
      </w:r>
      <w:hyperlink r:id="rId10" w:history="1">
        <w:r>
          <w:rPr>
            <w:rStyle w:val="Hyperlink"/>
          </w:rPr>
          <w:t>committee papers</w:t>
        </w:r>
      </w:hyperlink>
      <w:r>
        <w:t xml:space="preserve"> for full details of the evidence</w:t>
      </w:r>
      <w:r w:rsidRPr="000F2D8A">
        <w:t>.</w:t>
      </w:r>
    </w:p>
    <w:p w14:paraId="14E49C6D" w14:textId="0BA02E46" w:rsidR="009F3CC9" w:rsidRDefault="009F3CC9" w:rsidP="009F3CC9">
      <w:pPr>
        <w:pStyle w:val="NICEnormal"/>
      </w:pPr>
      <w:r>
        <w:t>The appraisal committee was aware that several issues were resolved during the technical engagement stage, and agreed that:</w:t>
      </w:r>
    </w:p>
    <w:p w14:paraId="2151CD47" w14:textId="0701476F" w:rsidR="009F3CC9" w:rsidRDefault="009F3CC9" w:rsidP="009F3CC9">
      <w:pPr>
        <w:pStyle w:val="Bulletleft1"/>
      </w:pPr>
      <w:r w:rsidRPr="0067004D">
        <w:t>The model time horizon should be 20</w:t>
      </w:r>
      <w:r w:rsidR="007516DB">
        <w:t> </w:t>
      </w:r>
      <w:r w:rsidRPr="0067004D">
        <w:t xml:space="preserve">years to capture all benefits and costs </w:t>
      </w:r>
      <w:r w:rsidR="009C2BD5">
        <w:t>of</w:t>
      </w:r>
      <w:r w:rsidRPr="0067004D">
        <w:t xml:space="preserve"> the intervention and the comparators.</w:t>
      </w:r>
    </w:p>
    <w:p w14:paraId="5A3CE1CD" w14:textId="62533184" w:rsidR="009F3CC9" w:rsidRDefault="009F3CC9" w:rsidP="009F3CC9">
      <w:pPr>
        <w:pStyle w:val="Bulletleft1"/>
      </w:pPr>
      <w:r>
        <w:lastRenderedPageBreak/>
        <w:t xml:space="preserve">The company’s amendment to the probabilistic sampling of health utility data, which ensures the utility value for the </w:t>
      </w:r>
      <w:r w:rsidR="004B5100">
        <w:t>progressed disease</w:t>
      </w:r>
      <w:r>
        <w:t xml:space="preserve"> health state does not exceed the utility value for the </w:t>
      </w:r>
      <w:r w:rsidR="004B5100">
        <w:t>progression-free</w:t>
      </w:r>
      <w:r>
        <w:t xml:space="preserve"> disease health state, is appropriate.</w:t>
      </w:r>
    </w:p>
    <w:p w14:paraId="6CAF5A79" w14:textId="6C5220BA" w:rsidR="009F3CC9" w:rsidRDefault="009F3CC9" w:rsidP="00426A39">
      <w:pPr>
        <w:pStyle w:val="Bulletleft1last"/>
      </w:pPr>
      <w:r>
        <w:t xml:space="preserve">The company’s amendment to </w:t>
      </w:r>
      <w:r w:rsidR="00E34E89">
        <w:t xml:space="preserve">its </w:t>
      </w:r>
      <w:r>
        <w:t>model</w:t>
      </w:r>
      <w:r w:rsidR="007516DB">
        <w:t>,</w:t>
      </w:r>
      <w:r>
        <w:t xml:space="preserve"> which applies drug costs at the start of each cycle</w:t>
      </w:r>
      <w:r w:rsidR="00412145">
        <w:t>,</w:t>
      </w:r>
      <w:r>
        <w:t xml:space="preserve"> is appropriate.</w:t>
      </w:r>
    </w:p>
    <w:p w14:paraId="13B9C17B" w14:textId="25BE743C" w:rsidR="009F3CC9" w:rsidRPr="009F3CC9" w:rsidRDefault="00B42EFA" w:rsidP="009F3CC9">
      <w:pPr>
        <w:pStyle w:val="NICEnormal"/>
        <w:ind w:left="60"/>
      </w:pPr>
      <w:r>
        <w:t>The committee</w:t>
      </w:r>
      <w:r w:rsidR="009F3CC9">
        <w:t xml:space="preserve"> recognised that there were remaining areas of uncertainty associated with the analyses presented (see technical report, table</w:t>
      </w:r>
      <w:r w:rsidR="009C2BD5">
        <w:t> </w:t>
      </w:r>
      <w:r w:rsidR="009F3CC9">
        <w:t>4, page</w:t>
      </w:r>
      <w:r w:rsidR="00534AAA">
        <w:t xml:space="preserve"> </w:t>
      </w:r>
      <w:r w:rsidR="00B74DB8">
        <w:t>40</w:t>
      </w:r>
      <w:r w:rsidR="009F3CC9">
        <w:t>), and took these into account in its decision making. It discussed the issues which were outstanding after the technical engagement stage.</w:t>
      </w:r>
    </w:p>
    <w:p w14:paraId="0B0799EE" w14:textId="5B9C8553" w:rsidR="006C2256" w:rsidRPr="006C2256" w:rsidRDefault="00412145" w:rsidP="004E15AB">
      <w:pPr>
        <w:pStyle w:val="Heading2"/>
      </w:pPr>
      <w:r>
        <w:t>T</w:t>
      </w:r>
      <w:r w:rsidR="00393174">
        <w:t>he condition</w:t>
      </w:r>
    </w:p>
    <w:p w14:paraId="65B5E269" w14:textId="1EB39C7E" w:rsidR="007975E9" w:rsidRDefault="00F75567" w:rsidP="007975E9">
      <w:pPr>
        <w:pStyle w:val="Heading3"/>
      </w:pPr>
      <w:r>
        <w:t>P</w:t>
      </w:r>
      <w:r w:rsidR="00C564A7">
        <w:t xml:space="preserve">eople with </w:t>
      </w:r>
      <w:r w:rsidR="002E0320">
        <w:t xml:space="preserve">relapsed and refractory </w:t>
      </w:r>
      <w:r w:rsidR="00C564A7">
        <w:t xml:space="preserve">multiple myeloma </w:t>
      </w:r>
      <w:r w:rsidR="00412145">
        <w:t xml:space="preserve">would </w:t>
      </w:r>
      <w:r w:rsidR="00C564A7">
        <w:t>welcome</w:t>
      </w:r>
      <w:r w:rsidR="006F7F31">
        <w:t xml:space="preserve"> a</w:t>
      </w:r>
      <w:r w:rsidR="00C564A7">
        <w:t xml:space="preserve"> new</w:t>
      </w:r>
      <w:r w:rsidR="006F7F31">
        <w:t xml:space="preserve"> effective treatment option</w:t>
      </w:r>
    </w:p>
    <w:p w14:paraId="73B7A8F4" w14:textId="14B5BD28" w:rsidR="008F373B" w:rsidRDefault="007C01E6" w:rsidP="00B33576">
      <w:pPr>
        <w:pStyle w:val="Numberedlevel2text"/>
      </w:pPr>
      <w:r>
        <w:rPr>
          <w:lang w:val="en-US"/>
        </w:rPr>
        <w:t>M</w:t>
      </w:r>
      <w:proofErr w:type="spellStart"/>
      <w:r w:rsidR="007429D1">
        <w:t>ultiple</w:t>
      </w:r>
      <w:proofErr w:type="spellEnd"/>
      <w:r w:rsidR="00ED4A9B">
        <w:t xml:space="preserve"> myeloma is a</w:t>
      </w:r>
      <w:r w:rsidR="00452801">
        <w:t xml:space="preserve">n incurable </w:t>
      </w:r>
      <w:r w:rsidR="00925043">
        <w:rPr>
          <w:lang w:val="en-US"/>
        </w:rPr>
        <w:t>and progressive</w:t>
      </w:r>
      <w:r w:rsidR="006F7F31">
        <w:rPr>
          <w:lang w:val="en-US"/>
        </w:rPr>
        <w:t xml:space="preserve"> condition that affects survival and quality of life. The patient experts explained that </w:t>
      </w:r>
      <w:r>
        <w:rPr>
          <w:lang w:val="en-GB"/>
        </w:rPr>
        <w:t>it</w:t>
      </w:r>
      <w:r w:rsidR="006F7F31">
        <w:t xml:space="preserve"> </w:t>
      </w:r>
      <w:r w:rsidR="00FE144F">
        <w:rPr>
          <w:lang w:val="en-GB"/>
        </w:rPr>
        <w:t>causes</w:t>
      </w:r>
      <w:r w:rsidR="006F7F31">
        <w:t xml:space="preserve"> severe symptoms</w:t>
      </w:r>
      <w:r w:rsidR="001041C6">
        <w:rPr>
          <w:lang w:val="en-GB"/>
        </w:rPr>
        <w:t>, which</w:t>
      </w:r>
      <w:r w:rsidR="006F7F31">
        <w:t xml:space="preserve"> have a significant impact on patients’ quality of </w:t>
      </w:r>
      <w:r w:rsidR="005559C4">
        <w:t>life</w:t>
      </w:r>
      <w:r w:rsidR="005559C4">
        <w:rPr>
          <w:lang w:val="en-GB"/>
        </w:rPr>
        <w:t xml:space="preserve"> and</w:t>
      </w:r>
      <w:r w:rsidR="006F7F31">
        <w:t xml:space="preserve"> </w:t>
      </w:r>
      <w:r w:rsidR="00732BFC">
        <w:rPr>
          <w:lang w:val="en-US"/>
        </w:rPr>
        <w:t>are</w:t>
      </w:r>
      <w:r w:rsidR="006F7F31">
        <w:t xml:space="preserve"> also challenging for carers. They highlighted the psychological impact</w:t>
      </w:r>
      <w:r w:rsidR="00A50572">
        <w:rPr>
          <w:lang w:val="en-US"/>
        </w:rPr>
        <w:t xml:space="preserve"> </w:t>
      </w:r>
      <w:r w:rsidR="004D1498">
        <w:rPr>
          <w:lang w:val="en-US"/>
        </w:rPr>
        <w:t xml:space="preserve">for </w:t>
      </w:r>
      <w:r w:rsidR="006F7F31">
        <w:t>patients</w:t>
      </w:r>
      <w:r w:rsidR="00A50572">
        <w:rPr>
          <w:lang w:val="en-US"/>
        </w:rPr>
        <w:t xml:space="preserve"> approach</w:t>
      </w:r>
      <w:r w:rsidR="00291FF6">
        <w:rPr>
          <w:lang w:val="en-US"/>
        </w:rPr>
        <w:t>ing</w:t>
      </w:r>
      <w:r w:rsidR="00991D74">
        <w:rPr>
          <w:lang w:val="en-GB"/>
        </w:rPr>
        <w:t xml:space="preserve"> </w:t>
      </w:r>
      <w:r w:rsidR="006F7F31">
        <w:t>the end of the treatment pathway</w:t>
      </w:r>
      <w:r w:rsidR="00291FF6">
        <w:rPr>
          <w:lang w:val="en-GB"/>
        </w:rPr>
        <w:t>,</w:t>
      </w:r>
      <w:r w:rsidR="00A50572">
        <w:rPr>
          <w:lang w:val="en-US"/>
        </w:rPr>
        <w:t xml:space="preserve"> where</w:t>
      </w:r>
      <w:r w:rsidR="006F7F31">
        <w:t xml:space="preserve"> further treatment options a</w:t>
      </w:r>
      <w:r w:rsidR="00A50572">
        <w:rPr>
          <w:lang w:val="en-US"/>
        </w:rPr>
        <w:t>re limited</w:t>
      </w:r>
      <w:r w:rsidR="006F7F31">
        <w:t xml:space="preserve">. </w:t>
      </w:r>
      <w:r w:rsidR="008D0696">
        <w:rPr>
          <w:lang w:val="en-US"/>
        </w:rPr>
        <w:t>The committee w</w:t>
      </w:r>
      <w:r w:rsidR="0067111D">
        <w:rPr>
          <w:lang w:val="en-US"/>
        </w:rPr>
        <w:t>as</w:t>
      </w:r>
      <w:r w:rsidR="008D0696">
        <w:rPr>
          <w:lang w:val="en-US"/>
        </w:rPr>
        <w:t xml:space="preserve"> aware that </w:t>
      </w:r>
      <w:r w:rsidR="00370AAA">
        <w:rPr>
          <w:lang w:val="en-US"/>
        </w:rPr>
        <w:t xml:space="preserve">clinicians value </w:t>
      </w:r>
      <w:r w:rsidR="008D0696">
        <w:rPr>
          <w:lang w:val="en-US"/>
        </w:rPr>
        <w:t>having</w:t>
      </w:r>
      <w:r w:rsidR="008D0696">
        <w:t xml:space="preserve"> a range of different treatment options</w:t>
      </w:r>
      <w:r w:rsidR="008D0696">
        <w:rPr>
          <w:lang w:val="en-US"/>
        </w:rPr>
        <w:t xml:space="preserve"> </w:t>
      </w:r>
      <w:r w:rsidR="00F243CF">
        <w:rPr>
          <w:lang w:val="en-US"/>
        </w:rPr>
        <w:t>for</w:t>
      </w:r>
      <w:r w:rsidR="00370AAA">
        <w:rPr>
          <w:lang w:val="en-US"/>
        </w:rPr>
        <w:t xml:space="preserve"> patients</w:t>
      </w:r>
      <w:r w:rsidR="008D0696">
        <w:rPr>
          <w:lang w:val="en-US"/>
        </w:rPr>
        <w:t>.</w:t>
      </w:r>
      <w:r w:rsidR="008D0696" w:rsidDel="006F7F31">
        <w:rPr>
          <w:lang w:val="en-US"/>
        </w:rPr>
        <w:t xml:space="preserve"> </w:t>
      </w:r>
      <w:r w:rsidR="00370AAA">
        <w:rPr>
          <w:lang w:val="en-US"/>
        </w:rPr>
        <w:t xml:space="preserve">One </w:t>
      </w:r>
      <w:r w:rsidR="008D0696">
        <w:rPr>
          <w:lang w:val="en-US"/>
        </w:rPr>
        <w:t xml:space="preserve">patient expert noted that </w:t>
      </w:r>
      <w:r w:rsidR="00F243CF">
        <w:rPr>
          <w:lang w:val="en-US"/>
        </w:rPr>
        <w:t>although</w:t>
      </w:r>
      <w:r w:rsidR="008D0696">
        <w:rPr>
          <w:lang w:val="en-US"/>
        </w:rPr>
        <w:t xml:space="preserve"> some treatments are oral </w:t>
      </w:r>
      <w:r w:rsidR="00991D74">
        <w:rPr>
          <w:lang w:val="en-US"/>
        </w:rPr>
        <w:t>and</w:t>
      </w:r>
      <w:r w:rsidR="00370AAA">
        <w:rPr>
          <w:lang w:val="en-US"/>
        </w:rPr>
        <w:t xml:space="preserve"> people can take </w:t>
      </w:r>
      <w:r w:rsidR="00991D74">
        <w:rPr>
          <w:lang w:val="en-US"/>
        </w:rPr>
        <w:t xml:space="preserve">them </w:t>
      </w:r>
      <w:r w:rsidR="00370AAA">
        <w:rPr>
          <w:lang w:val="en-US"/>
        </w:rPr>
        <w:t>at home</w:t>
      </w:r>
      <w:r w:rsidR="008D0696">
        <w:rPr>
          <w:lang w:val="en-US"/>
        </w:rPr>
        <w:t xml:space="preserve">, some </w:t>
      </w:r>
      <w:r w:rsidR="00370AAA">
        <w:rPr>
          <w:lang w:val="en-US"/>
        </w:rPr>
        <w:t xml:space="preserve">people </w:t>
      </w:r>
      <w:r w:rsidR="008D0696">
        <w:rPr>
          <w:lang w:val="en-US"/>
        </w:rPr>
        <w:t xml:space="preserve">prefer to </w:t>
      </w:r>
      <w:r w:rsidR="00F243CF">
        <w:rPr>
          <w:lang w:val="en-US"/>
        </w:rPr>
        <w:t xml:space="preserve">have </w:t>
      </w:r>
      <w:r w:rsidR="008D0696">
        <w:rPr>
          <w:lang w:val="en-US"/>
        </w:rPr>
        <w:t xml:space="preserve">their treatment in hospital. </w:t>
      </w:r>
      <w:r w:rsidR="00370AAA">
        <w:rPr>
          <w:lang w:val="en-US"/>
        </w:rPr>
        <w:t xml:space="preserve">He </w:t>
      </w:r>
      <w:r w:rsidR="008D0696">
        <w:rPr>
          <w:lang w:val="en-US"/>
        </w:rPr>
        <w:t>also highlighted that</w:t>
      </w:r>
      <w:r w:rsidR="0044198F">
        <w:t xml:space="preserve"> </w:t>
      </w:r>
      <w:r w:rsidR="00370AAA">
        <w:rPr>
          <w:lang w:val="en-GB"/>
        </w:rPr>
        <w:t xml:space="preserve">patients value </w:t>
      </w:r>
      <w:r w:rsidR="00286D69">
        <w:t xml:space="preserve">treatments </w:t>
      </w:r>
      <w:r w:rsidR="00021649">
        <w:rPr>
          <w:lang w:val="en-US"/>
        </w:rPr>
        <w:t>that</w:t>
      </w:r>
      <w:r w:rsidR="00286D69">
        <w:t xml:space="preserve"> </w:t>
      </w:r>
      <w:r w:rsidR="00370AAA">
        <w:rPr>
          <w:lang w:val="en-GB"/>
        </w:rPr>
        <w:t xml:space="preserve">delay </w:t>
      </w:r>
      <w:r w:rsidR="00F243CF">
        <w:rPr>
          <w:lang w:val="en-GB"/>
        </w:rPr>
        <w:t>the</w:t>
      </w:r>
      <w:r w:rsidR="00370AAA">
        <w:rPr>
          <w:lang w:val="en-GB"/>
        </w:rPr>
        <w:t xml:space="preserve"> disease </w:t>
      </w:r>
      <w:r w:rsidR="00F37F33">
        <w:t>progressi</w:t>
      </w:r>
      <w:r w:rsidR="00F243CF">
        <w:rPr>
          <w:lang w:val="en-GB"/>
        </w:rPr>
        <w:t>ng</w:t>
      </w:r>
      <w:r w:rsidR="009666C2">
        <w:rPr>
          <w:lang w:val="en-GB"/>
        </w:rPr>
        <w:t>, which</w:t>
      </w:r>
      <w:r w:rsidR="0067111D">
        <w:rPr>
          <w:lang w:val="en-US"/>
        </w:rPr>
        <w:t xml:space="preserve"> outweigh</w:t>
      </w:r>
      <w:r w:rsidR="00724ABE">
        <w:rPr>
          <w:lang w:val="en-US"/>
        </w:rPr>
        <w:t>s</w:t>
      </w:r>
      <w:r w:rsidR="0067111D">
        <w:rPr>
          <w:lang w:val="en-US"/>
        </w:rPr>
        <w:t xml:space="preserve"> </w:t>
      </w:r>
      <w:r w:rsidR="00F243CF">
        <w:rPr>
          <w:lang w:val="en-US"/>
        </w:rPr>
        <w:t xml:space="preserve">the </w:t>
      </w:r>
      <w:r w:rsidR="0067111D">
        <w:rPr>
          <w:lang w:val="en-US"/>
        </w:rPr>
        <w:t xml:space="preserve">negative impact of </w:t>
      </w:r>
      <w:r w:rsidR="00BF11EF">
        <w:rPr>
          <w:lang w:val="en-US"/>
        </w:rPr>
        <w:t xml:space="preserve">their </w:t>
      </w:r>
      <w:r w:rsidR="007D374F">
        <w:rPr>
          <w:lang w:val="en-US"/>
        </w:rPr>
        <w:t>side effects</w:t>
      </w:r>
      <w:r w:rsidR="0067111D">
        <w:rPr>
          <w:lang w:val="en-US"/>
        </w:rPr>
        <w:t>.</w:t>
      </w:r>
      <w:r w:rsidR="00393174">
        <w:t xml:space="preserve"> </w:t>
      </w:r>
      <w:r w:rsidR="002E0320" w:rsidRPr="002E0320">
        <w:t xml:space="preserve">The committee </w:t>
      </w:r>
      <w:proofErr w:type="spellStart"/>
      <w:r w:rsidR="006F7F31">
        <w:rPr>
          <w:lang w:val="en-US"/>
        </w:rPr>
        <w:t>recognised</w:t>
      </w:r>
      <w:proofErr w:type="spellEnd"/>
      <w:r w:rsidR="006F7F31">
        <w:rPr>
          <w:lang w:val="en-US"/>
        </w:rPr>
        <w:t xml:space="preserve"> the need for effective treatment options for </w:t>
      </w:r>
      <w:r w:rsidR="007D374F">
        <w:rPr>
          <w:lang w:val="en-US"/>
        </w:rPr>
        <w:t xml:space="preserve">previously treated </w:t>
      </w:r>
      <w:r w:rsidR="006F7F31">
        <w:rPr>
          <w:lang w:val="en-US"/>
        </w:rPr>
        <w:t>multiple myeloma</w:t>
      </w:r>
      <w:r w:rsidR="00C17ADB">
        <w:rPr>
          <w:lang w:val="en-US"/>
        </w:rPr>
        <w:t>,</w:t>
      </w:r>
      <w:r w:rsidR="006F7F31">
        <w:rPr>
          <w:lang w:val="en-US"/>
        </w:rPr>
        <w:t xml:space="preserve"> and </w:t>
      </w:r>
      <w:r w:rsidR="002E0320" w:rsidRPr="002E0320">
        <w:t>concluded that people would welcome new treatment</w:t>
      </w:r>
      <w:r w:rsidR="006F7F31">
        <w:rPr>
          <w:lang w:val="en-US"/>
        </w:rPr>
        <w:t xml:space="preserve"> options.</w:t>
      </w:r>
    </w:p>
    <w:p w14:paraId="65D30165" w14:textId="7FA3287A" w:rsidR="00393174" w:rsidRDefault="00393174" w:rsidP="00D067FB">
      <w:pPr>
        <w:pStyle w:val="Heading2"/>
      </w:pPr>
      <w:r>
        <w:lastRenderedPageBreak/>
        <w:t>Treatment pathway</w:t>
      </w:r>
    </w:p>
    <w:p w14:paraId="3154C74F" w14:textId="484BD302" w:rsidR="001F6394" w:rsidRDefault="001F6394" w:rsidP="001F6394">
      <w:pPr>
        <w:pStyle w:val="Heading3"/>
      </w:pPr>
      <w:r>
        <w:t xml:space="preserve">The treatment pathway for multiple myeloma </w:t>
      </w:r>
      <w:r w:rsidR="00C9269B">
        <w:t xml:space="preserve">is </w:t>
      </w:r>
      <w:r w:rsidR="007D54D3">
        <w:t>rapidly evolving</w:t>
      </w:r>
    </w:p>
    <w:p w14:paraId="6B74A77A" w14:textId="21D2B0DB" w:rsidR="009C2BD5" w:rsidRPr="00155F42" w:rsidRDefault="002E0320" w:rsidP="00967A9B">
      <w:pPr>
        <w:pStyle w:val="Numberedlevel2text"/>
      </w:pPr>
      <w:r w:rsidRPr="00F95F65">
        <w:t xml:space="preserve">Treatment options for </w:t>
      </w:r>
      <w:r w:rsidR="00ED4A9B" w:rsidRPr="00F95F65">
        <w:t xml:space="preserve">multiple myeloma depend on </w:t>
      </w:r>
      <w:r w:rsidR="005C21EA" w:rsidRPr="00F95F65">
        <w:rPr>
          <w:lang w:val="en-GB"/>
        </w:rPr>
        <w:t>how many</w:t>
      </w:r>
      <w:r w:rsidR="00C17ADB" w:rsidRPr="00F95F65">
        <w:rPr>
          <w:lang w:val="en-GB"/>
        </w:rPr>
        <w:t xml:space="preserve"> </w:t>
      </w:r>
      <w:r w:rsidR="008D505D" w:rsidRPr="00D97B3F">
        <w:rPr>
          <w:lang w:val="en-GB"/>
        </w:rPr>
        <w:t>pr</w:t>
      </w:r>
      <w:r w:rsidR="005C21EA" w:rsidRPr="00D97B3F">
        <w:rPr>
          <w:lang w:val="en-GB"/>
        </w:rPr>
        <w:t>evious</w:t>
      </w:r>
      <w:r w:rsidR="008D505D" w:rsidRPr="00D97B3F">
        <w:rPr>
          <w:lang w:val="en-GB"/>
        </w:rPr>
        <w:t xml:space="preserve"> treatments </w:t>
      </w:r>
      <w:r w:rsidR="005C21EA" w:rsidRPr="00C81767">
        <w:rPr>
          <w:lang w:val="en-GB"/>
        </w:rPr>
        <w:t xml:space="preserve">a person has had, their </w:t>
      </w:r>
      <w:r w:rsidR="00ED4A9B" w:rsidRPr="00F95F65">
        <w:t xml:space="preserve">response to </w:t>
      </w:r>
      <w:r w:rsidR="008D505D" w:rsidRPr="00F95F65">
        <w:rPr>
          <w:lang w:val="en-GB"/>
        </w:rPr>
        <w:t>these</w:t>
      </w:r>
      <w:r w:rsidR="008D505D" w:rsidRPr="00F95F65">
        <w:t xml:space="preserve"> </w:t>
      </w:r>
      <w:r w:rsidR="00ED4A9B" w:rsidRPr="00F95F65">
        <w:t>treatments</w:t>
      </w:r>
      <w:r w:rsidR="008D505D" w:rsidRPr="00F95F65">
        <w:rPr>
          <w:lang w:val="en-GB"/>
        </w:rPr>
        <w:t>,</w:t>
      </w:r>
      <w:r w:rsidR="00ED4A9B" w:rsidRPr="00F95F65">
        <w:t xml:space="preserve"> </w:t>
      </w:r>
      <w:r w:rsidR="005C21EA" w:rsidRPr="00F95F65">
        <w:rPr>
          <w:lang w:val="en-GB"/>
        </w:rPr>
        <w:t xml:space="preserve">and their </w:t>
      </w:r>
      <w:r w:rsidR="00ED4A9B" w:rsidRPr="00F95F65">
        <w:t>preference</w:t>
      </w:r>
      <w:r w:rsidR="004E2472" w:rsidRPr="00F95F65">
        <w:rPr>
          <w:lang w:val="en-US"/>
        </w:rPr>
        <w:t>s</w:t>
      </w:r>
      <w:r w:rsidR="005C21EA" w:rsidRPr="00F95F65">
        <w:rPr>
          <w:lang w:val="en-GB"/>
        </w:rPr>
        <w:t xml:space="preserve">. </w:t>
      </w:r>
      <w:bookmarkStart w:id="3" w:name="_Hlk41380099"/>
      <w:r w:rsidR="005559C4" w:rsidRPr="00F95F65">
        <w:rPr>
          <w:lang w:val="en-GB"/>
        </w:rPr>
        <w:t>If a stem cell transplant is suitable</w:t>
      </w:r>
      <w:r w:rsidR="009C2BD5">
        <w:rPr>
          <w:lang w:val="en-GB"/>
        </w:rPr>
        <w:t>:</w:t>
      </w:r>
    </w:p>
    <w:p w14:paraId="30D356B9" w14:textId="297499FE" w:rsidR="009C2BD5" w:rsidRDefault="00374495" w:rsidP="009C2BD5">
      <w:pPr>
        <w:pStyle w:val="Bulletindent1"/>
      </w:pPr>
      <w:r>
        <w:t>I</w:t>
      </w:r>
      <w:r w:rsidR="005559C4" w:rsidRPr="00F95F65">
        <w:t xml:space="preserve">nduction treatment </w:t>
      </w:r>
      <w:r>
        <w:t xml:space="preserve">is bortezomib, given </w:t>
      </w:r>
      <w:r w:rsidR="005559C4" w:rsidRPr="00F95F65">
        <w:t>before the transplant.</w:t>
      </w:r>
    </w:p>
    <w:p w14:paraId="7DD47B39" w14:textId="29AA0D0C" w:rsidR="00374495" w:rsidRDefault="00374495" w:rsidP="00155F42">
      <w:pPr>
        <w:pStyle w:val="Bulletindent1last"/>
      </w:pPr>
      <w:r>
        <w:t>S</w:t>
      </w:r>
      <w:r w:rsidR="005559C4" w:rsidRPr="00F95F65">
        <w:t xml:space="preserve">econd-line treatment </w:t>
      </w:r>
      <w:r>
        <w:t xml:space="preserve">may be bortezomib again, </w:t>
      </w:r>
      <w:r w:rsidR="005559C4" w:rsidRPr="00F95F65">
        <w:t>along with a second stem cell transplant.</w:t>
      </w:r>
      <w:bookmarkEnd w:id="3"/>
    </w:p>
    <w:p w14:paraId="38C0AD8C" w14:textId="0FC11878" w:rsidR="00714A6B" w:rsidRPr="00F95F65" w:rsidRDefault="004C3F2F" w:rsidP="00155F42">
      <w:pPr>
        <w:pStyle w:val="NICEnormalindented"/>
      </w:pPr>
      <w:r w:rsidRPr="00F95F65">
        <w:t>If</w:t>
      </w:r>
      <w:r w:rsidR="00C9269B" w:rsidRPr="00F95F65">
        <w:t xml:space="preserve"> a stem cell transplant is not suitable:</w:t>
      </w:r>
    </w:p>
    <w:p w14:paraId="34E2D5DF" w14:textId="0CB2CC8C" w:rsidR="00714A6B" w:rsidRPr="00F95F65" w:rsidRDefault="00D97B3F" w:rsidP="007F2055">
      <w:pPr>
        <w:pStyle w:val="Bulletindent1"/>
      </w:pPr>
      <w:r w:rsidRPr="00D97B3F">
        <w:t xml:space="preserve">First-line treatments include thalidomide or bortezomib plus an alkylating agent, for example, melphalan or chlorambucil, and a corticosteroid, for example, dexamethasone. </w:t>
      </w:r>
      <w:r w:rsidR="00227F42" w:rsidRPr="00D97B3F">
        <w:t>Lenalidomide plus dexamethasone is also a</w:t>
      </w:r>
      <w:r w:rsidR="002B3557" w:rsidRPr="00D97B3F">
        <w:t>n</w:t>
      </w:r>
      <w:r w:rsidR="00227F42" w:rsidRPr="00F95F65">
        <w:t xml:space="preserve"> option when thalidomide is not appropriate.</w:t>
      </w:r>
    </w:p>
    <w:p w14:paraId="3E0A54ED" w14:textId="7F792223" w:rsidR="00714A6B" w:rsidRPr="00F95F65" w:rsidRDefault="002636C0" w:rsidP="00155F42">
      <w:pPr>
        <w:pStyle w:val="Bulletindent1last"/>
      </w:pPr>
      <w:r w:rsidRPr="00F95F65">
        <w:t>Second</w:t>
      </w:r>
      <w:r w:rsidR="004C3F2F" w:rsidRPr="00F95F65">
        <w:t>-</w:t>
      </w:r>
      <w:r w:rsidRPr="00F95F65">
        <w:t>line treatments include lenalidomid</w:t>
      </w:r>
      <w:r w:rsidR="00187B1C" w:rsidRPr="00F95F65">
        <w:t>e</w:t>
      </w:r>
      <w:r w:rsidR="009F75E2" w:rsidRPr="00F95F65">
        <w:t xml:space="preserve"> plus dexamethasone</w:t>
      </w:r>
      <w:r w:rsidR="00AA12BD" w:rsidRPr="00F95F65">
        <w:t xml:space="preserve"> if </w:t>
      </w:r>
      <w:r w:rsidR="004C3F2F" w:rsidRPr="00F95F65">
        <w:t>the</w:t>
      </w:r>
      <w:r w:rsidR="005C21EA" w:rsidRPr="00F95F65">
        <w:t xml:space="preserve"> person has</w:t>
      </w:r>
      <w:r w:rsidR="004C3F2F" w:rsidRPr="00F95F65">
        <w:t xml:space="preserve"> had </w:t>
      </w:r>
      <w:r w:rsidR="00AA12BD" w:rsidRPr="00F95F65">
        <w:t>bortezomib</w:t>
      </w:r>
      <w:r w:rsidR="00187B1C" w:rsidRPr="00F95F65">
        <w:t xml:space="preserve"> </w:t>
      </w:r>
      <w:r w:rsidR="004C3F2F" w:rsidRPr="00F95F65">
        <w:t>before</w:t>
      </w:r>
      <w:r w:rsidR="00AA12BD" w:rsidRPr="00F95F65">
        <w:t xml:space="preserve"> </w:t>
      </w:r>
      <w:r w:rsidR="00187B1C" w:rsidRPr="00F95F65">
        <w:t>or carfilzomib</w:t>
      </w:r>
      <w:r w:rsidRPr="00F95F65">
        <w:t xml:space="preserve"> </w:t>
      </w:r>
      <w:r w:rsidR="00187B1C" w:rsidRPr="00F95F65">
        <w:t xml:space="preserve">plus dexamethasone if </w:t>
      </w:r>
      <w:r w:rsidR="004C3F2F" w:rsidRPr="00F95F65">
        <w:t xml:space="preserve">they have not had </w:t>
      </w:r>
      <w:r w:rsidR="00187B1C" w:rsidRPr="00F95F65">
        <w:t>bortezomib</w:t>
      </w:r>
      <w:r w:rsidR="009F75E2" w:rsidRPr="00F95F65">
        <w:t xml:space="preserve"> </w:t>
      </w:r>
      <w:r w:rsidR="004C3F2F" w:rsidRPr="00F95F65">
        <w:t>before</w:t>
      </w:r>
      <w:r w:rsidR="009F75E2" w:rsidRPr="00F95F65">
        <w:t xml:space="preserve">. </w:t>
      </w:r>
      <w:r w:rsidR="008948C9" w:rsidRPr="00F95F65">
        <w:t>Also, d</w:t>
      </w:r>
      <w:r w:rsidR="00AA12BD" w:rsidRPr="00F95F65">
        <w:t xml:space="preserve">aratumumab </w:t>
      </w:r>
      <w:r w:rsidR="002579AE" w:rsidRPr="00F95F65">
        <w:t xml:space="preserve">plus bortezomib </w:t>
      </w:r>
      <w:r w:rsidR="005C21EA" w:rsidRPr="00F95F65">
        <w:t>and</w:t>
      </w:r>
      <w:r w:rsidR="002579AE" w:rsidRPr="00F95F65">
        <w:t xml:space="preserve"> dexamethasone</w:t>
      </w:r>
      <w:r w:rsidR="00AA12BD" w:rsidRPr="00F95F65">
        <w:t xml:space="preserve"> is available </w:t>
      </w:r>
      <w:r w:rsidR="001810F1" w:rsidRPr="00F95F65">
        <w:t>in</w:t>
      </w:r>
      <w:r w:rsidR="00AA12BD" w:rsidRPr="00F95F65">
        <w:t xml:space="preserve"> the </w:t>
      </w:r>
      <w:r w:rsidR="0086439B" w:rsidRPr="00F95F65">
        <w:t>C</w:t>
      </w:r>
      <w:r w:rsidR="00AA12BD" w:rsidRPr="00F95F65">
        <w:t xml:space="preserve">ancer </w:t>
      </w:r>
      <w:r w:rsidR="0086439B" w:rsidRPr="00F95F65">
        <w:t>D</w:t>
      </w:r>
      <w:r w:rsidR="00AA12BD" w:rsidRPr="00F95F65">
        <w:t xml:space="preserve">rugs </w:t>
      </w:r>
      <w:r w:rsidR="0086439B" w:rsidRPr="00F95F65">
        <w:t>F</w:t>
      </w:r>
      <w:r w:rsidR="00AA12BD" w:rsidRPr="00F95F65">
        <w:t>und.</w:t>
      </w:r>
    </w:p>
    <w:p w14:paraId="5D6A231C" w14:textId="4F851991" w:rsidR="004D3C64" w:rsidRPr="00F95F65" w:rsidRDefault="009C2BD5" w:rsidP="00155F42">
      <w:pPr>
        <w:pStyle w:val="NICEnormalindented"/>
      </w:pPr>
      <w:r>
        <w:t>A</w:t>
      </w:r>
      <w:r w:rsidR="004D3C64" w:rsidRPr="00F95F65">
        <w:t>fter second-line treatment</w:t>
      </w:r>
      <w:r>
        <w:t xml:space="preserve">, </w:t>
      </w:r>
      <w:r w:rsidR="00374495">
        <w:t xml:space="preserve">the </w:t>
      </w:r>
      <w:r>
        <w:t>option</w:t>
      </w:r>
      <w:r w:rsidR="004D3C64" w:rsidRPr="00F95F65">
        <w:t xml:space="preserve">s </w:t>
      </w:r>
      <w:r>
        <w:t>do not depend on whether a</w:t>
      </w:r>
      <w:r w:rsidR="004D3C64" w:rsidRPr="00F95F65">
        <w:t xml:space="preserve"> stem cell transplant </w:t>
      </w:r>
      <w:r>
        <w:t>is suitable</w:t>
      </w:r>
      <w:r w:rsidR="004D3C64" w:rsidRPr="00F95F65">
        <w:t>:</w:t>
      </w:r>
    </w:p>
    <w:p w14:paraId="09E7467A" w14:textId="18C1A87D" w:rsidR="00AB3790" w:rsidRPr="00F95F65" w:rsidRDefault="00AA12BD" w:rsidP="00AB3790">
      <w:pPr>
        <w:pStyle w:val="Bulletindent1"/>
      </w:pPr>
      <w:r w:rsidRPr="00F95F65">
        <w:t>Third</w:t>
      </w:r>
      <w:r w:rsidR="004C3F2F" w:rsidRPr="00F95F65">
        <w:t>-</w:t>
      </w:r>
      <w:r w:rsidRPr="00F95F65">
        <w:t>line treatments include lenalidomide plus dexamethasone</w:t>
      </w:r>
      <w:r w:rsidR="00AB3790" w:rsidRPr="00F95F65">
        <w:t xml:space="preserve"> or </w:t>
      </w:r>
      <w:proofErr w:type="spellStart"/>
      <w:r w:rsidR="00AB3790" w:rsidRPr="00F95F65">
        <w:t>panobinostat</w:t>
      </w:r>
      <w:proofErr w:type="spellEnd"/>
      <w:r w:rsidR="00AB3790" w:rsidRPr="00F95F65">
        <w:t xml:space="preserve"> plus bortezomib </w:t>
      </w:r>
      <w:r w:rsidR="008948C9" w:rsidRPr="00F95F65">
        <w:t>and</w:t>
      </w:r>
      <w:r w:rsidR="00AB3790" w:rsidRPr="00F95F65">
        <w:t xml:space="preserve"> dexamethasone. </w:t>
      </w:r>
      <w:r w:rsidR="008948C9" w:rsidRPr="00F95F65">
        <w:t xml:space="preserve">Also, </w:t>
      </w:r>
      <w:proofErr w:type="spellStart"/>
      <w:r w:rsidR="008948C9" w:rsidRPr="00F95F65">
        <w:t>i</w:t>
      </w:r>
      <w:r w:rsidR="00AB3790" w:rsidRPr="00F95F65">
        <w:t>xazomib</w:t>
      </w:r>
      <w:proofErr w:type="spellEnd"/>
      <w:r w:rsidR="00AB3790" w:rsidRPr="00F95F65">
        <w:t xml:space="preserve"> plus lenalidomide </w:t>
      </w:r>
      <w:r w:rsidR="008948C9" w:rsidRPr="00F95F65">
        <w:t xml:space="preserve">and </w:t>
      </w:r>
      <w:r w:rsidR="00AB3790" w:rsidRPr="00F95F65">
        <w:t xml:space="preserve">dexamethasone is available </w:t>
      </w:r>
      <w:r w:rsidR="001810F1" w:rsidRPr="00F95F65">
        <w:t>in</w:t>
      </w:r>
      <w:r w:rsidR="00AB3790" w:rsidRPr="00F95F65">
        <w:t xml:space="preserve"> the </w:t>
      </w:r>
      <w:r w:rsidR="004C3F2F" w:rsidRPr="00F95F65">
        <w:t>C</w:t>
      </w:r>
      <w:r w:rsidR="00AB3790" w:rsidRPr="00F95F65">
        <w:t xml:space="preserve">ancer </w:t>
      </w:r>
      <w:r w:rsidR="004C3F2F" w:rsidRPr="00F95F65">
        <w:t>D</w:t>
      </w:r>
      <w:r w:rsidR="00AB3790" w:rsidRPr="00F95F65">
        <w:t xml:space="preserve">rugs </w:t>
      </w:r>
      <w:r w:rsidR="004C3F2F" w:rsidRPr="00F95F65">
        <w:t>F</w:t>
      </w:r>
      <w:r w:rsidR="00AB3790" w:rsidRPr="00F95F65">
        <w:t>und.</w:t>
      </w:r>
    </w:p>
    <w:p w14:paraId="603AF0E3" w14:textId="68368E74" w:rsidR="00AA12BD" w:rsidRPr="00F95F65" w:rsidRDefault="00AB3790" w:rsidP="00306E4B">
      <w:pPr>
        <w:pStyle w:val="Bulletindent1last"/>
      </w:pPr>
      <w:r w:rsidRPr="00F95F65">
        <w:t>Fourth</w:t>
      </w:r>
      <w:r w:rsidR="004C3F2F" w:rsidRPr="00F95F65">
        <w:t>-</w:t>
      </w:r>
      <w:r w:rsidRPr="00F95F65">
        <w:t>line treatment</w:t>
      </w:r>
      <w:r w:rsidR="00B9400F" w:rsidRPr="00F95F65">
        <w:t>s</w:t>
      </w:r>
      <w:r w:rsidR="002579AE" w:rsidRPr="00F95F65">
        <w:t xml:space="preserve"> include pomalidomide </w:t>
      </w:r>
      <w:r w:rsidR="00E82183" w:rsidRPr="00F95F65">
        <w:t>plus</w:t>
      </w:r>
      <w:r w:rsidR="002579AE" w:rsidRPr="00F95F65">
        <w:t xml:space="preserve"> dexamethasone or </w:t>
      </w:r>
      <w:proofErr w:type="spellStart"/>
      <w:r w:rsidR="002579AE" w:rsidRPr="00F95F65">
        <w:t>panobinostat</w:t>
      </w:r>
      <w:proofErr w:type="spellEnd"/>
      <w:r w:rsidR="002579AE" w:rsidRPr="00F95F65">
        <w:t xml:space="preserve"> plus bortezomib </w:t>
      </w:r>
      <w:r w:rsidR="00E82183" w:rsidRPr="00F95F65">
        <w:t>and</w:t>
      </w:r>
      <w:r w:rsidR="002579AE" w:rsidRPr="00F95F65">
        <w:t xml:space="preserve"> dexamethasone. </w:t>
      </w:r>
      <w:r w:rsidR="00EC61EE" w:rsidRPr="00F95F65">
        <w:t xml:space="preserve">Daratumumab alone or </w:t>
      </w:r>
      <w:proofErr w:type="spellStart"/>
      <w:r w:rsidR="00EC61EE" w:rsidRPr="00F95F65">
        <w:t>ixazomib</w:t>
      </w:r>
      <w:proofErr w:type="spellEnd"/>
      <w:r w:rsidR="00EC61EE" w:rsidRPr="00F95F65">
        <w:t xml:space="preserve"> plus lenalidomide </w:t>
      </w:r>
      <w:r w:rsidR="00E82183" w:rsidRPr="00F95F65">
        <w:t>and</w:t>
      </w:r>
      <w:r w:rsidR="00EC61EE" w:rsidRPr="00F95F65">
        <w:t xml:space="preserve"> dexamethasone are available </w:t>
      </w:r>
      <w:r w:rsidR="001810F1" w:rsidRPr="00F95F65">
        <w:t>in</w:t>
      </w:r>
      <w:r w:rsidR="00EC61EE" w:rsidRPr="00F95F65">
        <w:t xml:space="preserve"> the </w:t>
      </w:r>
      <w:r w:rsidR="0086439B" w:rsidRPr="00F95F65">
        <w:t>C</w:t>
      </w:r>
      <w:r w:rsidR="00EC61EE" w:rsidRPr="00F95F65">
        <w:t xml:space="preserve">ancer </w:t>
      </w:r>
      <w:r w:rsidR="0086439B" w:rsidRPr="00F95F65">
        <w:t>D</w:t>
      </w:r>
      <w:r w:rsidR="00EC61EE" w:rsidRPr="00F95F65">
        <w:t xml:space="preserve">rugs </w:t>
      </w:r>
      <w:r w:rsidR="0086439B" w:rsidRPr="00F95F65">
        <w:t>F</w:t>
      </w:r>
      <w:r w:rsidR="00EC61EE" w:rsidRPr="00F95F65">
        <w:t>und.</w:t>
      </w:r>
    </w:p>
    <w:p w14:paraId="36ABB4FD" w14:textId="50EF07D3" w:rsidR="001F6394" w:rsidRPr="009A5974" w:rsidRDefault="00771E67" w:rsidP="00B33576">
      <w:pPr>
        <w:pStyle w:val="Bulletindent1"/>
        <w:numPr>
          <w:ilvl w:val="0"/>
          <w:numId w:val="0"/>
        </w:numPr>
        <w:ind w:left="1134"/>
        <w:rPr>
          <w:bCs/>
          <w:iCs/>
          <w:szCs w:val="28"/>
          <w:lang w:val="en-US"/>
        </w:rPr>
      </w:pPr>
      <w:proofErr w:type="spellStart"/>
      <w:r w:rsidRPr="00F95F65">
        <w:rPr>
          <w:lang w:val="en-US"/>
        </w:rPr>
        <w:lastRenderedPageBreak/>
        <w:t>Isatuximab</w:t>
      </w:r>
      <w:proofErr w:type="spellEnd"/>
      <w:r w:rsidRPr="00F95F65">
        <w:rPr>
          <w:lang w:val="en-US"/>
        </w:rPr>
        <w:t xml:space="preserve"> plus pomalidomide and dexamethasone can be used </w:t>
      </w:r>
      <w:proofErr w:type="gramStart"/>
      <w:r w:rsidRPr="00F95F65">
        <w:rPr>
          <w:lang w:val="en-US"/>
        </w:rPr>
        <w:t>whether or not</w:t>
      </w:r>
      <w:proofErr w:type="gramEnd"/>
      <w:r w:rsidRPr="00F95F65">
        <w:rPr>
          <w:lang w:val="en-US"/>
        </w:rPr>
        <w:t xml:space="preserve"> people have had a stem cell transplant</w:t>
      </w:r>
      <w:r w:rsidRPr="00F95F65">
        <w:rPr>
          <w:shd w:val="clear" w:color="auto" w:fill="FAFAFB"/>
        </w:rPr>
        <w:t>.</w:t>
      </w:r>
      <w:r w:rsidRPr="00F95F65">
        <w:t xml:space="preserve"> </w:t>
      </w:r>
      <w:r w:rsidR="00F63D2C" w:rsidRPr="00F95F65">
        <w:rPr>
          <w:bCs/>
          <w:iCs/>
          <w:szCs w:val="28"/>
          <w:lang w:val="x-none"/>
        </w:rPr>
        <w:t>The clinical experts explained that</w:t>
      </w:r>
      <w:r w:rsidR="00AA12BD" w:rsidRPr="00F95F65">
        <w:rPr>
          <w:bCs/>
          <w:iCs/>
          <w:szCs w:val="28"/>
          <w:lang w:val="en-US"/>
        </w:rPr>
        <w:t xml:space="preserve">, </w:t>
      </w:r>
      <w:r w:rsidR="0086439B" w:rsidRPr="00F95F65">
        <w:rPr>
          <w:bCs/>
          <w:iCs/>
          <w:szCs w:val="28"/>
          <w:lang w:val="en-US"/>
        </w:rPr>
        <w:t>following</w:t>
      </w:r>
      <w:r w:rsidR="00AA12BD" w:rsidRPr="00F95F65">
        <w:rPr>
          <w:bCs/>
          <w:iCs/>
          <w:szCs w:val="28"/>
          <w:lang w:val="en-US"/>
        </w:rPr>
        <w:t xml:space="preserve"> recent NICE </w:t>
      </w:r>
      <w:r w:rsidR="00AA12BD" w:rsidRPr="00F95F65">
        <w:rPr>
          <w:bCs/>
          <w:iCs/>
          <w:szCs w:val="28"/>
          <w:lang w:val="x-none"/>
        </w:rPr>
        <w:t>guidance</w:t>
      </w:r>
      <w:r w:rsidR="009A5974" w:rsidRPr="00F95F65">
        <w:rPr>
          <w:bCs/>
          <w:iCs/>
          <w:szCs w:val="28"/>
          <w:lang w:val="en-US"/>
        </w:rPr>
        <w:t>,</w:t>
      </w:r>
      <w:r w:rsidR="00F63D2C" w:rsidRPr="00F95F65">
        <w:rPr>
          <w:bCs/>
          <w:iCs/>
          <w:szCs w:val="28"/>
          <w:lang w:val="x-none"/>
        </w:rPr>
        <w:t xml:space="preserve"> </w:t>
      </w:r>
      <w:r>
        <w:rPr>
          <w:bCs/>
          <w:iCs/>
          <w:szCs w:val="28"/>
        </w:rPr>
        <w:t xml:space="preserve">the </w:t>
      </w:r>
      <w:r w:rsidR="004C3F2F" w:rsidRPr="00F95F65">
        <w:rPr>
          <w:bCs/>
          <w:iCs/>
          <w:szCs w:val="28"/>
        </w:rPr>
        <w:t>us</w:t>
      </w:r>
      <w:r w:rsidR="007A6F45" w:rsidRPr="00F95F65">
        <w:rPr>
          <w:bCs/>
          <w:iCs/>
          <w:szCs w:val="28"/>
        </w:rPr>
        <w:t>e of</w:t>
      </w:r>
      <w:r w:rsidR="004C3F2F" w:rsidRPr="00F95F65">
        <w:rPr>
          <w:bCs/>
          <w:iCs/>
          <w:szCs w:val="28"/>
        </w:rPr>
        <w:t xml:space="preserve"> </w:t>
      </w:r>
      <w:r w:rsidR="00F63D2C" w:rsidRPr="00F95F65">
        <w:rPr>
          <w:bCs/>
          <w:iCs/>
          <w:szCs w:val="28"/>
          <w:lang w:val="x-none"/>
        </w:rPr>
        <w:t>lenalidomide</w:t>
      </w:r>
      <w:r w:rsidR="003F3123" w:rsidRPr="00F95F65">
        <w:rPr>
          <w:bCs/>
          <w:iCs/>
          <w:szCs w:val="28"/>
          <w:lang w:val="en-US"/>
        </w:rPr>
        <w:t xml:space="preserve"> plus dexamethasone</w:t>
      </w:r>
      <w:r w:rsidR="007A6F45" w:rsidRPr="00F95F65">
        <w:rPr>
          <w:bCs/>
          <w:iCs/>
          <w:szCs w:val="28"/>
          <w:lang w:val="en-US"/>
        </w:rPr>
        <w:t xml:space="preserve"> a</w:t>
      </w:r>
      <w:r>
        <w:rPr>
          <w:bCs/>
          <w:iCs/>
          <w:szCs w:val="28"/>
          <w:lang w:val="en-US"/>
        </w:rPr>
        <w:t>s</w:t>
      </w:r>
      <w:r w:rsidR="00F63D2C" w:rsidRPr="00F95F65">
        <w:rPr>
          <w:bCs/>
          <w:iCs/>
          <w:szCs w:val="28"/>
          <w:lang w:val="x-none"/>
        </w:rPr>
        <w:t xml:space="preserve"> first</w:t>
      </w:r>
      <w:r>
        <w:rPr>
          <w:bCs/>
          <w:iCs/>
          <w:szCs w:val="28"/>
        </w:rPr>
        <w:t>-</w:t>
      </w:r>
      <w:r w:rsidR="009F75E2" w:rsidRPr="00F95F65">
        <w:rPr>
          <w:bCs/>
          <w:iCs/>
          <w:szCs w:val="28"/>
          <w:lang w:val="en-US"/>
        </w:rPr>
        <w:t>line</w:t>
      </w:r>
      <w:r>
        <w:rPr>
          <w:bCs/>
          <w:iCs/>
          <w:szCs w:val="28"/>
          <w:lang w:val="en-US"/>
        </w:rPr>
        <w:t xml:space="preserve"> treatment</w:t>
      </w:r>
      <w:r w:rsidR="00714A6B" w:rsidRPr="00F95F65">
        <w:rPr>
          <w:bCs/>
          <w:iCs/>
          <w:szCs w:val="28"/>
          <w:lang w:val="x-none"/>
        </w:rPr>
        <w:t xml:space="preserve"> </w:t>
      </w:r>
      <w:r w:rsidR="002579AE" w:rsidRPr="00F95F65">
        <w:rPr>
          <w:bCs/>
          <w:iCs/>
          <w:szCs w:val="28"/>
          <w:lang w:val="en-US"/>
        </w:rPr>
        <w:t xml:space="preserve">and </w:t>
      </w:r>
      <w:r>
        <w:rPr>
          <w:bCs/>
          <w:iCs/>
          <w:szCs w:val="28"/>
          <w:lang w:val="en-US"/>
        </w:rPr>
        <w:t xml:space="preserve">the </w:t>
      </w:r>
      <w:r w:rsidR="004C3F2F" w:rsidRPr="00F95F65">
        <w:rPr>
          <w:bCs/>
          <w:iCs/>
          <w:szCs w:val="28"/>
          <w:lang w:val="en-US"/>
        </w:rPr>
        <w:t>us</w:t>
      </w:r>
      <w:r w:rsidR="007A6F45" w:rsidRPr="00F95F65">
        <w:rPr>
          <w:bCs/>
          <w:iCs/>
          <w:szCs w:val="28"/>
          <w:lang w:val="en-US"/>
        </w:rPr>
        <w:t>e of</w:t>
      </w:r>
      <w:r w:rsidR="004C3F2F" w:rsidRPr="00F95F65">
        <w:rPr>
          <w:bCs/>
          <w:iCs/>
          <w:szCs w:val="28"/>
          <w:lang w:val="en-US"/>
        </w:rPr>
        <w:t xml:space="preserve"> </w:t>
      </w:r>
      <w:r w:rsidR="002579AE" w:rsidRPr="00F95F65">
        <w:rPr>
          <w:bCs/>
          <w:iCs/>
          <w:szCs w:val="28"/>
          <w:lang w:val="en-US"/>
        </w:rPr>
        <w:t xml:space="preserve">daratumumab </w:t>
      </w:r>
      <w:r w:rsidR="003F3123" w:rsidRPr="00F95F65">
        <w:rPr>
          <w:bCs/>
          <w:iCs/>
          <w:szCs w:val="28"/>
          <w:lang w:val="en-US"/>
        </w:rPr>
        <w:t>plus</w:t>
      </w:r>
      <w:r w:rsidR="0022454B" w:rsidRPr="00F95F65">
        <w:rPr>
          <w:bCs/>
          <w:iCs/>
          <w:szCs w:val="28"/>
          <w:lang w:val="en-US"/>
        </w:rPr>
        <w:t xml:space="preserve"> bortezomib </w:t>
      </w:r>
      <w:r w:rsidR="00871280" w:rsidRPr="00F95F65">
        <w:rPr>
          <w:bCs/>
          <w:iCs/>
          <w:szCs w:val="28"/>
          <w:lang w:val="en-US"/>
        </w:rPr>
        <w:t xml:space="preserve">and </w:t>
      </w:r>
      <w:r w:rsidR="0022454B" w:rsidRPr="00F95F65">
        <w:rPr>
          <w:bCs/>
          <w:iCs/>
          <w:szCs w:val="28"/>
          <w:lang w:val="en-US"/>
        </w:rPr>
        <w:t>dexamethasone</w:t>
      </w:r>
      <w:r w:rsidR="007A6F45" w:rsidRPr="00F95F65">
        <w:rPr>
          <w:bCs/>
          <w:iCs/>
          <w:szCs w:val="28"/>
          <w:lang w:val="en-US"/>
        </w:rPr>
        <w:t xml:space="preserve"> a</w:t>
      </w:r>
      <w:r>
        <w:rPr>
          <w:bCs/>
          <w:iCs/>
          <w:szCs w:val="28"/>
          <w:lang w:val="en-US"/>
        </w:rPr>
        <w:t>s</w:t>
      </w:r>
      <w:r w:rsidR="0022454B" w:rsidRPr="00F95F65">
        <w:rPr>
          <w:bCs/>
          <w:iCs/>
          <w:szCs w:val="28"/>
          <w:lang w:val="en-US"/>
        </w:rPr>
        <w:t xml:space="preserve"> </w:t>
      </w:r>
      <w:r w:rsidR="00153306" w:rsidRPr="00F95F65">
        <w:rPr>
          <w:bCs/>
          <w:iCs/>
          <w:szCs w:val="28"/>
          <w:lang w:val="en-US"/>
        </w:rPr>
        <w:t>second</w:t>
      </w:r>
      <w:r>
        <w:rPr>
          <w:bCs/>
          <w:iCs/>
          <w:szCs w:val="28"/>
          <w:lang w:val="en-US"/>
        </w:rPr>
        <w:t>-</w:t>
      </w:r>
      <w:r w:rsidR="00153306" w:rsidRPr="00F95F65">
        <w:rPr>
          <w:bCs/>
          <w:iCs/>
          <w:szCs w:val="28"/>
          <w:lang w:val="en-US"/>
        </w:rPr>
        <w:t xml:space="preserve">line </w:t>
      </w:r>
      <w:r>
        <w:rPr>
          <w:bCs/>
          <w:iCs/>
          <w:szCs w:val="28"/>
          <w:lang w:val="en-US"/>
        </w:rPr>
        <w:t xml:space="preserve">treatment </w:t>
      </w:r>
      <w:r w:rsidR="0022454B" w:rsidRPr="00F95F65">
        <w:rPr>
          <w:bCs/>
          <w:iCs/>
          <w:szCs w:val="28"/>
          <w:lang w:val="en-US"/>
        </w:rPr>
        <w:t xml:space="preserve">is increasing. </w:t>
      </w:r>
      <w:r w:rsidR="00714A6B" w:rsidRPr="00F95F65">
        <w:rPr>
          <w:bCs/>
          <w:iCs/>
          <w:szCs w:val="28"/>
          <w:lang w:val="x-none"/>
        </w:rPr>
        <w:t xml:space="preserve">The committee understood that the multiple myeloma </w:t>
      </w:r>
      <w:r w:rsidR="009A3BAD" w:rsidRPr="00F95F65">
        <w:rPr>
          <w:bCs/>
          <w:iCs/>
          <w:szCs w:val="28"/>
          <w:lang w:val="x-none"/>
        </w:rPr>
        <w:t xml:space="preserve">pathway </w:t>
      </w:r>
      <w:r w:rsidR="00714A6B" w:rsidRPr="00F95F65">
        <w:rPr>
          <w:bCs/>
          <w:iCs/>
          <w:szCs w:val="28"/>
          <w:lang w:val="x-none"/>
        </w:rPr>
        <w:t xml:space="preserve">is </w:t>
      </w:r>
      <w:r w:rsidR="009A5974" w:rsidRPr="00F95F65">
        <w:rPr>
          <w:bCs/>
          <w:iCs/>
          <w:szCs w:val="28"/>
          <w:lang w:val="en-US"/>
        </w:rPr>
        <w:t>rapidly evolving.</w:t>
      </w:r>
    </w:p>
    <w:p w14:paraId="294A4E6E" w14:textId="63094BEB" w:rsidR="00AB677A" w:rsidRPr="00AB677A" w:rsidRDefault="00AB677A" w:rsidP="00AB677A">
      <w:pPr>
        <w:pStyle w:val="Heading3"/>
      </w:pPr>
      <w:r>
        <w:t>The company position</w:t>
      </w:r>
      <w:r w:rsidR="004A2BAE">
        <w:t>s</w:t>
      </w:r>
      <w:r>
        <w:t xml:space="preserve"> </w:t>
      </w:r>
      <w:proofErr w:type="spellStart"/>
      <w:r>
        <w:t>isatuximab</w:t>
      </w:r>
      <w:proofErr w:type="spellEnd"/>
      <w:r>
        <w:t xml:space="preserve"> plus pomalidomide </w:t>
      </w:r>
      <w:r w:rsidR="00871280">
        <w:t>and</w:t>
      </w:r>
      <w:r>
        <w:t xml:space="preserve"> dexamethasone</w:t>
      </w:r>
      <w:r w:rsidR="00255798">
        <w:t xml:space="preserve"> at fourth line</w:t>
      </w:r>
      <w:r w:rsidR="00771E67">
        <w:t>,</w:t>
      </w:r>
      <w:r>
        <w:t xml:space="preserve"> after 3</w:t>
      </w:r>
      <w:r w:rsidR="001E123A">
        <w:t> </w:t>
      </w:r>
      <w:r>
        <w:t>previous t</w:t>
      </w:r>
      <w:r w:rsidR="00960ABE">
        <w:t>reatments</w:t>
      </w:r>
    </w:p>
    <w:p w14:paraId="733CA220" w14:textId="0BE7B860" w:rsidR="00664A5E" w:rsidRDefault="00B72A48" w:rsidP="00B33576">
      <w:pPr>
        <w:pStyle w:val="Numberedlevel2text"/>
      </w:pPr>
      <w:r>
        <w:rPr>
          <w:lang w:val="en-US"/>
        </w:rPr>
        <w:t xml:space="preserve">The </w:t>
      </w:r>
      <w:r w:rsidR="00BD0674">
        <w:rPr>
          <w:lang w:val="en-US"/>
        </w:rPr>
        <w:t xml:space="preserve">marketing </w:t>
      </w:r>
      <w:proofErr w:type="spellStart"/>
      <w:r w:rsidR="00BD0674">
        <w:rPr>
          <w:lang w:val="en-US"/>
        </w:rPr>
        <w:t>authorisation</w:t>
      </w:r>
      <w:proofErr w:type="spellEnd"/>
      <w:r w:rsidR="00BD0674">
        <w:rPr>
          <w:lang w:val="en-US"/>
        </w:rPr>
        <w:t xml:space="preserve"> </w:t>
      </w:r>
      <w:r>
        <w:rPr>
          <w:lang w:val="en-US"/>
        </w:rPr>
        <w:t xml:space="preserve">for </w:t>
      </w:r>
      <w:proofErr w:type="spellStart"/>
      <w:r>
        <w:rPr>
          <w:lang w:val="en-US"/>
        </w:rPr>
        <w:t>i</w:t>
      </w:r>
      <w:r w:rsidR="00664A5E">
        <w:t>satuximab</w:t>
      </w:r>
      <w:proofErr w:type="spellEnd"/>
      <w:r w:rsidR="00664A5E">
        <w:t xml:space="preserve"> </w:t>
      </w:r>
      <w:r>
        <w:rPr>
          <w:lang w:val="en-US"/>
        </w:rPr>
        <w:t xml:space="preserve">plus pomalidomide </w:t>
      </w:r>
      <w:r w:rsidR="00871280">
        <w:rPr>
          <w:lang w:val="en-US"/>
        </w:rPr>
        <w:t xml:space="preserve">and </w:t>
      </w:r>
      <w:r>
        <w:rPr>
          <w:lang w:val="en-US"/>
        </w:rPr>
        <w:t>dexamethasone</w:t>
      </w:r>
      <w:r w:rsidR="00664A5E">
        <w:t xml:space="preserve"> </w:t>
      </w:r>
      <w:r w:rsidR="00834DF6">
        <w:rPr>
          <w:lang w:val="en-US"/>
        </w:rPr>
        <w:t xml:space="preserve">states that it must be used </w:t>
      </w:r>
      <w:r w:rsidR="00294E69">
        <w:t>after</w:t>
      </w:r>
      <w:r w:rsidR="00294E69" w:rsidRPr="00294E69">
        <w:t xml:space="preserve"> lenalidomide and a proteasome inhibitor</w:t>
      </w:r>
      <w:r w:rsidR="002B3557">
        <w:rPr>
          <w:lang w:val="en-GB"/>
        </w:rPr>
        <w:t>,</w:t>
      </w:r>
      <w:r w:rsidR="008B2F88">
        <w:rPr>
          <w:lang w:val="en-US"/>
        </w:rPr>
        <w:t xml:space="preserve"> </w:t>
      </w:r>
      <w:r w:rsidR="0086439B">
        <w:rPr>
          <w:lang w:val="en-US"/>
        </w:rPr>
        <w:t xml:space="preserve">which means </w:t>
      </w:r>
      <w:r w:rsidR="001E123A">
        <w:rPr>
          <w:lang w:val="en-US"/>
        </w:rPr>
        <w:t xml:space="preserve">as </w:t>
      </w:r>
      <w:r w:rsidR="00B27DE1">
        <w:rPr>
          <w:lang w:val="en-US"/>
        </w:rPr>
        <w:t>third</w:t>
      </w:r>
      <w:r w:rsidR="001E123A">
        <w:rPr>
          <w:lang w:val="en-US"/>
        </w:rPr>
        <w:t>-</w:t>
      </w:r>
      <w:r w:rsidR="00B27DE1">
        <w:rPr>
          <w:lang w:val="en-US"/>
        </w:rPr>
        <w:t>line</w:t>
      </w:r>
      <w:r w:rsidR="0086439B">
        <w:rPr>
          <w:lang w:val="en-US"/>
        </w:rPr>
        <w:t xml:space="preserve"> </w:t>
      </w:r>
      <w:r w:rsidR="001E123A">
        <w:rPr>
          <w:lang w:val="en-US"/>
        </w:rPr>
        <w:t>treatment or later</w:t>
      </w:r>
      <w:r w:rsidR="0086439B">
        <w:rPr>
          <w:lang w:val="en-US"/>
        </w:rPr>
        <w:t>.</w:t>
      </w:r>
      <w:r w:rsidR="008B2F88">
        <w:rPr>
          <w:lang w:val="en-US"/>
        </w:rPr>
        <w:t xml:space="preserve"> </w:t>
      </w:r>
      <w:r w:rsidR="008B2F88" w:rsidDel="00771E67">
        <w:rPr>
          <w:lang w:val="en-US"/>
        </w:rPr>
        <w:t>Proteasome inhibitors include bortezomib</w:t>
      </w:r>
      <w:r w:rsidR="008B2F88" w:rsidDel="00771E67">
        <w:rPr>
          <w:lang w:val="en-GB"/>
        </w:rPr>
        <w:t xml:space="preserve">, carfilzomib and </w:t>
      </w:r>
      <w:proofErr w:type="spellStart"/>
      <w:r w:rsidR="008B2F88" w:rsidDel="00771E67">
        <w:rPr>
          <w:lang w:val="en-GB"/>
        </w:rPr>
        <w:t>ixazomib</w:t>
      </w:r>
      <w:proofErr w:type="spellEnd"/>
      <w:r w:rsidR="008B2F88" w:rsidDel="00771E67">
        <w:rPr>
          <w:lang w:val="en-GB"/>
        </w:rPr>
        <w:t>.</w:t>
      </w:r>
      <w:r w:rsidR="0086439B" w:rsidDel="00771E67">
        <w:rPr>
          <w:lang w:val="en-US"/>
        </w:rPr>
        <w:t xml:space="preserve"> </w:t>
      </w:r>
      <w:r w:rsidR="0086439B">
        <w:rPr>
          <w:lang w:val="en-US"/>
        </w:rPr>
        <w:t>B</w:t>
      </w:r>
      <w:r w:rsidR="00834DF6">
        <w:rPr>
          <w:lang w:val="en-US"/>
        </w:rPr>
        <w:t xml:space="preserve">ut </w:t>
      </w:r>
      <w:r w:rsidR="00A417B2">
        <w:rPr>
          <w:lang w:val="en-US"/>
        </w:rPr>
        <w:t xml:space="preserve">the marketing </w:t>
      </w:r>
      <w:proofErr w:type="spellStart"/>
      <w:r w:rsidR="00A417B2">
        <w:rPr>
          <w:lang w:val="en-US"/>
        </w:rPr>
        <w:t>authorisation</w:t>
      </w:r>
      <w:proofErr w:type="spellEnd"/>
      <w:r w:rsidR="00A417B2">
        <w:rPr>
          <w:lang w:val="en-US"/>
        </w:rPr>
        <w:t xml:space="preserve"> </w:t>
      </w:r>
      <w:r w:rsidR="00834DF6">
        <w:rPr>
          <w:lang w:val="en-US"/>
        </w:rPr>
        <w:t>does not specify</w:t>
      </w:r>
      <w:r w:rsidR="00654B9C">
        <w:rPr>
          <w:lang w:val="en-US"/>
        </w:rPr>
        <w:t xml:space="preserve"> the position in the treatment pathway</w:t>
      </w:r>
      <w:r w:rsidR="00834DF6">
        <w:rPr>
          <w:lang w:val="en-US"/>
        </w:rPr>
        <w:t xml:space="preserve">. </w:t>
      </w:r>
      <w:r w:rsidR="00664A5E">
        <w:t xml:space="preserve">The company </w:t>
      </w:r>
      <w:r w:rsidR="00740C60">
        <w:rPr>
          <w:lang w:val="en-GB"/>
        </w:rPr>
        <w:t xml:space="preserve">chose to </w:t>
      </w:r>
      <w:r w:rsidR="00664A5E">
        <w:t xml:space="preserve">position </w:t>
      </w:r>
      <w:proofErr w:type="spellStart"/>
      <w:r w:rsidR="00664A5E">
        <w:t>isatuximab</w:t>
      </w:r>
      <w:proofErr w:type="spellEnd"/>
      <w:r>
        <w:rPr>
          <w:lang w:val="en-US"/>
        </w:rPr>
        <w:t xml:space="preserve"> plus pomalidomide</w:t>
      </w:r>
      <w:r w:rsidR="00664A5E">
        <w:t xml:space="preserve"> </w:t>
      </w:r>
      <w:r w:rsidR="00871280">
        <w:rPr>
          <w:lang w:val="en-US"/>
        </w:rPr>
        <w:t xml:space="preserve">and </w:t>
      </w:r>
      <w:r>
        <w:rPr>
          <w:lang w:val="en-US"/>
        </w:rPr>
        <w:t>dexamethasone</w:t>
      </w:r>
      <w:r w:rsidR="00BD0674">
        <w:rPr>
          <w:lang w:val="en-US"/>
        </w:rPr>
        <w:t xml:space="preserve"> after 3</w:t>
      </w:r>
      <w:r w:rsidR="00871280">
        <w:rPr>
          <w:lang w:val="en-US"/>
        </w:rPr>
        <w:t> </w:t>
      </w:r>
      <w:r w:rsidR="00BD0674">
        <w:rPr>
          <w:lang w:val="en-US"/>
        </w:rPr>
        <w:t>previous treatments, that is</w:t>
      </w:r>
      <w:r w:rsidR="005831D2">
        <w:rPr>
          <w:lang w:val="en-US"/>
        </w:rPr>
        <w:t>,</w:t>
      </w:r>
      <w:r>
        <w:rPr>
          <w:lang w:val="en-US"/>
        </w:rPr>
        <w:t xml:space="preserve"> </w:t>
      </w:r>
      <w:r w:rsidR="00664A5E">
        <w:t xml:space="preserve">as a </w:t>
      </w:r>
      <w:r w:rsidR="000C24EF">
        <w:rPr>
          <w:lang w:val="en-US"/>
        </w:rPr>
        <w:t>fourth</w:t>
      </w:r>
      <w:r w:rsidR="00871280">
        <w:rPr>
          <w:lang w:val="en-US"/>
        </w:rPr>
        <w:t>-</w:t>
      </w:r>
      <w:r w:rsidR="00664A5E">
        <w:t>line treatment option</w:t>
      </w:r>
      <w:r w:rsidR="00BD0674">
        <w:rPr>
          <w:lang w:val="en-US"/>
        </w:rPr>
        <w:t>.</w:t>
      </w:r>
      <w:r w:rsidR="00664A5E">
        <w:t xml:space="preserve"> </w:t>
      </w:r>
      <w:r w:rsidR="00BD0674">
        <w:rPr>
          <w:lang w:val="en-US"/>
        </w:rPr>
        <w:t>It did this</w:t>
      </w:r>
      <w:r w:rsidR="00664A5E">
        <w:t xml:space="preserve"> based on unmet clinical need</w:t>
      </w:r>
      <w:r w:rsidR="00BD0674">
        <w:rPr>
          <w:lang w:val="en-US"/>
        </w:rPr>
        <w:t xml:space="preserve"> </w:t>
      </w:r>
      <w:r w:rsidR="00664A5E">
        <w:t>and</w:t>
      </w:r>
      <w:r w:rsidR="00BD0674">
        <w:rPr>
          <w:lang w:val="en-US"/>
        </w:rPr>
        <w:t xml:space="preserve"> </w:t>
      </w:r>
      <w:r w:rsidR="00BC512F">
        <w:rPr>
          <w:lang w:val="en-US"/>
        </w:rPr>
        <w:t>advice</w:t>
      </w:r>
      <w:r w:rsidR="00F72BBA">
        <w:rPr>
          <w:lang w:val="en-US"/>
        </w:rPr>
        <w:t xml:space="preserve"> from</w:t>
      </w:r>
      <w:r w:rsidR="00664A5E">
        <w:t xml:space="preserve"> clinical experts.</w:t>
      </w:r>
      <w:r w:rsidR="00E40706">
        <w:t xml:space="preserve"> </w:t>
      </w:r>
      <w:r w:rsidR="00664A5E">
        <w:t>The committee noted that</w:t>
      </w:r>
      <w:r w:rsidR="007B7598">
        <w:rPr>
          <w:lang w:val="en-US"/>
        </w:rPr>
        <w:t xml:space="preserve"> the company’s positioning meant that the population</w:t>
      </w:r>
      <w:r w:rsidR="00664A5E">
        <w:t xml:space="preserve"> was</w:t>
      </w:r>
      <w:r w:rsidR="00664A5E" w:rsidRPr="00D76751">
        <w:t xml:space="preserve"> narrower </w:t>
      </w:r>
      <w:r w:rsidR="007B7598">
        <w:rPr>
          <w:lang w:val="en-US"/>
        </w:rPr>
        <w:t>than</w:t>
      </w:r>
      <w:r w:rsidR="00664A5E" w:rsidRPr="00D76751">
        <w:t xml:space="preserve"> defined by </w:t>
      </w:r>
      <w:r w:rsidR="00664A5E">
        <w:t xml:space="preserve">both </w:t>
      </w:r>
      <w:r w:rsidR="00664A5E" w:rsidRPr="00D76751">
        <w:t>the marketing authorisation and NICE</w:t>
      </w:r>
      <w:r w:rsidR="00F97521">
        <w:rPr>
          <w:lang w:val="en-GB"/>
        </w:rPr>
        <w:t>’s</w:t>
      </w:r>
      <w:r w:rsidR="00664A5E" w:rsidRPr="00D76751">
        <w:t xml:space="preserve"> </w:t>
      </w:r>
      <w:r w:rsidR="00F97521">
        <w:rPr>
          <w:lang w:val="en-GB"/>
        </w:rPr>
        <w:t xml:space="preserve">final </w:t>
      </w:r>
      <w:r w:rsidR="00664A5E" w:rsidRPr="00D76751">
        <w:t>scope.</w:t>
      </w:r>
      <w:r w:rsidR="009A5974">
        <w:rPr>
          <w:lang w:val="en-US"/>
        </w:rPr>
        <w:t xml:space="preserve"> </w:t>
      </w:r>
      <w:r w:rsidR="00CF5E97">
        <w:rPr>
          <w:lang w:val="en-US"/>
        </w:rPr>
        <w:t xml:space="preserve">The clinical expert explained that </w:t>
      </w:r>
      <w:r w:rsidR="000F086A">
        <w:rPr>
          <w:lang w:val="en-US"/>
        </w:rPr>
        <w:t xml:space="preserve">to </w:t>
      </w:r>
      <w:r w:rsidR="00871280">
        <w:rPr>
          <w:lang w:val="en-US"/>
        </w:rPr>
        <w:t xml:space="preserve">have </w:t>
      </w:r>
      <w:proofErr w:type="spellStart"/>
      <w:r w:rsidR="000F086A">
        <w:t>isatuximab</w:t>
      </w:r>
      <w:proofErr w:type="spellEnd"/>
      <w:r w:rsidR="000F086A">
        <w:t xml:space="preserve"> plus pomalidomide </w:t>
      </w:r>
      <w:r w:rsidR="00871280">
        <w:rPr>
          <w:lang w:val="en-GB"/>
        </w:rPr>
        <w:t>and</w:t>
      </w:r>
      <w:r w:rsidR="000F086A">
        <w:t xml:space="preserve"> dexamethasone </w:t>
      </w:r>
      <w:r w:rsidR="000F086A">
        <w:rPr>
          <w:lang w:val="en-GB"/>
        </w:rPr>
        <w:t>a p</w:t>
      </w:r>
      <w:r w:rsidR="00185072">
        <w:rPr>
          <w:lang w:val="en-GB"/>
        </w:rPr>
        <w:t>erson</w:t>
      </w:r>
      <w:r w:rsidR="000F086A">
        <w:rPr>
          <w:lang w:val="en-GB"/>
        </w:rPr>
        <w:t xml:space="preserve"> must have had previous treatment with lenalidomide, but that </w:t>
      </w:r>
      <w:r w:rsidR="00CF5E97">
        <w:rPr>
          <w:lang w:val="en-US"/>
        </w:rPr>
        <w:t xml:space="preserve">currently </w:t>
      </w:r>
      <w:r w:rsidR="000F086A">
        <w:rPr>
          <w:lang w:val="en-US"/>
        </w:rPr>
        <w:t xml:space="preserve">many </w:t>
      </w:r>
      <w:r w:rsidR="00CF5E97">
        <w:rPr>
          <w:lang w:val="en-US"/>
        </w:rPr>
        <w:t xml:space="preserve">clinicians use lenalidomide </w:t>
      </w:r>
      <w:r w:rsidR="000F086A">
        <w:rPr>
          <w:lang w:val="en-US"/>
        </w:rPr>
        <w:t>third line</w:t>
      </w:r>
      <w:r w:rsidR="00283BD6">
        <w:rPr>
          <w:lang w:val="en-US"/>
        </w:rPr>
        <w:t xml:space="preserve">. </w:t>
      </w:r>
      <w:r w:rsidR="00BF1049">
        <w:rPr>
          <w:lang w:val="en-US"/>
        </w:rPr>
        <w:t>Lenalidomide</w:t>
      </w:r>
      <w:r w:rsidR="00283BD6">
        <w:rPr>
          <w:lang w:val="en-US"/>
        </w:rPr>
        <w:t xml:space="preserve"> </w:t>
      </w:r>
      <w:r w:rsidR="00BF1049">
        <w:rPr>
          <w:lang w:val="en-US"/>
        </w:rPr>
        <w:t>is</w:t>
      </w:r>
      <w:r w:rsidR="00BF1049" w:rsidRPr="00BF1049">
        <w:t xml:space="preserve"> given</w:t>
      </w:r>
      <w:r w:rsidR="002B6DFC">
        <w:rPr>
          <w:lang w:val="en-US"/>
        </w:rPr>
        <w:t xml:space="preserve"> third </w:t>
      </w:r>
      <w:proofErr w:type="gramStart"/>
      <w:r w:rsidR="002B6DFC">
        <w:rPr>
          <w:lang w:val="en-US"/>
        </w:rPr>
        <w:t>line</w:t>
      </w:r>
      <w:r w:rsidR="00BF1049" w:rsidRPr="00BF1049">
        <w:t xml:space="preserve"> </w:t>
      </w:r>
      <w:r w:rsidR="005E6104">
        <w:rPr>
          <w:rStyle w:val="CommentReference"/>
          <w:rFonts w:ascii="Times New Roman" w:hAnsi="Times New Roman"/>
          <w:bCs w:val="0"/>
          <w:iCs w:val="0"/>
          <w:lang w:val="en-US"/>
        </w:rPr>
        <w:t xml:space="preserve"> </w:t>
      </w:r>
      <w:r w:rsidR="005E6104">
        <w:rPr>
          <w:lang w:val="en-US"/>
        </w:rPr>
        <w:t>with</w:t>
      </w:r>
      <w:proofErr w:type="gramEnd"/>
      <w:r w:rsidR="005E6104">
        <w:rPr>
          <w:lang w:val="en-US"/>
        </w:rPr>
        <w:t xml:space="preserve"> </w:t>
      </w:r>
      <w:proofErr w:type="spellStart"/>
      <w:r w:rsidR="00C15B2F">
        <w:rPr>
          <w:lang w:val="en-US"/>
        </w:rPr>
        <w:t>ixazomib</w:t>
      </w:r>
      <w:proofErr w:type="spellEnd"/>
      <w:r w:rsidR="00C15B2F">
        <w:rPr>
          <w:lang w:val="en-US"/>
        </w:rPr>
        <w:t xml:space="preserve"> and dexamethasone</w:t>
      </w:r>
      <w:r w:rsidR="00D257FB">
        <w:rPr>
          <w:lang w:val="en-US"/>
        </w:rPr>
        <w:t>,</w:t>
      </w:r>
      <w:r w:rsidR="00CF5E97">
        <w:rPr>
          <w:lang w:val="en-US"/>
        </w:rPr>
        <w:t xml:space="preserve"> </w:t>
      </w:r>
      <w:r w:rsidR="001810F1">
        <w:rPr>
          <w:lang w:val="en-US"/>
        </w:rPr>
        <w:t>in</w:t>
      </w:r>
      <w:r w:rsidR="00CF5E97">
        <w:rPr>
          <w:lang w:val="en-US"/>
        </w:rPr>
        <w:t xml:space="preserve"> the C</w:t>
      </w:r>
      <w:r w:rsidR="00871280">
        <w:rPr>
          <w:lang w:val="en-US"/>
        </w:rPr>
        <w:t xml:space="preserve">ancer </w:t>
      </w:r>
      <w:r w:rsidR="00CF5E97">
        <w:rPr>
          <w:lang w:val="en-US"/>
        </w:rPr>
        <w:t>D</w:t>
      </w:r>
      <w:r w:rsidR="00871280">
        <w:rPr>
          <w:lang w:val="en-US"/>
        </w:rPr>
        <w:t xml:space="preserve">rugs </w:t>
      </w:r>
      <w:r w:rsidR="00CF5E97">
        <w:rPr>
          <w:lang w:val="en-US"/>
        </w:rPr>
        <w:t>F</w:t>
      </w:r>
      <w:r w:rsidR="00871280">
        <w:rPr>
          <w:lang w:val="en-US"/>
        </w:rPr>
        <w:t>und</w:t>
      </w:r>
      <w:r w:rsidR="005E6104">
        <w:rPr>
          <w:lang w:val="en-US"/>
        </w:rPr>
        <w:t>, or with dexamethasone</w:t>
      </w:r>
      <w:r w:rsidR="00CF5E97">
        <w:rPr>
          <w:lang w:val="en-US"/>
        </w:rPr>
        <w:t xml:space="preserve">. </w:t>
      </w:r>
      <w:r w:rsidR="004E0132">
        <w:rPr>
          <w:lang w:val="en-US"/>
        </w:rPr>
        <w:t>Therefore,</w:t>
      </w:r>
      <w:r w:rsidR="007B7598">
        <w:rPr>
          <w:lang w:val="en-US"/>
        </w:rPr>
        <w:t xml:space="preserve"> the </w:t>
      </w:r>
      <w:r w:rsidR="005A5C7F" w:rsidRPr="009774C7">
        <w:t xml:space="preserve">clinical experts agreed that </w:t>
      </w:r>
      <w:r w:rsidR="007B7598">
        <w:rPr>
          <w:lang w:val="en-US"/>
        </w:rPr>
        <w:t xml:space="preserve">the </w:t>
      </w:r>
      <w:r w:rsidR="007B7598" w:rsidRPr="007D27A7">
        <w:t>fourth</w:t>
      </w:r>
      <w:r w:rsidR="00C15B2F">
        <w:rPr>
          <w:lang w:val="en-GB"/>
        </w:rPr>
        <w:t>-</w:t>
      </w:r>
      <w:r w:rsidR="007B7598" w:rsidRPr="009774C7">
        <w:t>line</w:t>
      </w:r>
      <w:r w:rsidR="007B7598">
        <w:rPr>
          <w:lang w:val="en-US"/>
        </w:rPr>
        <w:t xml:space="preserve"> positioning</w:t>
      </w:r>
      <w:r w:rsidR="007B7598" w:rsidRPr="009774C7">
        <w:t xml:space="preserve"> was appropriate</w:t>
      </w:r>
      <w:r w:rsidR="005A5C7F" w:rsidRPr="009774C7">
        <w:t>.</w:t>
      </w:r>
      <w:r w:rsidR="00664A5E">
        <w:t xml:space="preserve"> The committee</w:t>
      </w:r>
      <w:r w:rsidR="009774C7">
        <w:rPr>
          <w:lang w:val="en-US"/>
        </w:rPr>
        <w:t xml:space="preserve"> </w:t>
      </w:r>
      <w:r w:rsidR="007D27A7">
        <w:rPr>
          <w:lang w:val="en-US"/>
        </w:rPr>
        <w:t xml:space="preserve">concluded </w:t>
      </w:r>
      <w:r w:rsidR="00B5746F">
        <w:rPr>
          <w:lang w:val="en-US"/>
        </w:rPr>
        <w:t xml:space="preserve">that </w:t>
      </w:r>
      <w:r w:rsidR="007D27A7">
        <w:rPr>
          <w:lang w:val="en-US"/>
        </w:rPr>
        <w:t>it would focus its discussion on people who have had 3</w:t>
      </w:r>
      <w:r w:rsidR="00F26767">
        <w:rPr>
          <w:lang w:val="en-US"/>
        </w:rPr>
        <w:t> </w:t>
      </w:r>
      <w:r w:rsidR="007D27A7">
        <w:rPr>
          <w:lang w:val="en-US"/>
        </w:rPr>
        <w:t>previous t</w:t>
      </w:r>
      <w:r w:rsidR="00F26767">
        <w:rPr>
          <w:lang w:val="en-US"/>
        </w:rPr>
        <w:t>reatments</w:t>
      </w:r>
      <w:r w:rsidR="007B7598">
        <w:rPr>
          <w:lang w:val="en-US"/>
        </w:rPr>
        <w:t>.</w:t>
      </w:r>
    </w:p>
    <w:p w14:paraId="5C14F3F3" w14:textId="66948C62" w:rsidR="009774C7" w:rsidRDefault="009774C7" w:rsidP="005A5C7F">
      <w:pPr>
        <w:pStyle w:val="Heading3"/>
      </w:pPr>
      <w:r w:rsidRPr="009774C7">
        <w:lastRenderedPageBreak/>
        <w:t xml:space="preserve">There is unmet need for new effective </w:t>
      </w:r>
      <w:r w:rsidR="002D14A3">
        <w:t xml:space="preserve">third-line treatment </w:t>
      </w:r>
      <w:r w:rsidRPr="009774C7">
        <w:t>options</w:t>
      </w:r>
      <w:r w:rsidR="002D14A3">
        <w:t>,</w:t>
      </w:r>
      <w:r w:rsidRPr="009774C7">
        <w:t xml:space="preserve"> </w:t>
      </w:r>
      <w:r w:rsidR="00255798">
        <w:t>after 2</w:t>
      </w:r>
      <w:r w:rsidR="008A5B55">
        <w:t> </w:t>
      </w:r>
      <w:r w:rsidR="00255798">
        <w:t>previous t</w:t>
      </w:r>
      <w:r w:rsidR="008A5B55">
        <w:t>reatment</w:t>
      </w:r>
      <w:r w:rsidR="00255798">
        <w:t>s</w:t>
      </w:r>
    </w:p>
    <w:p w14:paraId="5A8DCADE" w14:textId="3D9AD358" w:rsidR="009774C7" w:rsidRPr="00CB196E" w:rsidRDefault="00255798" w:rsidP="00CB196E">
      <w:pPr>
        <w:pStyle w:val="Numberedlevel2text"/>
      </w:pPr>
      <w:r>
        <w:rPr>
          <w:lang w:val="en-US"/>
        </w:rPr>
        <w:t xml:space="preserve">The committee recalled that for </w:t>
      </w:r>
      <w:proofErr w:type="spellStart"/>
      <w:r>
        <w:rPr>
          <w:lang w:val="en-US"/>
        </w:rPr>
        <w:t>isatuximab</w:t>
      </w:r>
      <w:proofErr w:type="spellEnd"/>
      <w:r>
        <w:rPr>
          <w:lang w:val="en-US"/>
        </w:rPr>
        <w:t xml:space="preserve"> plus pomalidomide </w:t>
      </w:r>
      <w:r w:rsidR="008A5B55">
        <w:rPr>
          <w:lang w:val="en-US"/>
        </w:rPr>
        <w:t>and</w:t>
      </w:r>
      <w:r>
        <w:rPr>
          <w:lang w:val="en-US"/>
        </w:rPr>
        <w:t xml:space="preserve"> dexamethasone both the marketing </w:t>
      </w:r>
      <w:proofErr w:type="spellStart"/>
      <w:r>
        <w:rPr>
          <w:lang w:val="en-US"/>
        </w:rPr>
        <w:t>author</w:t>
      </w:r>
      <w:r w:rsidR="008A5B55">
        <w:rPr>
          <w:lang w:val="en-US"/>
        </w:rPr>
        <w:t>i</w:t>
      </w:r>
      <w:r>
        <w:rPr>
          <w:lang w:val="en-US"/>
        </w:rPr>
        <w:t>sation</w:t>
      </w:r>
      <w:proofErr w:type="spellEnd"/>
      <w:r>
        <w:rPr>
          <w:lang w:val="en-US"/>
        </w:rPr>
        <w:t xml:space="preserve"> and NICE</w:t>
      </w:r>
      <w:r w:rsidR="005C46CA">
        <w:rPr>
          <w:lang w:val="en-US"/>
        </w:rPr>
        <w:t>’s</w:t>
      </w:r>
      <w:r>
        <w:rPr>
          <w:lang w:val="en-US"/>
        </w:rPr>
        <w:t xml:space="preserve"> final scope included people who </w:t>
      </w:r>
      <w:r w:rsidR="008A5B55">
        <w:rPr>
          <w:lang w:val="en-US"/>
        </w:rPr>
        <w:t xml:space="preserve">have </w:t>
      </w:r>
      <w:r>
        <w:rPr>
          <w:lang w:val="en-US"/>
        </w:rPr>
        <w:t>had at least</w:t>
      </w:r>
      <w:r w:rsidR="00F451EA">
        <w:rPr>
          <w:lang w:val="en-US"/>
        </w:rPr>
        <w:t xml:space="preserve"> </w:t>
      </w:r>
      <w:r>
        <w:rPr>
          <w:lang w:val="en-US"/>
        </w:rPr>
        <w:t>2</w:t>
      </w:r>
      <w:r w:rsidR="008A5B55">
        <w:rPr>
          <w:lang w:val="en-US"/>
        </w:rPr>
        <w:t> </w:t>
      </w:r>
      <w:r>
        <w:rPr>
          <w:lang w:val="en-US"/>
        </w:rPr>
        <w:t xml:space="preserve">previous treatments, </w:t>
      </w:r>
      <w:r w:rsidR="00F451EA">
        <w:rPr>
          <w:lang w:val="en-US"/>
        </w:rPr>
        <w:t>to include</w:t>
      </w:r>
      <w:r>
        <w:rPr>
          <w:lang w:val="en-US"/>
        </w:rPr>
        <w:t xml:space="preserve"> lenalidomide and a proteasome inhibitor.</w:t>
      </w:r>
      <w:r w:rsidR="00B27DE1">
        <w:rPr>
          <w:lang w:val="en-US"/>
        </w:rPr>
        <w:t xml:space="preserve"> </w:t>
      </w:r>
      <w:r w:rsidR="008A5B55">
        <w:rPr>
          <w:lang w:val="en-US"/>
        </w:rPr>
        <w:t>It also</w:t>
      </w:r>
      <w:r w:rsidR="0001772E">
        <w:rPr>
          <w:lang w:val="en-US"/>
        </w:rPr>
        <w:t xml:space="preserve"> </w:t>
      </w:r>
      <w:r w:rsidR="0091168E">
        <w:rPr>
          <w:lang w:val="en-US"/>
        </w:rPr>
        <w:t xml:space="preserve">recalled </w:t>
      </w:r>
      <w:r w:rsidR="00EE3684">
        <w:rPr>
          <w:lang w:val="en-US"/>
        </w:rPr>
        <w:t>that lenalidomide and bortezomib are now options for untreated multiple myeloma and after 1</w:t>
      </w:r>
      <w:r w:rsidR="008A5B55">
        <w:rPr>
          <w:lang w:val="en-US"/>
        </w:rPr>
        <w:t> </w:t>
      </w:r>
      <w:r w:rsidR="00EE3684">
        <w:rPr>
          <w:lang w:val="en-US"/>
        </w:rPr>
        <w:t xml:space="preserve">previous treatment </w:t>
      </w:r>
      <w:r w:rsidR="0091168E">
        <w:rPr>
          <w:lang w:val="en-US"/>
        </w:rPr>
        <w:t>(see section</w:t>
      </w:r>
      <w:r w:rsidR="008A5B55">
        <w:rPr>
          <w:lang w:val="en-US"/>
        </w:rPr>
        <w:t> </w:t>
      </w:r>
      <w:r w:rsidR="0091168E">
        <w:rPr>
          <w:lang w:val="en-US"/>
        </w:rPr>
        <w:t xml:space="preserve">3.2). </w:t>
      </w:r>
      <w:r w:rsidRPr="009774C7">
        <w:t xml:space="preserve">The patient expert explained that </w:t>
      </w:r>
      <w:r>
        <w:rPr>
          <w:lang w:val="en-US"/>
        </w:rPr>
        <w:t>patient</w:t>
      </w:r>
      <w:r w:rsidR="008A5B55">
        <w:rPr>
          <w:lang w:val="en-US"/>
        </w:rPr>
        <w:t>s</w:t>
      </w:r>
      <w:r>
        <w:rPr>
          <w:lang w:val="en-US"/>
        </w:rPr>
        <w:t xml:space="preserve"> would prefer </w:t>
      </w:r>
      <w:r w:rsidR="008A5B55">
        <w:rPr>
          <w:lang w:val="en-US"/>
        </w:rPr>
        <w:t>any</w:t>
      </w:r>
      <w:r>
        <w:rPr>
          <w:lang w:val="en-US"/>
        </w:rPr>
        <w:t xml:space="preserve"> NICE recommendation </w:t>
      </w:r>
      <w:r w:rsidR="008A5B55">
        <w:rPr>
          <w:lang w:val="en-US"/>
        </w:rPr>
        <w:t xml:space="preserve">to </w:t>
      </w:r>
      <w:r>
        <w:rPr>
          <w:lang w:val="en-US"/>
        </w:rPr>
        <w:t xml:space="preserve">include the population covered by the marketing </w:t>
      </w:r>
      <w:proofErr w:type="spellStart"/>
      <w:r>
        <w:rPr>
          <w:lang w:val="en-US"/>
        </w:rPr>
        <w:t>authorisation</w:t>
      </w:r>
      <w:proofErr w:type="spellEnd"/>
      <w:r>
        <w:rPr>
          <w:lang w:val="en-US"/>
        </w:rPr>
        <w:t xml:space="preserve"> rather than restrict</w:t>
      </w:r>
      <w:r w:rsidR="008A5B55">
        <w:rPr>
          <w:lang w:val="en-US"/>
        </w:rPr>
        <w:t xml:space="preserve"> it</w:t>
      </w:r>
      <w:r>
        <w:rPr>
          <w:lang w:val="en-US"/>
        </w:rPr>
        <w:t xml:space="preserve"> to those who have had 3</w:t>
      </w:r>
      <w:r w:rsidR="008A5B55">
        <w:rPr>
          <w:lang w:val="en-US"/>
        </w:rPr>
        <w:t> </w:t>
      </w:r>
      <w:r>
        <w:rPr>
          <w:lang w:val="en-US"/>
        </w:rPr>
        <w:t>previous treatments.</w:t>
      </w:r>
      <w:r w:rsidRPr="009774C7">
        <w:t xml:space="preserve"> </w:t>
      </w:r>
      <w:r>
        <w:rPr>
          <w:lang w:val="en-US"/>
        </w:rPr>
        <w:t xml:space="preserve">The company </w:t>
      </w:r>
      <w:r w:rsidR="008A5B55">
        <w:rPr>
          <w:lang w:val="en-US"/>
        </w:rPr>
        <w:t xml:space="preserve">did an </w:t>
      </w:r>
      <w:r>
        <w:rPr>
          <w:lang w:val="en-US"/>
        </w:rPr>
        <w:t>analysis</w:t>
      </w:r>
      <w:r w:rsidR="00A91461">
        <w:rPr>
          <w:lang w:val="en-US"/>
        </w:rPr>
        <w:t>,</w:t>
      </w:r>
      <w:r>
        <w:rPr>
          <w:lang w:val="en-US"/>
        </w:rPr>
        <w:t xml:space="preserve"> </w:t>
      </w:r>
      <w:r w:rsidR="00A91461">
        <w:rPr>
          <w:lang w:val="en-US"/>
        </w:rPr>
        <w:t>using data from</w:t>
      </w:r>
      <w:r w:rsidR="008A5B55">
        <w:rPr>
          <w:lang w:val="en-US"/>
        </w:rPr>
        <w:t xml:space="preserve"> people who had had</w:t>
      </w:r>
      <w:r>
        <w:rPr>
          <w:lang w:val="en-US"/>
        </w:rPr>
        <w:t xml:space="preserve"> 2</w:t>
      </w:r>
      <w:r w:rsidR="00BC4B2A">
        <w:rPr>
          <w:lang w:val="en-US"/>
        </w:rPr>
        <w:t> </w:t>
      </w:r>
      <w:r>
        <w:rPr>
          <w:lang w:val="en-US"/>
        </w:rPr>
        <w:t>previous treatments</w:t>
      </w:r>
      <w:r w:rsidR="008A5B55">
        <w:rPr>
          <w:lang w:val="en-US"/>
        </w:rPr>
        <w:t>,</w:t>
      </w:r>
      <w:r>
        <w:rPr>
          <w:lang w:val="en-US"/>
        </w:rPr>
        <w:t xml:space="preserve"> comparing </w:t>
      </w:r>
      <w:proofErr w:type="spellStart"/>
      <w:r>
        <w:rPr>
          <w:lang w:val="en-US"/>
        </w:rPr>
        <w:t>isatuximab</w:t>
      </w:r>
      <w:proofErr w:type="spellEnd"/>
      <w:r>
        <w:rPr>
          <w:lang w:val="en-US"/>
        </w:rPr>
        <w:t xml:space="preserve"> plus pomalidomide </w:t>
      </w:r>
      <w:r w:rsidR="008A5B55">
        <w:rPr>
          <w:lang w:val="en-US"/>
        </w:rPr>
        <w:t xml:space="preserve">and </w:t>
      </w:r>
      <w:r>
        <w:rPr>
          <w:lang w:val="en-US"/>
        </w:rPr>
        <w:t xml:space="preserve">dexamethasone with pomalidomide </w:t>
      </w:r>
      <w:r w:rsidR="00696899">
        <w:rPr>
          <w:lang w:val="en-US"/>
        </w:rPr>
        <w:t>plus</w:t>
      </w:r>
      <w:r>
        <w:rPr>
          <w:lang w:val="en-US"/>
        </w:rPr>
        <w:t xml:space="preserve"> dexamethasone</w:t>
      </w:r>
      <w:r w:rsidR="00A91461">
        <w:rPr>
          <w:lang w:val="en-US"/>
        </w:rPr>
        <w:t>.</w:t>
      </w:r>
      <w:r>
        <w:rPr>
          <w:lang w:val="en-US"/>
        </w:rPr>
        <w:t xml:space="preserve"> </w:t>
      </w:r>
      <w:r w:rsidR="00A91461">
        <w:rPr>
          <w:lang w:val="en-US"/>
        </w:rPr>
        <w:t>B</w:t>
      </w:r>
      <w:r>
        <w:rPr>
          <w:lang w:val="en-US"/>
        </w:rPr>
        <w:t xml:space="preserve">ut </w:t>
      </w:r>
      <w:r w:rsidR="00A91461">
        <w:rPr>
          <w:lang w:val="en-US"/>
        </w:rPr>
        <w:t xml:space="preserve">it was </w:t>
      </w:r>
      <w:r w:rsidR="00F451EA">
        <w:rPr>
          <w:lang w:val="en-US"/>
        </w:rPr>
        <w:t>not</w:t>
      </w:r>
      <w:r>
        <w:rPr>
          <w:lang w:val="en-US"/>
        </w:rPr>
        <w:t xml:space="preserve"> compar</w:t>
      </w:r>
      <w:r w:rsidR="00F451EA">
        <w:rPr>
          <w:lang w:val="en-US"/>
        </w:rPr>
        <w:t>e</w:t>
      </w:r>
      <w:r w:rsidR="00A91461">
        <w:rPr>
          <w:lang w:val="en-US"/>
        </w:rPr>
        <w:t>d</w:t>
      </w:r>
      <w:r>
        <w:rPr>
          <w:lang w:val="en-US"/>
        </w:rPr>
        <w:t xml:space="preserve"> with </w:t>
      </w:r>
      <w:proofErr w:type="spellStart"/>
      <w:r>
        <w:rPr>
          <w:lang w:val="en-US"/>
        </w:rPr>
        <w:t>panobin</w:t>
      </w:r>
      <w:r w:rsidR="008A5B55">
        <w:rPr>
          <w:lang w:val="en-US"/>
        </w:rPr>
        <w:t>o</w:t>
      </w:r>
      <w:r>
        <w:rPr>
          <w:lang w:val="en-US"/>
        </w:rPr>
        <w:t>stat</w:t>
      </w:r>
      <w:proofErr w:type="spellEnd"/>
      <w:r>
        <w:rPr>
          <w:lang w:val="en-US"/>
        </w:rPr>
        <w:t xml:space="preserve"> plus bortezomib </w:t>
      </w:r>
      <w:r w:rsidR="00BC4B2A">
        <w:rPr>
          <w:lang w:val="en-US"/>
        </w:rPr>
        <w:t>and</w:t>
      </w:r>
      <w:r>
        <w:rPr>
          <w:lang w:val="en-US"/>
        </w:rPr>
        <w:t xml:space="preserve"> dexamethasone, the comparator listed in </w:t>
      </w:r>
      <w:r w:rsidR="005C46CA">
        <w:rPr>
          <w:lang w:val="en-US"/>
        </w:rPr>
        <w:t xml:space="preserve">NICE’s </w:t>
      </w:r>
      <w:r>
        <w:rPr>
          <w:lang w:val="en-US"/>
        </w:rPr>
        <w:t xml:space="preserve">final scope </w:t>
      </w:r>
      <w:r w:rsidR="00BF5E55">
        <w:rPr>
          <w:lang w:val="en-US"/>
        </w:rPr>
        <w:t xml:space="preserve">after </w:t>
      </w:r>
      <w:r>
        <w:rPr>
          <w:lang w:val="en-US"/>
        </w:rPr>
        <w:t>2</w:t>
      </w:r>
      <w:r w:rsidR="00BF5E55">
        <w:rPr>
          <w:lang w:val="en-US"/>
        </w:rPr>
        <w:t> </w:t>
      </w:r>
      <w:r>
        <w:rPr>
          <w:lang w:val="en-US"/>
        </w:rPr>
        <w:t>previous treatments.</w:t>
      </w:r>
      <w:r w:rsidR="00394A9C">
        <w:rPr>
          <w:lang w:val="en-US"/>
        </w:rPr>
        <w:t xml:space="preserve"> </w:t>
      </w:r>
      <w:r w:rsidR="005A5C7F">
        <w:rPr>
          <w:lang w:val="en-US"/>
        </w:rPr>
        <w:t>The C</w:t>
      </w:r>
      <w:r w:rsidR="008A5B55">
        <w:rPr>
          <w:lang w:val="en-US"/>
        </w:rPr>
        <w:t xml:space="preserve">ancer </w:t>
      </w:r>
      <w:r w:rsidR="005A5C7F">
        <w:rPr>
          <w:lang w:val="en-US"/>
        </w:rPr>
        <w:t>D</w:t>
      </w:r>
      <w:r w:rsidR="008A5B55">
        <w:rPr>
          <w:lang w:val="en-US"/>
        </w:rPr>
        <w:t xml:space="preserve">rugs </w:t>
      </w:r>
      <w:r w:rsidR="005A5C7F">
        <w:rPr>
          <w:lang w:val="en-US"/>
        </w:rPr>
        <w:t>F</w:t>
      </w:r>
      <w:r w:rsidR="008A5B55">
        <w:rPr>
          <w:lang w:val="en-US"/>
        </w:rPr>
        <w:t>und</w:t>
      </w:r>
      <w:r w:rsidR="005A5C7F">
        <w:rPr>
          <w:lang w:val="en-US"/>
        </w:rPr>
        <w:t xml:space="preserve"> clinical lead explained that </w:t>
      </w:r>
      <w:r w:rsidR="00394A9C">
        <w:rPr>
          <w:lang w:val="en-US"/>
        </w:rPr>
        <w:t>the</w:t>
      </w:r>
      <w:r w:rsidR="0091168E">
        <w:rPr>
          <w:lang w:val="en-US"/>
        </w:rPr>
        <w:t xml:space="preserve"> increased use of</w:t>
      </w:r>
      <w:r w:rsidR="0001772E">
        <w:rPr>
          <w:lang w:val="en-US"/>
        </w:rPr>
        <w:t xml:space="preserve"> lenalidomide and a proteasome inhibitor </w:t>
      </w:r>
      <w:r w:rsidR="0091168E">
        <w:rPr>
          <w:lang w:val="en-US"/>
        </w:rPr>
        <w:t xml:space="preserve">earlier in the treatment pathway has meant that there is an increasing need for new and effective </w:t>
      </w:r>
      <w:r w:rsidR="00A91461">
        <w:rPr>
          <w:lang w:val="en-US"/>
        </w:rPr>
        <w:t xml:space="preserve">third-line </w:t>
      </w:r>
      <w:r w:rsidR="0091168E">
        <w:rPr>
          <w:lang w:val="en-US"/>
        </w:rPr>
        <w:t xml:space="preserve">treatment options. </w:t>
      </w:r>
      <w:r w:rsidR="007D27A7">
        <w:rPr>
          <w:lang w:val="en-US"/>
        </w:rPr>
        <w:t xml:space="preserve">The committee concluded that there is unmet need for new effective treatment options </w:t>
      </w:r>
      <w:r w:rsidR="00765BB8">
        <w:rPr>
          <w:lang w:val="en-US"/>
        </w:rPr>
        <w:t>for people who have had 2 previous treatments</w:t>
      </w:r>
      <w:r w:rsidR="006B4059">
        <w:rPr>
          <w:lang w:val="en-US"/>
        </w:rPr>
        <w:t>. I</w:t>
      </w:r>
      <w:r w:rsidR="008A5B55">
        <w:rPr>
          <w:lang w:val="en-US"/>
        </w:rPr>
        <w:t>t</w:t>
      </w:r>
      <w:r w:rsidR="007D27A7">
        <w:rPr>
          <w:lang w:val="en-US"/>
        </w:rPr>
        <w:t xml:space="preserve"> would welcome evidence </w:t>
      </w:r>
      <w:r w:rsidR="00F451EA">
        <w:rPr>
          <w:lang w:val="en-US"/>
        </w:rPr>
        <w:t xml:space="preserve">for </w:t>
      </w:r>
      <w:r w:rsidR="007D27A7">
        <w:rPr>
          <w:lang w:val="en-US"/>
        </w:rPr>
        <w:t xml:space="preserve">this population </w:t>
      </w:r>
      <w:r w:rsidR="006B4059">
        <w:rPr>
          <w:lang w:val="en-US"/>
        </w:rPr>
        <w:t xml:space="preserve">compared with </w:t>
      </w:r>
      <w:r w:rsidR="007D27A7">
        <w:rPr>
          <w:lang w:val="en-US"/>
        </w:rPr>
        <w:t>the relevant comparator in NICE</w:t>
      </w:r>
      <w:r w:rsidR="005C46CA">
        <w:rPr>
          <w:lang w:val="en-US"/>
        </w:rPr>
        <w:t>’s final</w:t>
      </w:r>
      <w:r w:rsidR="007D27A7">
        <w:rPr>
          <w:lang w:val="en-US"/>
        </w:rPr>
        <w:t xml:space="preserve"> scope.</w:t>
      </w:r>
    </w:p>
    <w:p w14:paraId="14958F16" w14:textId="77777777" w:rsidR="0062224C" w:rsidRDefault="0062224C" w:rsidP="0062224C">
      <w:pPr>
        <w:pStyle w:val="Heading2"/>
      </w:pPr>
      <w:r>
        <w:t>Comparators</w:t>
      </w:r>
    </w:p>
    <w:p w14:paraId="489F08DF" w14:textId="457326E4" w:rsidR="0062224C" w:rsidRDefault="00672E01" w:rsidP="0062224C">
      <w:pPr>
        <w:pStyle w:val="Heading3"/>
      </w:pPr>
      <w:r>
        <w:t>After 3</w:t>
      </w:r>
      <w:r w:rsidR="00667527">
        <w:t> </w:t>
      </w:r>
      <w:r>
        <w:t>previous t</w:t>
      </w:r>
      <w:r w:rsidR="003D4E18">
        <w:t>reatment</w:t>
      </w:r>
      <w:r>
        <w:t xml:space="preserve">s, pomalidomide </w:t>
      </w:r>
      <w:r w:rsidR="00667527">
        <w:t>plus</w:t>
      </w:r>
      <w:r>
        <w:t xml:space="preserve"> dexamethasone </w:t>
      </w:r>
      <w:r w:rsidR="005E414A">
        <w:t xml:space="preserve">is the </w:t>
      </w:r>
      <w:r w:rsidR="006B75AF">
        <w:t xml:space="preserve">only </w:t>
      </w:r>
      <w:r w:rsidR="005E414A">
        <w:t>relevant comparator</w:t>
      </w:r>
    </w:p>
    <w:p w14:paraId="384FA91B" w14:textId="3D2F4AF5" w:rsidR="00C8555E" w:rsidRPr="00462220" w:rsidRDefault="0062224C" w:rsidP="00462220">
      <w:pPr>
        <w:pStyle w:val="Numberedlevel2text"/>
      </w:pPr>
      <w:r w:rsidRPr="00383DDF">
        <w:t>NICE guidance rec</w:t>
      </w:r>
      <w:r w:rsidRPr="006340FE">
        <w:t xml:space="preserve">ommends both pomalidomide </w:t>
      </w:r>
      <w:r w:rsidR="00667527">
        <w:rPr>
          <w:lang w:val="en-GB"/>
        </w:rPr>
        <w:t>plus</w:t>
      </w:r>
      <w:r w:rsidRPr="006340FE">
        <w:t xml:space="preserve"> dexamethasone and </w:t>
      </w:r>
      <w:proofErr w:type="spellStart"/>
      <w:r w:rsidRPr="006340FE">
        <w:t>panobinostat</w:t>
      </w:r>
      <w:proofErr w:type="spellEnd"/>
      <w:r w:rsidRPr="006340FE">
        <w:t xml:space="preserve"> </w:t>
      </w:r>
      <w:r w:rsidRPr="00AB677A">
        <w:rPr>
          <w:lang w:val="en-US"/>
        </w:rPr>
        <w:t>plus</w:t>
      </w:r>
      <w:r w:rsidRPr="00AB677A">
        <w:t xml:space="preserve"> bortezomib </w:t>
      </w:r>
      <w:r w:rsidR="003D4E18">
        <w:rPr>
          <w:lang w:val="en-GB"/>
        </w:rPr>
        <w:t>and</w:t>
      </w:r>
      <w:r w:rsidRPr="00462220">
        <w:t xml:space="preserve"> dexamethasone as </w:t>
      </w:r>
      <w:r w:rsidR="00667527">
        <w:rPr>
          <w:lang w:val="en-GB"/>
        </w:rPr>
        <w:t xml:space="preserve">fourth-line </w:t>
      </w:r>
      <w:r w:rsidRPr="00CB196E">
        <w:t>treatment options</w:t>
      </w:r>
      <w:r w:rsidR="00672E01" w:rsidRPr="00CB196E">
        <w:rPr>
          <w:lang w:val="en-US"/>
        </w:rPr>
        <w:t xml:space="preserve"> </w:t>
      </w:r>
      <w:r w:rsidR="00667527">
        <w:rPr>
          <w:lang w:val="en-US"/>
        </w:rPr>
        <w:t>(</w:t>
      </w:r>
      <w:r w:rsidR="00672E01" w:rsidRPr="00CB196E">
        <w:rPr>
          <w:lang w:val="en-US"/>
        </w:rPr>
        <w:t>after 3</w:t>
      </w:r>
      <w:r w:rsidR="003D4E18">
        <w:rPr>
          <w:lang w:val="en-US"/>
        </w:rPr>
        <w:t> </w:t>
      </w:r>
      <w:r w:rsidR="00672E01" w:rsidRPr="00CB196E">
        <w:rPr>
          <w:lang w:val="en-US"/>
        </w:rPr>
        <w:t>previous t</w:t>
      </w:r>
      <w:r w:rsidR="003D4E18">
        <w:rPr>
          <w:lang w:val="en-US"/>
        </w:rPr>
        <w:t>reatment</w:t>
      </w:r>
      <w:r w:rsidR="00672E01" w:rsidRPr="00CB196E">
        <w:rPr>
          <w:lang w:val="en-US"/>
        </w:rPr>
        <w:t>s</w:t>
      </w:r>
      <w:r w:rsidR="00667527">
        <w:rPr>
          <w:lang w:val="en-US"/>
        </w:rPr>
        <w:t>)</w:t>
      </w:r>
      <w:r w:rsidR="00672E01" w:rsidRPr="00CB196E">
        <w:rPr>
          <w:lang w:val="en-US"/>
        </w:rPr>
        <w:t xml:space="preserve"> </w:t>
      </w:r>
      <w:r w:rsidRPr="00CB196E">
        <w:t xml:space="preserve">for </w:t>
      </w:r>
      <w:r w:rsidRPr="00462220">
        <w:t>multiple myeloma</w:t>
      </w:r>
      <w:r w:rsidR="003D4E18">
        <w:rPr>
          <w:lang w:val="en-GB"/>
        </w:rPr>
        <w:t xml:space="preserve">. </w:t>
      </w:r>
      <w:r w:rsidR="00672E01" w:rsidRPr="00FF71A1">
        <w:rPr>
          <w:lang w:val="en-US"/>
        </w:rPr>
        <w:t>NICE</w:t>
      </w:r>
      <w:r w:rsidR="005C46CA">
        <w:rPr>
          <w:lang w:val="en-US"/>
        </w:rPr>
        <w:t>’s</w:t>
      </w:r>
      <w:r w:rsidR="00672E01" w:rsidRPr="00FF71A1">
        <w:rPr>
          <w:lang w:val="en-US"/>
        </w:rPr>
        <w:t xml:space="preserve"> final scope </w:t>
      </w:r>
      <w:r w:rsidR="00294341">
        <w:rPr>
          <w:lang w:val="en-US"/>
        </w:rPr>
        <w:t xml:space="preserve">for this appraisal </w:t>
      </w:r>
      <w:r w:rsidR="00672E01" w:rsidRPr="00FF71A1">
        <w:rPr>
          <w:lang w:val="en-US"/>
        </w:rPr>
        <w:t>lists these as the comparators</w:t>
      </w:r>
      <w:r w:rsidR="00672E01" w:rsidRPr="00CB196E">
        <w:rPr>
          <w:lang w:val="en-US"/>
        </w:rPr>
        <w:t>.</w:t>
      </w:r>
      <w:r w:rsidR="00C75A42" w:rsidRPr="00CB196E">
        <w:rPr>
          <w:lang w:val="en-US"/>
        </w:rPr>
        <w:t xml:space="preserve"> The committee recalled that treatments recommended in the Cancer Drugs </w:t>
      </w:r>
      <w:r w:rsidR="00C75A42" w:rsidRPr="00CB196E">
        <w:rPr>
          <w:lang w:val="en-US"/>
        </w:rPr>
        <w:lastRenderedPageBreak/>
        <w:t xml:space="preserve">Fund </w:t>
      </w:r>
      <w:r w:rsidR="00C75A42" w:rsidRPr="00383DDF">
        <w:rPr>
          <w:lang w:val="en-US"/>
        </w:rPr>
        <w:t xml:space="preserve">are not considered </w:t>
      </w:r>
      <w:r w:rsidR="00C75A42" w:rsidRPr="00AB677A">
        <w:rPr>
          <w:lang w:val="en-US"/>
        </w:rPr>
        <w:t>to be c</w:t>
      </w:r>
      <w:r w:rsidR="00C75A42" w:rsidRPr="000876F5">
        <w:rPr>
          <w:lang w:val="en-US"/>
        </w:rPr>
        <w:t>omparators</w:t>
      </w:r>
      <w:r w:rsidR="00C75A42" w:rsidRPr="00FF71A1">
        <w:rPr>
          <w:lang w:val="en-US"/>
        </w:rPr>
        <w:t>.</w:t>
      </w:r>
      <w:r w:rsidR="0094372D" w:rsidRPr="00CB196E">
        <w:rPr>
          <w:lang w:val="en-US"/>
        </w:rPr>
        <w:t xml:space="preserve"> </w:t>
      </w:r>
      <w:r w:rsidRPr="00CB196E">
        <w:t>The company</w:t>
      </w:r>
      <w:r w:rsidR="00672E01" w:rsidRPr="00CB196E">
        <w:rPr>
          <w:lang w:val="en-US"/>
        </w:rPr>
        <w:t xml:space="preserve"> </w:t>
      </w:r>
      <w:r w:rsidR="00F451EA">
        <w:rPr>
          <w:lang w:val="en-US"/>
        </w:rPr>
        <w:t>did not consider</w:t>
      </w:r>
      <w:r w:rsidR="00F451EA" w:rsidRPr="00CB196E">
        <w:t xml:space="preserve"> </w:t>
      </w:r>
      <w:proofErr w:type="spellStart"/>
      <w:r w:rsidRPr="00CB196E">
        <w:t>panobinostat</w:t>
      </w:r>
      <w:proofErr w:type="spellEnd"/>
      <w:r w:rsidRPr="00CB196E">
        <w:t xml:space="preserve"> </w:t>
      </w:r>
      <w:r w:rsidRPr="00CB196E">
        <w:rPr>
          <w:lang w:val="en-US"/>
        </w:rPr>
        <w:t>plus</w:t>
      </w:r>
      <w:r w:rsidRPr="00CB196E">
        <w:t xml:space="preserve"> bortezomib </w:t>
      </w:r>
      <w:r w:rsidR="003D4E18">
        <w:rPr>
          <w:lang w:val="en-GB"/>
        </w:rPr>
        <w:t>and</w:t>
      </w:r>
      <w:r w:rsidRPr="00CB196E">
        <w:t xml:space="preserve"> dexamethasone </w:t>
      </w:r>
      <w:r w:rsidR="00F451EA">
        <w:rPr>
          <w:lang w:val="en-US"/>
        </w:rPr>
        <w:t>to be</w:t>
      </w:r>
      <w:r w:rsidRPr="00CB196E">
        <w:t xml:space="preserve"> a relevant comparator to </w:t>
      </w:r>
      <w:proofErr w:type="spellStart"/>
      <w:r w:rsidRPr="00CB196E">
        <w:t>isatuximab</w:t>
      </w:r>
      <w:proofErr w:type="spellEnd"/>
      <w:r w:rsidRPr="00CB196E">
        <w:t xml:space="preserve"> </w:t>
      </w:r>
      <w:r w:rsidRPr="00CB196E">
        <w:rPr>
          <w:lang w:val="en-US"/>
        </w:rPr>
        <w:t>plus</w:t>
      </w:r>
      <w:r w:rsidRPr="00CB196E">
        <w:t xml:space="preserve"> pomalidomide </w:t>
      </w:r>
      <w:r w:rsidR="003D4E18">
        <w:rPr>
          <w:lang w:val="en-GB"/>
        </w:rPr>
        <w:t>and</w:t>
      </w:r>
      <w:r w:rsidRPr="00CB196E">
        <w:t xml:space="preserve"> dexamethasone </w:t>
      </w:r>
      <w:r w:rsidR="00672E01" w:rsidRPr="00CB196E">
        <w:rPr>
          <w:lang w:val="en-US"/>
        </w:rPr>
        <w:t>after 3</w:t>
      </w:r>
      <w:r w:rsidR="003D4E18">
        <w:rPr>
          <w:lang w:val="en-US"/>
        </w:rPr>
        <w:t> </w:t>
      </w:r>
      <w:r w:rsidR="00672E01" w:rsidRPr="00CB196E">
        <w:rPr>
          <w:lang w:val="en-US"/>
        </w:rPr>
        <w:t>pr</w:t>
      </w:r>
      <w:r w:rsidR="00667527">
        <w:rPr>
          <w:lang w:val="en-US"/>
        </w:rPr>
        <w:t>evious</w:t>
      </w:r>
      <w:r w:rsidR="00672E01" w:rsidRPr="00CB196E">
        <w:rPr>
          <w:lang w:val="en-US"/>
        </w:rPr>
        <w:t xml:space="preserve"> treatments</w:t>
      </w:r>
      <w:r w:rsidRPr="00CB196E">
        <w:t xml:space="preserve">. </w:t>
      </w:r>
      <w:r w:rsidR="00294341">
        <w:rPr>
          <w:lang w:val="en-GB"/>
        </w:rPr>
        <w:t>It</w:t>
      </w:r>
      <w:r w:rsidR="00294341" w:rsidRPr="00CB196E">
        <w:t xml:space="preserve"> </w:t>
      </w:r>
      <w:r w:rsidRPr="00CB196E">
        <w:t xml:space="preserve">explained that this was </w:t>
      </w:r>
      <w:r w:rsidR="00294341">
        <w:rPr>
          <w:lang w:val="en-GB"/>
        </w:rPr>
        <w:t>because of</w:t>
      </w:r>
      <w:r w:rsidRPr="00CB196E">
        <w:t xml:space="preserve"> toxic</w:t>
      </w:r>
      <w:r w:rsidR="00294341">
        <w:rPr>
          <w:lang w:val="en-GB"/>
        </w:rPr>
        <w:t xml:space="preserve"> adverse effects</w:t>
      </w:r>
      <w:r w:rsidRPr="00CB196E">
        <w:t xml:space="preserve"> and the lack of perceived efficacy among clinicians</w:t>
      </w:r>
      <w:r w:rsidR="00294341">
        <w:rPr>
          <w:lang w:val="en-GB"/>
        </w:rPr>
        <w:t xml:space="preserve"> it consulted</w:t>
      </w:r>
      <w:r w:rsidRPr="00CB196E">
        <w:t xml:space="preserve">, which </w:t>
      </w:r>
      <w:r w:rsidR="003D4E18">
        <w:rPr>
          <w:lang w:val="en-GB"/>
        </w:rPr>
        <w:t xml:space="preserve">means it is </w:t>
      </w:r>
      <w:r w:rsidR="00294341">
        <w:rPr>
          <w:lang w:val="en-US"/>
        </w:rPr>
        <w:t xml:space="preserve">usually </w:t>
      </w:r>
      <w:r w:rsidR="009732E4">
        <w:rPr>
          <w:lang w:val="en-US"/>
        </w:rPr>
        <w:t>use</w:t>
      </w:r>
      <w:r w:rsidR="003D4E18">
        <w:rPr>
          <w:lang w:val="en-US"/>
        </w:rPr>
        <w:t>d</w:t>
      </w:r>
      <w:r w:rsidR="009732E4">
        <w:rPr>
          <w:lang w:val="en-US"/>
        </w:rPr>
        <w:t xml:space="preserve"> after 4</w:t>
      </w:r>
      <w:r w:rsidR="003D4E18">
        <w:rPr>
          <w:lang w:val="en-US"/>
        </w:rPr>
        <w:t> </w:t>
      </w:r>
      <w:r w:rsidR="009732E4">
        <w:rPr>
          <w:lang w:val="en-US"/>
        </w:rPr>
        <w:t>previous treatments.</w:t>
      </w:r>
      <w:r w:rsidRPr="00CB196E">
        <w:t xml:space="preserve"> </w:t>
      </w:r>
      <w:r w:rsidR="00543C0E" w:rsidRPr="00CB196E">
        <w:rPr>
          <w:lang w:val="en-US"/>
        </w:rPr>
        <w:t>But to</w:t>
      </w:r>
      <w:r w:rsidR="00672E01" w:rsidRPr="00CB196E">
        <w:rPr>
          <w:lang w:val="en-US"/>
        </w:rPr>
        <w:t xml:space="preserve"> comply with </w:t>
      </w:r>
      <w:r w:rsidR="00922BFE">
        <w:rPr>
          <w:lang w:val="en-US"/>
        </w:rPr>
        <w:t>NICE’s</w:t>
      </w:r>
      <w:r w:rsidR="00922BFE" w:rsidRPr="00CB196E">
        <w:rPr>
          <w:lang w:val="en-US"/>
        </w:rPr>
        <w:t xml:space="preserve"> </w:t>
      </w:r>
      <w:r w:rsidR="00672E01" w:rsidRPr="00CB196E">
        <w:rPr>
          <w:lang w:val="en-US"/>
        </w:rPr>
        <w:t>final scope</w:t>
      </w:r>
      <w:r w:rsidR="00667527">
        <w:rPr>
          <w:lang w:val="en-US"/>
        </w:rPr>
        <w:t>,</w:t>
      </w:r>
      <w:r w:rsidR="00672E01" w:rsidRPr="00CB196E">
        <w:rPr>
          <w:lang w:val="en-US"/>
        </w:rPr>
        <w:t xml:space="preserve"> the company presented evidence comparing the clinical and cost</w:t>
      </w:r>
      <w:r w:rsidR="003D4E18">
        <w:rPr>
          <w:lang w:val="en-US"/>
        </w:rPr>
        <w:t xml:space="preserve"> </w:t>
      </w:r>
      <w:r w:rsidR="00672E01" w:rsidRPr="00CB196E">
        <w:rPr>
          <w:lang w:val="en-US"/>
        </w:rPr>
        <w:t>effectiv</w:t>
      </w:r>
      <w:r w:rsidR="00543C0E" w:rsidRPr="00CB196E">
        <w:rPr>
          <w:lang w:val="en-US"/>
        </w:rPr>
        <w:t>e</w:t>
      </w:r>
      <w:r w:rsidR="00672E01" w:rsidRPr="00CB196E">
        <w:rPr>
          <w:lang w:val="en-US"/>
        </w:rPr>
        <w:t xml:space="preserve">ness of </w:t>
      </w:r>
      <w:proofErr w:type="spellStart"/>
      <w:r w:rsidR="00672E01" w:rsidRPr="00CB196E">
        <w:rPr>
          <w:lang w:val="en-US"/>
        </w:rPr>
        <w:t>isatuximab</w:t>
      </w:r>
      <w:proofErr w:type="spellEnd"/>
      <w:r w:rsidR="00672E01" w:rsidRPr="00CB196E">
        <w:rPr>
          <w:lang w:val="en-US"/>
        </w:rPr>
        <w:t xml:space="preserve"> plus</w:t>
      </w:r>
      <w:r w:rsidR="00543C0E" w:rsidRPr="00CB196E">
        <w:rPr>
          <w:lang w:val="en-US"/>
        </w:rPr>
        <w:t xml:space="preserve"> pomalidomide </w:t>
      </w:r>
      <w:r w:rsidR="003D4E18">
        <w:rPr>
          <w:lang w:val="en-US"/>
        </w:rPr>
        <w:t>and</w:t>
      </w:r>
      <w:r w:rsidR="00543C0E" w:rsidRPr="00CB196E">
        <w:rPr>
          <w:lang w:val="en-US"/>
        </w:rPr>
        <w:t xml:space="preserve"> dexamethasone with </w:t>
      </w:r>
      <w:proofErr w:type="spellStart"/>
      <w:r w:rsidR="00543C0E" w:rsidRPr="00CB196E">
        <w:rPr>
          <w:lang w:val="en-US"/>
        </w:rPr>
        <w:t>panobinostat</w:t>
      </w:r>
      <w:proofErr w:type="spellEnd"/>
      <w:r w:rsidR="00543C0E" w:rsidRPr="00CB196E">
        <w:rPr>
          <w:lang w:val="en-US"/>
        </w:rPr>
        <w:t xml:space="preserve"> plus bortezomib </w:t>
      </w:r>
      <w:r w:rsidR="003D4E18">
        <w:rPr>
          <w:lang w:val="en-US"/>
        </w:rPr>
        <w:t>and</w:t>
      </w:r>
      <w:r w:rsidR="00543C0E" w:rsidRPr="00CB196E">
        <w:rPr>
          <w:lang w:val="en-US"/>
        </w:rPr>
        <w:t xml:space="preserve"> dexamethasone</w:t>
      </w:r>
      <w:r w:rsidR="003D4E18">
        <w:rPr>
          <w:lang w:val="en-US"/>
        </w:rPr>
        <w:t>. This</w:t>
      </w:r>
      <w:r w:rsidR="00543C0E" w:rsidRPr="00CB196E">
        <w:rPr>
          <w:lang w:val="en-US"/>
        </w:rPr>
        <w:t xml:space="preserve"> includ</w:t>
      </w:r>
      <w:r w:rsidR="003D4E18">
        <w:rPr>
          <w:lang w:val="en-US"/>
        </w:rPr>
        <w:t>ed</w:t>
      </w:r>
      <w:r w:rsidR="00294341">
        <w:rPr>
          <w:lang w:val="en-US"/>
        </w:rPr>
        <w:t xml:space="preserve"> </w:t>
      </w:r>
      <w:r w:rsidR="00543C0E" w:rsidRPr="00CB196E">
        <w:rPr>
          <w:lang w:val="en-US"/>
        </w:rPr>
        <w:t>an indirect treatment comparison for clinical effectiveness</w:t>
      </w:r>
      <w:r w:rsidR="00667527">
        <w:rPr>
          <w:lang w:val="en-US"/>
        </w:rPr>
        <w:t xml:space="preserve"> because there was no trial directly comparing the 2 treatments</w:t>
      </w:r>
      <w:r w:rsidR="00543C0E" w:rsidRPr="00CB196E">
        <w:rPr>
          <w:lang w:val="en-US"/>
        </w:rPr>
        <w:t xml:space="preserve">. </w:t>
      </w:r>
      <w:r w:rsidRPr="00CB196E">
        <w:t xml:space="preserve">The ERG noted that </w:t>
      </w:r>
      <w:r w:rsidR="003D4E18">
        <w:rPr>
          <w:lang w:val="en-GB"/>
        </w:rPr>
        <w:t>1</w:t>
      </w:r>
      <w:r w:rsidR="007A025B">
        <w:rPr>
          <w:lang w:val="en-GB"/>
        </w:rPr>
        <w:t> </w:t>
      </w:r>
      <w:r w:rsidRPr="00CB196E">
        <w:t xml:space="preserve">of </w:t>
      </w:r>
      <w:r w:rsidR="00C81767">
        <w:rPr>
          <w:lang w:val="en-GB"/>
        </w:rPr>
        <w:t>its</w:t>
      </w:r>
      <w:r w:rsidRPr="00CB196E">
        <w:t xml:space="preserve"> clinical advis</w:t>
      </w:r>
      <w:r w:rsidR="003D4E18">
        <w:rPr>
          <w:lang w:val="en-GB"/>
        </w:rPr>
        <w:t>e</w:t>
      </w:r>
      <w:proofErr w:type="spellStart"/>
      <w:r w:rsidRPr="00CB196E">
        <w:t>rs</w:t>
      </w:r>
      <w:proofErr w:type="spellEnd"/>
      <w:r w:rsidRPr="00CB196E">
        <w:t xml:space="preserve"> agreed with the company’s position, but </w:t>
      </w:r>
      <w:r w:rsidR="003D4E18">
        <w:rPr>
          <w:lang w:val="en-GB"/>
        </w:rPr>
        <w:t>2</w:t>
      </w:r>
      <w:r w:rsidR="00C81767">
        <w:rPr>
          <w:lang w:val="en-GB"/>
        </w:rPr>
        <w:t> </w:t>
      </w:r>
      <w:r w:rsidRPr="00CB196E">
        <w:t xml:space="preserve">stated that </w:t>
      </w:r>
      <w:proofErr w:type="spellStart"/>
      <w:r w:rsidRPr="00CB196E">
        <w:t>panobinostat</w:t>
      </w:r>
      <w:proofErr w:type="spellEnd"/>
      <w:r w:rsidRPr="00CB196E">
        <w:t xml:space="preserve"> </w:t>
      </w:r>
      <w:r w:rsidRPr="00CB196E">
        <w:rPr>
          <w:lang w:val="en-US"/>
        </w:rPr>
        <w:t>plus</w:t>
      </w:r>
      <w:r w:rsidRPr="00CB196E">
        <w:t xml:space="preserve"> bortezomib </w:t>
      </w:r>
      <w:r w:rsidR="003D4E18">
        <w:rPr>
          <w:lang w:val="en-GB"/>
        </w:rPr>
        <w:t>and</w:t>
      </w:r>
      <w:r w:rsidRPr="00CB196E">
        <w:t xml:space="preserve"> dexamethasone is used </w:t>
      </w:r>
      <w:r w:rsidR="009732E4">
        <w:rPr>
          <w:lang w:val="en-US"/>
        </w:rPr>
        <w:t>after 3</w:t>
      </w:r>
      <w:r w:rsidR="003D4E18">
        <w:rPr>
          <w:lang w:val="en-US"/>
        </w:rPr>
        <w:t> </w:t>
      </w:r>
      <w:r w:rsidR="009732E4">
        <w:rPr>
          <w:lang w:val="en-US"/>
        </w:rPr>
        <w:t xml:space="preserve">previous treatments and </w:t>
      </w:r>
      <w:r w:rsidRPr="00CB196E">
        <w:t xml:space="preserve">toxicity </w:t>
      </w:r>
      <w:r w:rsidR="009732E4">
        <w:rPr>
          <w:lang w:val="en-US"/>
        </w:rPr>
        <w:t xml:space="preserve">is </w:t>
      </w:r>
      <w:r w:rsidRPr="00462220">
        <w:t xml:space="preserve">managed by </w:t>
      </w:r>
      <w:r w:rsidR="001C5DA7">
        <w:rPr>
          <w:lang w:val="en-GB"/>
        </w:rPr>
        <w:t xml:space="preserve">adjusting the </w:t>
      </w:r>
      <w:r w:rsidRPr="00462220">
        <w:t>dose</w:t>
      </w:r>
      <w:r w:rsidRPr="00CB196E">
        <w:t xml:space="preserve">. The clinical experts </w:t>
      </w:r>
      <w:r w:rsidR="003D4E18">
        <w:rPr>
          <w:lang w:val="en-GB"/>
        </w:rPr>
        <w:t>at</w:t>
      </w:r>
      <w:r w:rsidR="00294341">
        <w:rPr>
          <w:lang w:val="en-GB"/>
        </w:rPr>
        <w:t xml:space="preserve"> the meeting </w:t>
      </w:r>
      <w:r w:rsidRPr="00CB196E">
        <w:t>explained that daratumumab</w:t>
      </w:r>
      <w:r w:rsidR="000D64FA">
        <w:rPr>
          <w:lang w:val="en-GB"/>
        </w:rPr>
        <w:t>,</w:t>
      </w:r>
      <w:r w:rsidRPr="00CB196E">
        <w:t xml:space="preserve"> </w:t>
      </w:r>
      <w:r w:rsidR="00643C00">
        <w:rPr>
          <w:lang w:val="en-US"/>
        </w:rPr>
        <w:t>available</w:t>
      </w:r>
      <w:r w:rsidR="00294341">
        <w:rPr>
          <w:lang w:val="en-US"/>
        </w:rPr>
        <w:t xml:space="preserve"> </w:t>
      </w:r>
      <w:r w:rsidR="001810F1">
        <w:rPr>
          <w:lang w:val="en-US"/>
        </w:rPr>
        <w:t>in</w:t>
      </w:r>
      <w:r w:rsidRPr="00462220">
        <w:t xml:space="preserve"> the Cancer Drug</w:t>
      </w:r>
      <w:r w:rsidR="003D4E18">
        <w:rPr>
          <w:lang w:val="en-GB"/>
        </w:rPr>
        <w:t>s</w:t>
      </w:r>
      <w:r w:rsidRPr="00CB196E">
        <w:t xml:space="preserve"> Fund, </w:t>
      </w:r>
      <w:r w:rsidR="000D64FA">
        <w:rPr>
          <w:lang w:val="en-GB"/>
        </w:rPr>
        <w:t>or pomalidomide plus dexamethasone are</w:t>
      </w:r>
      <w:r w:rsidR="003D4E18">
        <w:rPr>
          <w:lang w:val="en-GB"/>
        </w:rPr>
        <w:t xml:space="preserve"> </w:t>
      </w:r>
      <w:r w:rsidR="005E6104">
        <w:rPr>
          <w:lang w:val="en-GB"/>
        </w:rPr>
        <w:t>the most commonly used options</w:t>
      </w:r>
      <w:r w:rsidR="000D64FA">
        <w:rPr>
          <w:lang w:val="en-GB"/>
        </w:rPr>
        <w:t xml:space="preserve"> after 3</w:t>
      </w:r>
      <w:r w:rsidR="002B3557">
        <w:rPr>
          <w:lang w:val="en-GB"/>
        </w:rPr>
        <w:t> </w:t>
      </w:r>
      <w:r w:rsidR="000D64FA">
        <w:rPr>
          <w:lang w:val="en-GB"/>
        </w:rPr>
        <w:t>previous treatments</w:t>
      </w:r>
      <w:r w:rsidRPr="00CB196E">
        <w:t xml:space="preserve">. They also stated that </w:t>
      </w:r>
      <w:proofErr w:type="spellStart"/>
      <w:r w:rsidRPr="00CB196E">
        <w:t>panobinostat</w:t>
      </w:r>
      <w:proofErr w:type="spellEnd"/>
      <w:r w:rsidRPr="00CB196E">
        <w:t xml:space="preserve"> </w:t>
      </w:r>
      <w:r w:rsidRPr="00CB196E">
        <w:rPr>
          <w:lang w:val="en-US"/>
        </w:rPr>
        <w:t>plus</w:t>
      </w:r>
      <w:r w:rsidRPr="00CB196E">
        <w:t xml:space="preserve"> bortezomib </w:t>
      </w:r>
      <w:r w:rsidR="00773E93">
        <w:rPr>
          <w:lang w:val="en-US"/>
        </w:rPr>
        <w:t>and</w:t>
      </w:r>
      <w:r w:rsidR="00773E93" w:rsidRPr="00CB196E">
        <w:t xml:space="preserve"> </w:t>
      </w:r>
      <w:r w:rsidRPr="00CB196E">
        <w:t>dexamethasone is</w:t>
      </w:r>
      <w:r w:rsidR="00B30D24">
        <w:rPr>
          <w:lang w:val="en-US"/>
        </w:rPr>
        <w:t xml:space="preserve"> very</w:t>
      </w:r>
      <w:r w:rsidRPr="00CB196E">
        <w:t xml:space="preserve"> rarely used </w:t>
      </w:r>
      <w:r w:rsidR="00643C00">
        <w:rPr>
          <w:lang w:val="en-US"/>
        </w:rPr>
        <w:t>after 3</w:t>
      </w:r>
      <w:r w:rsidR="00773E93">
        <w:rPr>
          <w:lang w:val="en-US"/>
        </w:rPr>
        <w:t> </w:t>
      </w:r>
      <w:r w:rsidR="00643C00">
        <w:rPr>
          <w:lang w:val="en-US"/>
        </w:rPr>
        <w:t>previous t</w:t>
      </w:r>
      <w:r w:rsidR="00773E93">
        <w:rPr>
          <w:lang w:val="en-US"/>
        </w:rPr>
        <w:t>reatment</w:t>
      </w:r>
      <w:r w:rsidR="00643C00">
        <w:rPr>
          <w:lang w:val="en-US"/>
        </w:rPr>
        <w:t>s</w:t>
      </w:r>
      <w:r w:rsidRPr="00462220">
        <w:t xml:space="preserve"> </w:t>
      </w:r>
      <w:r w:rsidR="00294341">
        <w:rPr>
          <w:lang w:val="en-GB"/>
        </w:rPr>
        <w:t>because of</w:t>
      </w:r>
      <w:r w:rsidRPr="00462220">
        <w:t xml:space="preserve"> toxicity and </w:t>
      </w:r>
      <w:r w:rsidR="00294341">
        <w:rPr>
          <w:lang w:val="en-GB"/>
        </w:rPr>
        <w:t>perceived poor</w:t>
      </w:r>
      <w:r w:rsidRPr="00462220">
        <w:t xml:space="preserve"> clinical efficacy. T</w:t>
      </w:r>
      <w:r w:rsidRPr="00FF71A1">
        <w:t>he</w:t>
      </w:r>
      <w:r w:rsidR="00543C0E" w:rsidRPr="00FF71A1">
        <w:rPr>
          <w:lang w:val="en-US"/>
        </w:rPr>
        <w:t xml:space="preserve"> C</w:t>
      </w:r>
      <w:r w:rsidR="00773E93">
        <w:rPr>
          <w:lang w:val="en-US"/>
        </w:rPr>
        <w:t xml:space="preserve">ancer </w:t>
      </w:r>
      <w:r w:rsidR="00543C0E" w:rsidRPr="00FF71A1">
        <w:rPr>
          <w:lang w:val="en-US"/>
        </w:rPr>
        <w:t>D</w:t>
      </w:r>
      <w:r w:rsidR="00773E93">
        <w:rPr>
          <w:lang w:val="en-US"/>
        </w:rPr>
        <w:t xml:space="preserve">rugs </w:t>
      </w:r>
      <w:r w:rsidR="00543C0E" w:rsidRPr="00FF71A1">
        <w:rPr>
          <w:lang w:val="en-US"/>
        </w:rPr>
        <w:t>F</w:t>
      </w:r>
      <w:r w:rsidR="00773E93">
        <w:rPr>
          <w:lang w:val="en-US"/>
        </w:rPr>
        <w:t>und</w:t>
      </w:r>
      <w:r w:rsidR="00543C0E" w:rsidRPr="00FF71A1">
        <w:rPr>
          <w:lang w:val="en-US"/>
        </w:rPr>
        <w:t xml:space="preserve"> clinical lead explained that clin</w:t>
      </w:r>
      <w:r w:rsidR="00543C0E" w:rsidRPr="00CB196E">
        <w:rPr>
          <w:lang w:val="en-US"/>
        </w:rPr>
        <w:t xml:space="preserve">icians can now </w:t>
      </w:r>
      <w:r w:rsidR="005922F8">
        <w:rPr>
          <w:lang w:val="en-US"/>
        </w:rPr>
        <w:t>offer</w:t>
      </w:r>
      <w:r w:rsidR="005922F8" w:rsidRPr="00CB196E">
        <w:rPr>
          <w:lang w:val="en-US"/>
        </w:rPr>
        <w:t xml:space="preserve"> </w:t>
      </w:r>
      <w:r w:rsidRPr="00CB196E">
        <w:t xml:space="preserve">bortezomib </w:t>
      </w:r>
      <w:r w:rsidR="00543C0E" w:rsidRPr="00CB196E">
        <w:rPr>
          <w:lang w:val="en-US"/>
        </w:rPr>
        <w:t>again</w:t>
      </w:r>
      <w:r w:rsidR="00643C00">
        <w:rPr>
          <w:lang w:val="en-US"/>
        </w:rPr>
        <w:t xml:space="preserve"> </w:t>
      </w:r>
      <w:r w:rsidRPr="00CB196E">
        <w:t xml:space="preserve">without having to use it with </w:t>
      </w:r>
      <w:proofErr w:type="spellStart"/>
      <w:r w:rsidRPr="00CB196E">
        <w:t>panobinostat</w:t>
      </w:r>
      <w:proofErr w:type="spellEnd"/>
      <w:r w:rsidR="00643C00">
        <w:rPr>
          <w:lang w:val="en-US"/>
        </w:rPr>
        <w:t xml:space="preserve"> and that </w:t>
      </w:r>
      <w:r w:rsidR="00294341">
        <w:rPr>
          <w:lang w:val="en-US"/>
        </w:rPr>
        <w:t>few clinicians offer</w:t>
      </w:r>
      <w:r w:rsidR="00643C00">
        <w:rPr>
          <w:lang w:val="en-US"/>
        </w:rPr>
        <w:t xml:space="preserve"> </w:t>
      </w:r>
      <w:proofErr w:type="spellStart"/>
      <w:r w:rsidR="00643C00">
        <w:rPr>
          <w:lang w:val="en-US"/>
        </w:rPr>
        <w:t>panobinostat</w:t>
      </w:r>
      <w:proofErr w:type="spellEnd"/>
      <w:r w:rsidR="00643C00">
        <w:rPr>
          <w:lang w:val="en-US"/>
        </w:rPr>
        <w:t xml:space="preserve"> plus bortezomib </w:t>
      </w:r>
      <w:r w:rsidR="005922F8">
        <w:rPr>
          <w:lang w:val="en-US"/>
        </w:rPr>
        <w:t xml:space="preserve">and </w:t>
      </w:r>
      <w:r w:rsidR="00643C00">
        <w:rPr>
          <w:lang w:val="en-US"/>
        </w:rPr>
        <w:t>dexamethasone after 3</w:t>
      </w:r>
      <w:r w:rsidR="00902CAF">
        <w:rPr>
          <w:lang w:val="en-US"/>
        </w:rPr>
        <w:t> </w:t>
      </w:r>
      <w:r w:rsidR="00643C00">
        <w:rPr>
          <w:lang w:val="en-US"/>
        </w:rPr>
        <w:t>pr</w:t>
      </w:r>
      <w:r w:rsidR="00902CAF">
        <w:rPr>
          <w:lang w:val="en-US"/>
        </w:rPr>
        <w:t>evious</w:t>
      </w:r>
      <w:r w:rsidR="00643C00">
        <w:rPr>
          <w:lang w:val="en-US"/>
        </w:rPr>
        <w:t xml:space="preserve"> t</w:t>
      </w:r>
      <w:r w:rsidR="005922F8">
        <w:rPr>
          <w:lang w:val="en-US"/>
        </w:rPr>
        <w:t>reatment</w:t>
      </w:r>
      <w:r w:rsidR="00643C00">
        <w:rPr>
          <w:lang w:val="en-US"/>
        </w:rPr>
        <w:t>s</w:t>
      </w:r>
      <w:r w:rsidRPr="00462220">
        <w:t xml:space="preserve">. </w:t>
      </w:r>
      <w:r w:rsidR="00543C0E" w:rsidRPr="00FF71A1">
        <w:rPr>
          <w:lang w:val="en-US"/>
        </w:rPr>
        <w:t xml:space="preserve">The committee </w:t>
      </w:r>
      <w:r w:rsidR="00543C0E" w:rsidRPr="00CB196E">
        <w:rPr>
          <w:lang w:val="en-US"/>
        </w:rPr>
        <w:t>concluded that after 3</w:t>
      </w:r>
      <w:r w:rsidR="00902CAF">
        <w:rPr>
          <w:lang w:val="en-US"/>
        </w:rPr>
        <w:t> </w:t>
      </w:r>
      <w:r w:rsidR="00543C0E" w:rsidRPr="00CB196E">
        <w:rPr>
          <w:lang w:val="en-US"/>
        </w:rPr>
        <w:t>previous t</w:t>
      </w:r>
      <w:r w:rsidR="005922F8">
        <w:rPr>
          <w:lang w:val="en-US"/>
        </w:rPr>
        <w:t>reatment</w:t>
      </w:r>
      <w:r w:rsidR="00543C0E" w:rsidRPr="00CB196E">
        <w:rPr>
          <w:lang w:val="en-US"/>
        </w:rPr>
        <w:t xml:space="preserve">s, pomalidomide </w:t>
      </w:r>
      <w:r w:rsidR="00072985">
        <w:rPr>
          <w:lang w:val="en-US"/>
        </w:rPr>
        <w:t>plus</w:t>
      </w:r>
      <w:r w:rsidR="00072985" w:rsidRPr="00CB196E">
        <w:rPr>
          <w:lang w:val="en-US"/>
        </w:rPr>
        <w:t xml:space="preserve"> </w:t>
      </w:r>
      <w:r w:rsidR="00543C0E" w:rsidRPr="00CB196E">
        <w:rPr>
          <w:lang w:val="en-US"/>
        </w:rPr>
        <w:t xml:space="preserve">dexamethasone is the </w:t>
      </w:r>
      <w:r w:rsidR="00294341">
        <w:rPr>
          <w:lang w:val="en-US"/>
        </w:rPr>
        <w:t>only relevant</w:t>
      </w:r>
      <w:r w:rsidR="00294341" w:rsidRPr="00CB196E">
        <w:rPr>
          <w:lang w:val="en-US"/>
        </w:rPr>
        <w:t xml:space="preserve"> </w:t>
      </w:r>
      <w:r w:rsidR="00543C0E" w:rsidRPr="00CB196E">
        <w:rPr>
          <w:lang w:val="en-US"/>
        </w:rPr>
        <w:t>comparator.</w:t>
      </w:r>
    </w:p>
    <w:p w14:paraId="53390398" w14:textId="2A213870" w:rsidR="00643582" w:rsidRPr="00FF71A1" w:rsidRDefault="004A2BAE" w:rsidP="00FF71A1">
      <w:pPr>
        <w:pStyle w:val="Heading2"/>
      </w:pPr>
      <w:r>
        <w:t>C</w:t>
      </w:r>
      <w:r w:rsidR="009A227D" w:rsidRPr="00FF71A1">
        <w:t xml:space="preserve">linical </w:t>
      </w:r>
      <w:r>
        <w:t>evidence</w:t>
      </w:r>
    </w:p>
    <w:p w14:paraId="43C5B6F4" w14:textId="61C511D9" w:rsidR="006759E7" w:rsidRDefault="006759E7" w:rsidP="006759E7">
      <w:pPr>
        <w:pStyle w:val="Heading3"/>
      </w:pPr>
      <w:r>
        <w:t xml:space="preserve">The </w:t>
      </w:r>
      <w:r w:rsidR="003263CD">
        <w:t>evidence</w:t>
      </w:r>
      <w:r>
        <w:t xml:space="preserve"> for people who </w:t>
      </w:r>
      <w:r w:rsidR="00CD4CD9">
        <w:t xml:space="preserve">have </w:t>
      </w:r>
      <w:r>
        <w:t>had 3</w:t>
      </w:r>
      <w:r w:rsidR="00D05D76">
        <w:t> </w:t>
      </w:r>
      <w:r>
        <w:t>pr</w:t>
      </w:r>
      <w:r w:rsidR="00D05D76">
        <w:t>evious</w:t>
      </w:r>
      <w:r>
        <w:t xml:space="preserve"> t</w:t>
      </w:r>
      <w:r w:rsidR="00CD4CD9">
        <w:t xml:space="preserve">reatments </w:t>
      </w:r>
      <w:r w:rsidR="003263CD">
        <w:t>is</w:t>
      </w:r>
      <w:r w:rsidR="00CD4CD9">
        <w:t xml:space="preserve"> acceptable for decision making</w:t>
      </w:r>
    </w:p>
    <w:p w14:paraId="3488CEDB" w14:textId="00CD3698" w:rsidR="006759E7" w:rsidRDefault="00546F32" w:rsidP="00CB196E">
      <w:pPr>
        <w:pStyle w:val="Numberedlevel2text"/>
      </w:pPr>
      <w:r>
        <w:t>ICARIA-MM</w:t>
      </w:r>
      <w:r>
        <w:rPr>
          <w:lang w:val="en-US"/>
        </w:rPr>
        <w:t xml:space="preserve"> is </w:t>
      </w:r>
      <w:r>
        <w:t>an open-label randomised trial</w:t>
      </w:r>
      <w:r>
        <w:rPr>
          <w:lang w:val="en-US"/>
        </w:rPr>
        <w:t xml:space="preserve">, comparing </w:t>
      </w:r>
      <w:proofErr w:type="spellStart"/>
      <w:r>
        <w:rPr>
          <w:lang w:val="en-US"/>
        </w:rPr>
        <w:t>isatuximab</w:t>
      </w:r>
      <w:proofErr w:type="spellEnd"/>
      <w:r>
        <w:rPr>
          <w:lang w:val="en-US"/>
        </w:rPr>
        <w:t xml:space="preserve"> plus pomalidomide </w:t>
      </w:r>
      <w:r w:rsidR="003263CD">
        <w:rPr>
          <w:lang w:val="en-US"/>
        </w:rPr>
        <w:t>and</w:t>
      </w:r>
      <w:r>
        <w:rPr>
          <w:lang w:val="en-US"/>
        </w:rPr>
        <w:t xml:space="preserve"> dexamethasone with </w:t>
      </w:r>
      <w:r>
        <w:t xml:space="preserve">pomalidomide plus </w:t>
      </w:r>
      <w:r>
        <w:lastRenderedPageBreak/>
        <w:t xml:space="preserve">dexamethasone. </w:t>
      </w:r>
      <w:r>
        <w:rPr>
          <w:lang w:val="en-US"/>
        </w:rPr>
        <w:t>It</w:t>
      </w:r>
      <w:r>
        <w:t xml:space="preserve"> include</w:t>
      </w:r>
      <w:r w:rsidR="00A41D91">
        <w:rPr>
          <w:lang w:val="en-GB"/>
        </w:rPr>
        <w:t>d</w:t>
      </w:r>
      <w:r>
        <w:t xml:space="preserve"> people with relapsed and refractory multiple myeloma who </w:t>
      </w:r>
      <w:r w:rsidR="00A41D91">
        <w:rPr>
          <w:lang w:val="en-GB"/>
        </w:rPr>
        <w:t xml:space="preserve">have </w:t>
      </w:r>
      <w:r>
        <w:t xml:space="preserve">had at least </w:t>
      </w:r>
      <w:r w:rsidR="00140F55">
        <w:rPr>
          <w:lang w:val="en-GB"/>
        </w:rPr>
        <w:t>2</w:t>
      </w:r>
      <w:r w:rsidR="00D05D76">
        <w:rPr>
          <w:lang w:val="en-GB"/>
        </w:rPr>
        <w:t> </w:t>
      </w:r>
      <w:r>
        <w:t>pr</w:t>
      </w:r>
      <w:r w:rsidR="00D05D76">
        <w:rPr>
          <w:lang w:val="en-GB"/>
        </w:rPr>
        <w:t>evious</w:t>
      </w:r>
      <w:r>
        <w:t xml:space="preserve"> treatments, including lenalidomide and a proteasome inhibitor</w:t>
      </w:r>
      <w:r w:rsidR="00A41D91">
        <w:rPr>
          <w:lang w:val="en-GB"/>
        </w:rPr>
        <w:t xml:space="preserve">. </w:t>
      </w:r>
      <w:proofErr w:type="spellStart"/>
      <w:r w:rsidR="00A41D91">
        <w:rPr>
          <w:lang w:val="en-GB"/>
        </w:rPr>
        <w:t>T</w:t>
      </w:r>
      <w:r>
        <w:t>he</w:t>
      </w:r>
      <w:proofErr w:type="spellEnd"/>
      <w:r>
        <w:t xml:space="preserve"> primary outcome was progression-free survival. </w:t>
      </w:r>
      <w:r w:rsidR="00A41D91">
        <w:rPr>
          <w:lang w:val="en-GB"/>
        </w:rPr>
        <w:t>Because</w:t>
      </w:r>
      <w:r w:rsidR="006759E7" w:rsidRPr="00462220">
        <w:t xml:space="preserve"> the company positioned </w:t>
      </w:r>
      <w:proofErr w:type="spellStart"/>
      <w:r w:rsidR="006759E7" w:rsidRPr="00FF71A1">
        <w:t>isatuximab</w:t>
      </w:r>
      <w:proofErr w:type="spellEnd"/>
      <w:r w:rsidR="006759E7" w:rsidRPr="00FF71A1">
        <w:t xml:space="preserve"> plus pomalidomide </w:t>
      </w:r>
      <w:r w:rsidR="00A41D91">
        <w:rPr>
          <w:lang w:val="en-GB"/>
        </w:rPr>
        <w:t>and</w:t>
      </w:r>
      <w:r w:rsidR="00A41D91" w:rsidRPr="00FF71A1">
        <w:t xml:space="preserve"> </w:t>
      </w:r>
      <w:r w:rsidR="006759E7" w:rsidRPr="00FF71A1">
        <w:t xml:space="preserve">dexamethasone as a </w:t>
      </w:r>
      <w:r>
        <w:rPr>
          <w:lang w:val="en-US"/>
        </w:rPr>
        <w:t>treatment option after 3</w:t>
      </w:r>
      <w:r w:rsidR="00D05D76">
        <w:rPr>
          <w:lang w:val="en-US"/>
        </w:rPr>
        <w:t> </w:t>
      </w:r>
      <w:r>
        <w:rPr>
          <w:lang w:val="en-US"/>
        </w:rPr>
        <w:t>pr</w:t>
      </w:r>
      <w:r w:rsidR="00D05D76">
        <w:rPr>
          <w:lang w:val="en-US"/>
        </w:rPr>
        <w:t>evious</w:t>
      </w:r>
      <w:r>
        <w:rPr>
          <w:lang w:val="en-US"/>
        </w:rPr>
        <w:t xml:space="preserve"> t</w:t>
      </w:r>
      <w:r w:rsidR="005C490E">
        <w:rPr>
          <w:lang w:val="en-US"/>
        </w:rPr>
        <w:t>reatments</w:t>
      </w:r>
      <w:r w:rsidR="006759E7" w:rsidRPr="00CB196E">
        <w:t xml:space="preserve">, </w:t>
      </w:r>
      <w:r w:rsidR="00140F55">
        <w:rPr>
          <w:lang w:val="en-GB"/>
        </w:rPr>
        <w:t xml:space="preserve">it provided </w:t>
      </w:r>
      <w:r>
        <w:rPr>
          <w:lang w:val="en-US"/>
        </w:rPr>
        <w:t xml:space="preserve">clinical effectiveness data from a </w:t>
      </w:r>
      <w:r w:rsidR="006759E7" w:rsidRPr="00CB196E">
        <w:t>post hoc subgroup of p</w:t>
      </w:r>
      <w:r w:rsidR="0048141F">
        <w:rPr>
          <w:lang w:val="en-GB"/>
        </w:rPr>
        <w:t>eople</w:t>
      </w:r>
      <w:r w:rsidR="006759E7" w:rsidRPr="00CB196E">
        <w:t xml:space="preserve"> from </w:t>
      </w:r>
      <w:r>
        <w:rPr>
          <w:lang w:val="en-US"/>
        </w:rPr>
        <w:t>ICARIA-MM</w:t>
      </w:r>
      <w:r w:rsidR="006759E7" w:rsidRPr="00462220">
        <w:t xml:space="preserve"> who had 3</w:t>
      </w:r>
      <w:r w:rsidR="00D05D76">
        <w:rPr>
          <w:lang w:val="en-GB"/>
        </w:rPr>
        <w:t> </w:t>
      </w:r>
      <w:r w:rsidR="006759E7" w:rsidRPr="00462220">
        <w:t>pr</w:t>
      </w:r>
      <w:r w:rsidR="00D05D76">
        <w:rPr>
          <w:lang w:val="en-GB"/>
        </w:rPr>
        <w:t>evious</w:t>
      </w:r>
      <w:r w:rsidR="006759E7" w:rsidRPr="00462220">
        <w:t xml:space="preserve"> t</w:t>
      </w:r>
      <w:r w:rsidR="005C490E">
        <w:rPr>
          <w:lang w:val="en-GB"/>
        </w:rPr>
        <w:t>reatments</w:t>
      </w:r>
      <w:r w:rsidR="006759E7" w:rsidRPr="00462220">
        <w:t xml:space="preserve">. </w:t>
      </w:r>
      <w:r w:rsidR="009647B3" w:rsidRPr="003A48EF">
        <w:t>Th</w:t>
      </w:r>
      <w:r w:rsidR="009647B3">
        <w:rPr>
          <w:lang w:val="en-US"/>
        </w:rPr>
        <w:t>e committee was aware that th</w:t>
      </w:r>
      <w:r w:rsidR="00F73D7C">
        <w:rPr>
          <w:lang w:val="en-US"/>
        </w:rPr>
        <w:t>is</w:t>
      </w:r>
      <w:r w:rsidR="009647B3" w:rsidRPr="003A48EF">
        <w:t xml:space="preserve"> subgroup was not stratified and therefore not a randomised group. </w:t>
      </w:r>
      <w:r w:rsidR="006759E7" w:rsidRPr="00462220">
        <w:t>The ERG noted there was</w:t>
      </w:r>
      <w:r>
        <w:rPr>
          <w:lang w:val="en-US"/>
        </w:rPr>
        <w:t xml:space="preserve"> more</w:t>
      </w:r>
      <w:r w:rsidR="006759E7" w:rsidRPr="00462220">
        <w:t xml:space="preserve"> uncertainty associated with the</w:t>
      </w:r>
      <w:r w:rsidR="00C3271D" w:rsidRPr="00CB196E">
        <w:t xml:space="preserve"> subgroup</w:t>
      </w:r>
      <w:r w:rsidR="006759E7" w:rsidRPr="00CB196E">
        <w:t xml:space="preserve"> results</w:t>
      </w:r>
      <w:r w:rsidR="00140F55">
        <w:rPr>
          <w:lang w:val="en-GB"/>
        </w:rPr>
        <w:t xml:space="preserve"> than with the </w:t>
      </w:r>
      <w:r w:rsidR="007D579C">
        <w:rPr>
          <w:lang w:val="en-GB"/>
        </w:rPr>
        <w:t>randomised</w:t>
      </w:r>
      <w:r w:rsidR="00140F55">
        <w:rPr>
          <w:lang w:val="en-GB"/>
        </w:rPr>
        <w:t xml:space="preserve"> population</w:t>
      </w:r>
      <w:r w:rsidR="004B0177">
        <w:rPr>
          <w:lang w:val="en-GB"/>
        </w:rPr>
        <w:t xml:space="preserve"> </w:t>
      </w:r>
      <w:r w:rsidR="007D579C">
        <w:rPr>
          <w:lang w:val="en-GB"/>
        </w:rPr>
        <w:t>results</w:t>
      </w:r>
      <w:r>
        <w:rPr>
          <w:lang w:val="en-US"/>
        </w:rPr>
        <w:t>, indicated by wider confidence intervals</w:t>
      </w:r>
      <w:r w:rsidR="006759E7" w:rsidRPr="00462220">
        <w:t xml:space="preserve">. </w:t>
      </w:r>
      <w:r w:rsidR="00C3271D" w:rsidRPr="00CB196E">
        <w:t>The committee understood the limitations of the subgroup analysis</w:t>
      </w:r>
      <w:r w:rsidR="004B0177">
        <w:rPr>
          <w:lang w:val="en-GB"/>
        </w:rPr>
        <w:t>,</w:t>
      </w:r>
      <w:r w:rsidR="00C3271D" w:rsidRPr="00CB196E">
        <w:t xml:space="preserve"> but agreed</w:t>
      </w:r>
      <w:r w:rsidR="004B0177">
        <w:rPr>
          <w:lang w:val="en-GB"/>
        </w:rPr>
        <w:t xml:space="preserve"> to accept </w:t>
      </w:r>
      <w:r w:rsidR="00C3271D" w:rsidRPr="00CB196E">
        <w:t xml:space="preserve">the </w:t>
      </w:r>
      <w:r w:rsidR="0025362C">
        <w:rPr>
          <w:lang w:val="en-GB"/>
        </w:rPr>
        <w:t>analysis</w:t>
      </w:r>
      <w:r w:rsidR="00C3271D" w:rsidRPr="00CB196E">
        <w:t xml:space="preserve"> for people who have </w:t>
      </w:r>
      <w:r w:rsidR="00F73D7C">
        <w:rPr>
          <w:lang w:val="en-GB"/>
        </w:rPr>
        <w:t>had</w:t>
      </w:r>
      <w:r w:rsidR="00C3271D" w:rsidRPr="00CB196E">
        <w:t xml:space="preserve"> 3</w:t>
      </w:r>
      <w:r w:rsidR="00D05D76">
        <w:rPr>
          <w:lang w:val="en-GB"/>
        </w:rPr>
        <w:t> </w:t>
      </w:r>
      <w:r w:rsidR="00C3271D" w:rsidRPr="00CB196E">
        <w:t>pr</w:t>
      </w:r>
      <w:r w:rsidR="00D05D76">
        <w:rPr>
          <w:lang w:val="en-GB"/>
        </w:rPr>
        <w:t>evious</w:t>
      </w:r>
      <w:r w:rsidR="00C3271D" w:rsidRPr="00CB196E">
        <w:t xml:space="preserve"> t</w:t>
      </w:r>
      <w:r w:rsidR="00F73D7C">
        <w:rPr>
          <w:lang w:val="en-GB"/>
        </w:rPr>
        <w:t>reatment</w:t>
      </w:r>
      <w:r w:rsidR="00C3271D" w:rsidRPr="00CB196E">
        <w:t>s for decision making.</w:t>
      </w:r>
    </w:p>
    <w:p w14:paraId="1D11A859" w14:textId="159B4168" w:rsidR="00B74A6E" w:rsidRPr="00B74A6E" w:rsidRDefault="00CF1855" w:rsidP="00B74A6E">
      <w:pPr>
        <w:pStyle w:val="Heading3"/>
      </w:pPr>
      <w:proofErr w:type="spellStart"/>
      <w:r>
        <w:t>I</w:t>
      </w:r>
      <w:r w:rsidR="00B74A6E">
        <w:t>satuximab</w:t>
      </w:r>
      <w:proofErr w:type="spellEnd"/>
      <w:r w:rsidR="00B74A6E">
        <w:t xml:space="preserve"> plus pomalidomide </w:t>
      </w:r>
      <w:r w:rsidR="00C254B9">
        <w:t>and</w:t>
      </w:r>
      <w:r w:rsidR="00B74A6E">
        <w:t xml:space="preserve"> dexamethasone</w:t>
      </w:r>
      <w:r>
        <w:t xml:space="preserve"> </w:t>
      </w:r>
      <w:r w:rsidR="00702760">
        <w:t>likely</w:t>
      </w:r>
      <w:r w:rsidR="004B0177">
        <w:t xml:space="preserve"> </w:t>
      </w:r>
      <w:r>
        <w:t>extend</w:t>
      </w:r>
      <w:r w:rsidR="00702760">
        <w:t>s</w:t>
      </w:r>
      <w:r>
        <w:t xml:space="preserve"> both progression-free and overall survival, but the data</w:t>
      </w:r>
      <w:r w:rsidR="00B74A6E">
        <w:t xml:space="preserve"> </w:t>
      </w:r>
      <w:r w:rsidR="004B0177">
        <w:t xml:space="preserve">are </w:t>
      </w:r>
      <w:r w:rsidR="00664A5E">
        <w:t>immature</w:t>
      </w:r>
    </w:p>
    <w:p w14:paraId="35A46DB4" w14:textId="765DF667" w:rsidR="00B74A6E" w:rsidRDefault="00E32E05" w:rsidP="00B33576">
      <w:pPr>
        <w:pStyle w:val="Numberedlevel2text"/>
      </w:pPr>
      <w:r>
        <w:rPr>
          <w:lang w:val="en-US"/>
        </w:rPr>
        <w:t xml:space="preserve">ICARIA-MM is ongoing. </w:t>
      </w:r>
      <w:r w:rsidR="00631470">
        <w:rPr>
          <w:lang w:val="en-US"/>
        </w:rPr>
        <w:t>A</w:t>
      </w:r>
      <w:r w:rsidR="004D4B2F">
        <w:t xml:space="preserve">t </w:t>
      </w:r>
      <w:r w:rsidR="00631470">
        <w:rPr>
          <w:lang w:val="en-US"/>
        </w:rPr>
        <w:t xml:space="preserve">the </w:t>
      </w:r>
      <w:r w:rsidR="004D4B2F" w:rsidRPr="004D4B2F">
        <w:t xml:space="preserve">interim data cut </w:t>
      </w:r>
      <w:r w:rsidR="00631470">
        <w:rPr>
          <w:lang w:val="en-US"/>
        </w:rPr>
        <w:t>(October 2018) median follow</w:t>
      </w:r>
      <w:r w:rsidR="00C254B9">
        <w:rPr>
          <w:lang w:val="en-US"/>
        </w:rPr>
        <w:t xml:space="preserve"> </w:t>
      </w:r>
      <w:r w:rsidR="00631470">
        <w:rPr>
          <w:lang w:val="en-US"/>
        </w:rPr>
        <w:t xml:space="preserve">up </w:t>
      </w:r>
      <w:r w:rsidR="004D4B2F" w:rsidRPr="004D4B2F">
        <w:t>was 11.6</w:t>
      </w:r>
      <w:r w:rsidR="00C254B9">
        <w:rPr>
          <w:lang w:val="en-GB"/>
        </w:rPr>
        <w:t> </w:t>
      </w:r>
      <w:r w:rsidR="004D4B2F" w:rsidRPr="004D4B2F">
        <w:t>months</w:t>
      </w:r>
      <w:r w:rsidR="00631470">
        <w:rPr>
          <w:lang w:val="en-US"/>
        </w:rPr>
        <w:t xml:space="preserve"> in the </w:t>
      </w:r>
      <w:r w:rsidR="009A77B6">
        <w:rPr>
          <w:lang w:val="en-US"/>
        </w:rPr>
        <w:t xml:space="preserve">trial for those </w:t>
      </w:r>
      <w:r w:rsidR="000A112A">
        <w:rPr>
          <w:lang w:val="en-US"/>
        </w:rPr>
        <w:t>who had</w:t>
      </w:r>
      <w:r w:rsidR="004B4FE8">
        <w:rPr>
          <w:lang w:val="en-US"/>
        </w:rPr>
        <w:t xml:space="preserve"> 3</w:t>
      </w:r>
      <w:r w:rsidR="008C57DC">
        <w:rPr>
          <w:lang w:val="en-US"/>
        </w:rPr>
        <w:t> </w:t>
      </w:r>
      <w:r w:rsidR="004B4FE8">
        <w:rPr>
          <w:lang w:val="en-US"/>
        </w:rPr>
        <w:t>previous treatments</w:t>
      </w:r>
      <w:r w:rsidR="004D4B2F">
        <w:t>.</w:t>
      </w:r>
      <w:r w:rsidR="004D4B2F" w:rsidRPr="004D4B2F">
        <w:t xml:space="preserve"> </w:t>
      </w:r>
      <w:r w:rsidR="00D6642B">
        <w:rPr>
          <w:lang w:val="en-GB"/>
        </w:rPr>
        <w:t xml:space="preserve">For </w:t>
      </w:r>
      <w:r w:rsidR="00FA31A2">
        <w:rPr>
          <w:lang w:val="en-GB"/>
        </w:rPr>
        <w:t>progression-free survival</w:t>
      </w:r>
      <w:r w:rsidR="00D6642B">
        <w:rPr>
          <w:lang w:val="en-GB"/>
        </w:rPr>
        <w:t xml:space="preserve">, </w:t>
      </w:r>
      <w:proofErr w:type="spellStart"/>
      <w:r w:rsidR="00D6642B">
        <w:rPr>
          <w:lang w:val="en-US"/>
        </w:rPr>
        <w:t>t</w:t>
      </w:r>
      <w:r w:rsidR="000C57D1">
        <w:rPr>
          <w:lang w:val="en-US"/>
        </w:rPr>
        <w:t>h</w:t>
      </w:r>
      <w:proofErr w:type="spellEnd"/>
      <w:r w:rsidR="008C396E">
        <w:t>e interim</w:t>
      </w:r>
      <w:r w:rsidR="000C57D1">
        <w:rPr>
          <w:lang w:val="en-US"/>
        </w:rPr>
        <w:t xml:space="preserve"> subgroup</w:t>
      </w:r>
      <w:r w:rsidR="008C396E">
        <w:t xml:space="preserve"> </w:t>
      </w:r>
      <w:r w:rsidR="004B0177">
        <w:rPr>
          <w:lang w:val="en-GB"/>
        </w:rPr>
        <w:t>analysis</w:t>
      </w:r>
      <w:r w:rsidR="00CA174C">
        <w:rPr>
          <w:lang w:val="en-GB"/>
        </w:rPr>
        <w:t xml:space="preserve"> </w:t>
      </w:r>
      <w:r w:rsidR="00FB2466">
        <w:rPr>
          <w:lang w:val="en-GB"/>
        </w:rPr>
        <w:t xml:space="preserve">was </w:t>
      </w:r>
      <w:r w:rsidR="00CA174C">
        <w:rPr>
          <w:lang w:val="en-GB"/>
        </w:rPr>
        <w:t xml:space="preserve">based </w:t>
      </w:r>
      <w:r w:rsidR="000A112A">
        <w:rPr>
          <w:lang w:val="en-GB"/>
        </w:rPr>
        <w:t xml:space="preserve">on </w:t>
      </w:r>
      <w:r w:rsidR="00CA174C">
        <w:rPr>
          <w:lang w:val="en-GB"/>
        </w:rPr>
        <w:t>only about half of pa</w:t>
      </w:r>
      <w:r w:rsidR="000A112A">
        <w:rPr>
          <w:lang w:val="en-GB"/>
        </w:rPr>
        <w:t>tients</w:t>
      </w:r>
      <w:r w:rsidR="00CA174C">
        <w:rPr>
          <w:lang w:val="en-GB"/>
        </w:rPr>
        <w:t xml:space="preserve"> </w:t>
      </w:r>
      <w:r w:rsidR="000A112A">
        <w:rPr>
          <w:lang w:val="en-GB"/>
        </w:rPr>
        <w:t>having</w:t>
      </w:r>
      <w:r w:rsidR="00CA174C">
        <w:rPr>
          <w:lang w:val="en-GB"/>
        </w:rPr>
        <w:t xml:space="preserve"> events</w:t>
      </w:r>
      <w:r w:rsidR="00FB2466">
        <w:rPr>
          <w:lang w:val="en-GB"/>
        </w:rPr>
        <w:t>. It</w:t>
      </w:r>
      <w:r w:rsidR="004B0177">
        <w:t xml:space="preserve"> </w:t>
      </w:r>
      <w:r w:rsidR="008C396E">
        <w:t xml:space="preserve">showed that </w:t>
      </w:r>
      <w:proofErr w:type="spellStart"/>
      <w:r w:rsidR="008C396E" w:rsidRPr="00A248C1">
        <w:t>isatuximab</w:t>
      </w:r>
      <w:proofErr w:type="spellEnd"/>
      <w:r w:rsidR="008C396E" w:rsidRPr="00A248C1">
        <w:t xml:space="preserve"> plus pomalidomide </w:t>
      </w:r>
      <w:r w:rsidR="000A112A">
        <w:rPr>
          <w:lang w:val="en-GB"/>
        </w:rPr>
        <w:t>and</w:t>
      </w:r>
      <w:r w:rsidR="000A112A" w:rsidRPr="00A248C1">
        <w:t xml:space="preserve"> </w:t>
      </w:r>
      <w:r w:rsidR="008C396E" w:rsidRPr="00A248C1">
        <w:t>dexamethasone</w:t>
      </w:r>
      <w:r w:rsidR="008C396E">
        <w:t xml:space="preserve"> </w:t>
      </w:r>
      <w:r w:rsidR="006C0AF9">
        <w:rPr>
          <w:lang w:val="en-US"/>
        </w:rPr>
        <w:t xml:space="preserve">appeared to </w:t>
      </w:r>
      <w:r w:rsidR="008C396E">
        <w:t>extend</w:t>
      </w:r>
      <w:r w:rsidR="00065997">
        <w:t xml:space="preserve"> median</w:t>
      </w:r>
      <w:r w:rsidR="008C396E">
        <w:t xml:space="preserve"> progression-free survival compared with </w:t>
      </w:r>
      <w:r w:rsidR="008C396E" w:rsidRPr="00A248C1">
        <w:t>pomalidomide plus dexamethasone</w:t>
      </w:r>
      <w:r w:rsidR="00065997">
        <w:t xml:space="preserve"> from</w:t>
      </w:r>
      <w:r w:rsidR="00065997" w:rsidRPr="00065997">
        <w:t xml:space="preserve"> </w:t>
      </w:r>
      <w:r w:rsidR="00065997">
        <w:t>7.8</w:t>
      </w:r>
      <w:r w:rsidR="000A112A">
        <w:rPr>
          <w:lang w:val="en-GB"/>
        </w:rPr>
        <w:t> </w:t>
      </w:r>
      <w:r w:rsidR="00065997" w:rsidRPr="002B5C68">
        <w:t>months to</w:t>
      </w:r>
      <w:r w:rsidR="00065997">
        <w:t xml:space="preserve"> 13.3</w:t>
      </w:r>
      <w:r w:rsidR="000A112A">
        <w:rPr>
          <w:lang w:val="en-GB"/>
        </w:rPr>
        <w:t> </w:t>
      </w:r>
      <w:r w:rsidR="00065997" w:rsidRPr="002B5C68">
        <w:t>months (hazard ratio 0.</w:t>
      </w:r>
      <w:r w:rsidR="00065997">
        <w:t>598</w:t>
      </w:r>
      <w:r w:rsidR="00065997" w:rsidRPr="002B5C68">
        <w:t>; 95% confidence interval 0.</w:t>
      </w:r>
      <w:r w:rsidR="00065997">
        <w:t>348</w:t>
      </w:r>
      <w:r w:rsidR="00065997" w:rsidRPr="002B5C68">
        <w:t xml:space="preserve"> to </w:t>
      </w:r>
      <w:r w:rsidR="00065997">
        <w:t>1.03</w:t>
      </w:r>
      <w:r w:rsidR="00065997" w:rsidRPr="002B5C68">
        <w:t>, p</w:t>
      </w:r>
      <w:r w:rsidR="00065997">
        <w:t>=</w:t>
      </w:r>
      <w:r w:rsidR="00065997" w:rsidRPr="002B5C68">
        <w:t>0.0</w:t>
      </w:r>
      <w:r w:rsidR="00065997">
        <w:t>6</w:t>
      </w:r>
      <w:r w:rsidR="00D6642B">
        <w:rPr>
          <w:lang w:val="en-GB"/>
        </w:rPr>
        <w:t>11</w:t>
      </w:r>
      <w:r w:rsidR="00065997" w:rsidRPr="002B5C68">
        <w:t>).</w:t>
      </w:r>
      <w:r w:rsidR="008C396E">
        <w:t xml:space="preserve"> </w:t>
      </w:r>
      <w:r w:rsidR="00D6642B">
        <w:rPr>
          <w:lang w:val="en-GB"/>
        </w:rPr>
        <w:t xml:space="preserve">For time to death, the interim subgroup analysis </w:t>
      </w:r>
      <w:r w:rsidR="00FB2466">
        <w:rPr>
          <w:lang w:val="en-GB"/>
        </w:rPr>
        <w:t xml:space="preserve">was </w:t>
      </w:r>
      <w:r w:rsidR="00D6642B">
        <w:rPr>
          <w:lang w:val="en-GB"/>
        </w:rPr>
        <w:t>based on 11</w:t>
      </w:r>
      <w:r w:rsidR="000A112A">
        <w:rPr>
          <w:lang w:val="en-GB"/>
        </w:rPr>
        <w:t> deaths</w:t>
      </w:r>
      <w:r w:rsidR="00D6642B">
        <w:rPr>
          <w:lang w:val="en-GB"/>
        </w:rPr>
        <w:t xml:space="preserve"> in the treatment </w:t>
      </w:r>
      <w:r w:rsidR="000A112A">
        <w:rPr>
          <w:lang w:val="en-GB"/>
        </w:rPr>
        <w:t xml:space="preserve">group </w:t>
      </w:r>
      <w:r w:rsidR="005E6104">
        <w:rPr>
          <w:lang w:val="en-GB"/>
        </w:rPr>
        <w:t>(which included</w:t>
      </w:r>
      <w:r w:rsidR="00EA2FBF">
        <w:rPr>
          <w:lang w:val="en-GB"/>
        </w:rPr>
        <w:t xml:space="preserve"> 52</w:t>
      </w:r>
      <w:r w:rsidR="00267696">
        <w:rPr>
          <w:lang w:val="en-GB"/>
        </w:rPr>
        <w:t> </w:t>
      </w:r>
      <w:r w:rsidR="00EA2FBF">
        <w:rPr>
          <w:lang w:val="en-GB"/>
        </w:rPr>
        <w:t>people</w:t>
      </w:r>
      <w:r w:rsidR="005E6104">
        <w:rPr>
          <w:lang w:val="en-GB"/>
        </w:rPr>
        <w:t>)</w:t>
      </w:r>
      <w:r w:rsidR="00EA2FBF">
        <w:rPr>
          <w:lang w:val="en-GB"/>
        </w:rPr>
        <w:t xml:space="preserve"> </w:t>
      </w:r>
      <w:r w:rsidR="00D6642B">
        <w:rPr>
          <w:lang w:val="en-GB"/>
        </w:rPr>
        <w:t xml:space="preserve">and </w:t>
      </w:r>
      <w:r w:rsidR="000A112A">
        <w:rPr>
          <w:lang w:val="en-GB"/>
        </w:rPr>
        <w:t xml:space="preserve">23 deaths in the </w:t>
      </w:r>
      <w:r w:rsidR="00D6642B">
        <w:rPr>
          <w:lang w:val="en-GB"/>
        </w:rPr>
        <w:t>control group</w:t>
      </w:r>
      <w:r w:rsidR="00EA2FBF">
        <w:rPr>
          <w:lang w:val="en-GB"/>
        </w:rPr>
        <w:t xml:space="preserve"> </w:t>
      </w:r>
      <w:r w:rsidR="005E6104">
        <w:rPr>
          <w:lang w:val="en-GB"/>
        </w:rPr>
        <w:t>(which included</w:t>
      </w:r>
      <w:r w:rsidR="00EA2FBF">
        <w:rPr>
          <w:lang w:val="en-GB"/>
        </w:rPr>
        <w:t xml:space="preserve"> 58</w:t>
      </w:r>
      <w:r w:rsidR="00267696">
        <w:rPr>
          <w:lang w:val="en-GB"/>
        </w:rPr>
        <w:t> </w:t>
      </w:r>
      <w:r w:rsidR="00EA2FBF">
        <w:rPr>
          <w:lang w:val="en-GB"/>
        </w:rPr>
        <w:t>people</w:t>
      </w:r>
      <w:r w:rsidR="005E6104">
        <w:rPr>
          <w:lang w:val="en-GB"/>
        </w:rPr>
        <w:t>)</w:t>
      </w:r>
      <w:r w:rsidR="00D6642B">
        <w:rPr>
          <w:lang w:val="en-GB"/>
        </w:rPr>
        <w:t xml:space="preserve"> and heavily censored data</w:t>
      </w:r>
      <w:r w:rsidR="00FB2466">
        <w:rPr>
          <w:lang w:val="en-GB"/>
        </w:rPr>
        <w:t>. It</w:t>
      </w:r>
      <w:r w:rsidR="00D6642B">
        <w:rPr>
          <w:lang w:val="en-GB"/>
        </w:rPr>
        <w:t xml:space="preserve"> showed that m</w:t>
      </w:r>
      <w:proofErr w:type="spellStart"/>
      <w:r w:rsidR="00065997">
        <w:t>edian</w:t>
      </w:r>
      <w:proofErr w:type="spellEnd"/>
      <w:r w:rsidR="00065997">
        <w:t xml:space="preserve"> overall survival had not yet been reached for the </w:t>
      </w:r>
      <w:proofErr w:type="spellStart"/>
      <w:r w:rsidR="00065997" w:rsidRPr="00A248C1">
        <w:t>isatuximab</w:t>
      </w:r>
      <w:proofErr w:type="spellEnd"/>
      <w:r w:rsidR="00065997" w:rsidRPr="00A248C1">
        <w:t xml:space="preserve"> plus pomalidomide </w:t>
      </w:r>
      <w:r w:rsidR="000A112A">
        <w:rPr>
          <w:lang w:val="en-GB"/>
        </w:rPr>
        <w:t>and</w:t>
      </w:r>
      <w:r w:rsidR="00065997" w:rsidRPr="00A248C1">
        <w:t xml:space="preserve"> dexamethasone</w:t>
      </w:r>
      <w:r w:rsidR="00065997">
        <w:t xml:space="preserve"> arm</w:t>
      </w:r>
      <w:r w:rsidR="00912686">
        <w:rPr>
          <w:lang w:val="en-GB"/>
        </w:rPr>
        <w:t>.</w:t>
      </w:r>
      <w:r w:rsidR="00065997">
        <w:t xml:space="preserve"> </w:t>
      </w:r>
      <w:r w:rsidR="00912686">
        <w:rPr>
          <w:lang w:val="en-GB"/>
        </w:rPr>
        <w:t>T</w:t>
      </w:r>
      <w:r w:rsidR="000A112A">
        <w:rPr>
          <w:lang w:val="en-GB"/>
        </w:rPr>
        <w:t xml:space="preserve">he hazard ratio for </w:t>
      </w:r>
      <w:r w:rsidR="00D6642B">
        <w:rPr>
          <w:lang w:val="en-GB"/>
        </w:rPr>
        <w:t>overall survival comp</w:t>
      </w:r>
      <w:r w:rsidR="00503A13">
        <w:rPr>
          <w:lang w:val="en-GB"/>
        </w:rPr>
        <w:t>ar</w:t>
      </w:r>
      <w:r w:rsidR="00D6642B">
        <w:rPr>
          <w:lang w:val="en-GB"/>
        </w:rPr>
        <w:t xml:space="preserve">ed with </w:t>
      </w:r>
      <w:r w:rsidR="00D6642B" w:rsidRPr="00A248C1">
        <w:t>pomalidomide plus dexamethasone</w:t>
      </w:r>
      <w:r w:rsidR="00D6642B">
        <w:rPr>
          <w:lang w:val="en-GB"/>
        </w:rPr>
        <w:t xml:space="preserve"> </w:t>
      </w:r>
      <w:r w:rsidR="00702760">
        <w:rPr>
          <w:lang w:val="en-US"/>
        </w:rPr>
        <w:t>was</w:t>
      </w:r>
      <w:r w:rsidR="004D4B2F">
        <w:t xml:space="preserve"> 0.494</w:t>
      </w:r>
      <w:r w:rsidR="00D6642B">
        <w:rPr>
          <w:lang w:val="en-GB"/>
        </w:rPr>
        <w:t xml:space="preserve"> (</w:t>
      </w:r>
      <w:r w:rsidR="004D4B2F" w:rsidRPr="002B5C68">
        <w:t>95% confidence interval 0.</w:t>
      </w:r>
      <w:r w:rsidR="004D4B2F">
        <w:t>24</w:t>
      </w:r>
      <w:r w:rsidR="004D4B2F" w:rsidRPr="002B5C68">
        <w:t xml:space="preserve"> to </w:t>
      </w:r>
      <w:r w:rsidR="004D4B2F">
        <w:t>1.02</w:t>
      </w:r>
      <w:r w:rsidR="004D4B2F" w:rsidRPr="002B5C68">
        <w:t>, p</w:t>
      </w:r>
      <w:r w:rsidR="004D4B2F">
        <w:t>=</w:t>
      </w:r>
      <w:r w:rsidR="004D4B2F" w:rsidRPr="002B5C68">
        <w:t>0.0</w:t>
      </w:r>
      <w:r w:rsidR="004D4B2F">
        <w:t>5</w:t>
      </w:r>
      <w:r w:rsidR="00D6642B">
        <w:rPr>
          <w:lang w:val="en-GB"/>
        </w:rPr>
        <w:t>02</w:t>
      </w:r>
      <w:r w:rsidR="004D4B2F">
        <w:t>).</w:t>
      </w:r>
      <w:r w:rsidR="00BA71A0">
        <w:rPr>
          <w:lang w:val="en-US"/>
        </w:rPr>
        <w:t xml:space="preserve"> The committee acknowledged the immaturity of the data</w:t>
      </w:r>
      <w:r w:rsidR="00D6642B">
        <w:rPr>
          <w:lang w:val="en-US"/>
        </w:rPr>
        <w:t xml:space="preserve"> in this </w:t>
      </w:r>
      <w:r w:rsidR="000A112A">
        <w:rPr>
          <w:lang w:val="en-US"/>
        </w:rPr>
        <w:t>ongoing</w:t>
      </w:r>
      <w:r w:rsidR="00D6642B">
        <w:rPr>
          <w:lang w:val="en-US"/>
        </w:rPr>
        <w:t xml:space="preserve"> trial</w:t>
      </w:r>
      <w:r w:rsidR="00BA71A0">
        <w:rPr>
          <w:lang w:val="en-US"/>
        </w:rPr>
        <w:t>.</w:t>
      </w:r>
      <w:r w:rsidR="004D4B2F">
        <w:t xml:space="preserve"> </w:t>
      </w:r>
      <w:r w:rsidR="000A112A">
        <w:rPr>
          <w:lang w:val="en-GB"/>
        </w:rPr>
        <w:t>It</w:t>
      </w:r>
      <w:r w:rsidR="004D4B2F">
        <w:t xml:space="preserve"> concluded that</w:t>
      </w:r>
      <w:r w:rsidR="004D4B2F" w:rsidRPr="004D4B2F">
        <w:t xml:space="preserve"> </w:t>
      </w:r>
      <w:proofErr w:type="spellStart"/>
      <w:r w:rsidR="004D4B2F" w:rsidRPr="00A248C1">
        <w:t>isatuximab</w:t>
      </w:r>
      <w:proofErr w:type="spellEnd"/>
      <w:r w:rsidR="004D4B2F" w:rsidRPr="00A248C1">
        <w:t xml:space="preserve"> </w:t>
      </w:r>
      <w:r w:rsidR="004D4B2F" w:rsidRPr="00A248C1">
        <w:lastRenderedPageBreak/>
        <w:t xml:space="preserve">plus pomalidomide </w:t>
      </w:r>
      <w:r w:rsidR="000A112A">
        <w:rPr>
          <w:lang w:val="en-GB"/>
        </w:rPr>
        <w:t>and</w:t>
      </w:r>
      <w:r w:rsidR="004D4B2F" w:rsidRPr="00A248C1">
        <w:t xml:space="preserve"> dexamethasone</w:t>
      </w:r>
      <w:r w:rsidR="004D4B2F">
        <w:t xml:space="preserve"> </w:t>
      </w:r>
      <w:r w:rsidR="000A112A">
        <w:rPr>
          <w:lang w:val="en-GB"/>
        </w:rPr>
        <w:t>wa</w:t>
      </w:r>
      <w:r w:rsidR="00D6642B">
        <w:rPr>
          <w:lang w:val="en-GB"/>
        </w:rPr>
        <w:t>s likely to extend</w:t>
      </w:r>
      <w:r w:rsidR="00D6642B">
        <w:t xml:space="preserve"> </w:t>
      </w:r>
      <w:r w:rsidR="004D4B2F">
        <w:t xml:space="preserve">progression-free and overall survival compared </w:t>
      </w:r>
      <w:r w:rsidR="000A112A">
        <w:rPr>
          <w:lang w:val="en-GB"/>
        </w:rPr>
        <w:t>with</w:t>
      </w:r>
      <w:r w:rsidR="004D4B2F">
        <w:t xml:space="preserve"> </w:t>
      </w:r>
      <w:r w:rsidR="004D4B2F" w:rsidRPr="00A248C1">
        <w:t>pomalidomide plus dexamethasone</w:t>
      </w:r>
      <w:r w:rsidR="004D4B2F">
        <w:t xml:space="preserve"> </w:t>
      </w:r>
      <w:r w:rsidR="00BA71A0">
        <w:rPr>
          <w:lang w:val="en-US"/>
        </w:rPr>
        <w:t>after 3</w:t>
      </w:r>
      <w:r w:rsidR="000A112A">
        <w:rPr>
          <w:lang w:val="en-US"/>
        </w:rPr>
        <w:t> </w:t>
      </w:r>
      <w:r w:rsidR="00BA71A0">
        <w:rPr>
          <w:lang w:val="en-US"/>
        </w:rPr>
        <w:t>previous treatments</w:t>
      </w:r>
      <w:r w:rsidR="00897C6F">
        <w:rPr>
          <w:lang w:val="en-US"/>
        </w:rPr>
        <w:t>,</w:t>
      </w:r>
      <w:r w:rsidR="00BA71A0">
        <w:rPr>
          <w:lang w:val="en-US"/>
        </w:rPr>
        <w:t xml:space="preserve"> </w:t>
      </w:r>
      <w:r w:rsidR="004D4B2F">
        <w:t>but</w:t>
      </w:r>
      <w:r w:rsidR="008C396E">
        <w:t xml:space="preserve"> noted that median follow</w:t>
      </w:r>
      <w:r w:rsidR="000A112A">
        <w:rPr>
          <w:lang w:val="en-GB"/>
        </w:rPr>
        <w:t xml:space="preserve"> </w:t>
      </w:r>
      <w:r w:rsidR="008C396E">
        <w:t xml:space="preserve">up </w:t>
      </w:r>
      <w:proofErr w:type="spellStart"/>
      <w:r w:rsidR="00B05F79">
        <w:rPr>
          <w:lang w:val="en-GB"/>
        </w:rPr>
        <w:t>wa</w:t>
      </w:r>
      <w:proofErr w:type="spellEnd"/>
      <w:r w:rsidR="00D72E27">
        <w:t xml:space="preserve">s </w:t>
      </w:r>
      <w:r w:rsidR="008970D8">
        <w:t>short,</w:t>
      </w:r>
      <w:r w:rsidR="008C396E">
        <w:t xml:space="preserve"> </w:t>
      </w:r>
      <w:r w:rsidR="00897C6F">
        <w:rPr>
          <w:lang w:val="en-GB"/>
        </w:rPr>
        <w:t xml:space="preserve">the subgroup </w:t>
      </w:r>
      <w:r w:rsidR="00B05F79">
        <w:rPr>
          <w:lang w:val="en-GB"/>
        </w:rPr>
        <w:t>wa</w:t>
      </w:r>
      <w:r w:rsidR="00897C6F">
        <w:rPr>
          <w:lang w:val="en-GB"/>
        </w:rPr>
        <w:t>s small</w:t>
      </w:r>
      <w:r w:rsidR="000A112A">
        <w:rPr>
          <w:lang w:val="en-GB"/>
        </w:rPr>
        <w:t xml:space="preserve"> and</w:t>
      </w:r>
      <w:r w:rsidR="00897C6F">
        <w:rPr>
          <w:lang w:val="en-GB"/>
        </w:rPr>
        <w:t xml:space="preserve"> </w:t>
      </w:r>
      <w:r w:rsidR="008C396E">
        <w:t xml:space="preserve">the data </w:t>
      </w:r>
      <w:r w:rsidR="00B05F79">
        <w:rPr>
          <w:lang w:val="en-GB"/>
        </w:rPr>
        <w:t>we</w:t>
      </w:r>
      <w:r w:rsidR="00D72E27">
        <w:rPr>
          <w:lang w:val="en-US"/>
        </w:rPr>
        <w:t>re</w:t>
      </w:r>
      <w:r w:rsidR="008C396E">
        <w:t xml:space="preserve"> immature.</w:t>
      </w:r>
    </w:p>
    <w:p w14:paraId="4D4BCD99" w14:textId="4425311B" w:rsidR="00643582" w:rsidRDefault="00912686" w:rsidP="001713DB">
      <w:pPr>
        <w:pStyle w:val="Heading3"/>
      </w:pPr>
      <w:r>
        <w:t>No</w:t>
      </w:r>
      <w:r w:rsidR="003640F6">
        <w:t xml:space="preserve"> evidence </w:t>
      </w:r>
      <w:r>
        <w:t>is presented for</w:t>
      </w:r>
      <w:r w:rsidR="003640F6">
        <w:t xml:space="preserve"> people who have previously </w:t>
      </w:r>
      <w:r w:rsidR="007575AA">
        <w:t>had</w:t>
      </w:r>
      <w:r w:rsidR="003640F6">
        <w:t xml:space="preserve"> an anti-CD38 monoclonal antibody</w:t>
      </w:r>
    </w:p>
    <w:p w14:paraId="6906B852" w14:textId="622634E8" w:rsidR="001713DB" w:rsidRDefault="008970D8" w:rsidP="00B33576">
      <w:pPr>
        <w:pStyle w:val="Numberedlevel2text"/>
      </w:pPr>
      <w:proofErr w:type="spellStart"/>
      <w:r w:rsidRPr="008970D8">
        <w:t>Isatuximab</w:t>
      </w:r>
      <w:proofErr w:type="spellEnd"/>
      <w:r w:rsidRPr="008970D8">
        <w:t xml:space="preserve"> is an anti-CD38</w:t>
      </w:r>
      <w:r w:rsidR="0015124F">
        <w:rPr>
          <w:lang w:val="en-US"/>
        </w:rPr>
        <w:t xml:space="preserve"> monoclonal</w:t>
      </w:r>
      <w:r w:rsidRPr="008970D8">
        <w:t xml:space="preserve"> antibo</w:t>
      </w:r>
      <w:r w:rsidR="0015124F">
        <w:rPr>
          <w:lang w:val="en-US"/>
        </w:rPr>
        <w:t>dy</w:t>
      </w:r>
      <w:r w:rsidRPr="008970D8">
        <w:t xml:space="preserve">. </w:t>
      </w:r>
      <w:r>
        <w:t xml:space="preserve">Daratumumab, another anti-CD38 </w:t>
      </w:r>
      <w:r w:rsidR="00775E12">
        <w:rPr>
          <w:lang w:val="en-US"/>
        </w:rPr>
        <w:t>monoclonal</w:t>
      </w:r>
      <w:r w:rsidR="00775E12">
        <w:t xml:space="preserve"> </w:t>
      </w:r>
      <w:r>
        <w:t xml:space="preserve">antibody, is </w:t>
      </w:r>
      <w:r w:rsidR="00E02897">
        <w:rPr>
          <w:lang w:val="en-US"/>
        </w:rPr>
        <w:t>a</w:t>
      </w:r>
      <w:r w:rsidR="00775E12">
        <w:rPr>
          <w:lang w:val="en-US"/>
        </w:rPr>
        <w:t>n</w:t>
      </w:r>
      <w:r w:rsidR="00E02897">
        <w:rPr>
          <w:lang w:val="en-US"/>
        </w:rPr>
        <w:t xml:space="preserve"> option </w:t>
      </w:r>
      <w:r w:rsidR="00E2180E">
        <w:rPr>
          <w:lang w:val="en-US"/>
        </w:rPr>
        <w:t>after</w:t>
      </w:r>
      <w:r w:rsidR="00E02897">
        <w:rPr>
          <w:lang w:val="en-US"/>
        </w:rPr>
        <w:t xml:space="preserve"> 1</w:t>
      </w:r>
      <w:r w:rsidR="00D707DF">
        <w:rPr>
          <w:lang w:val="en-US"/>
        </w:rPr>
        <w:t> </w:t>
      </w:r>
      <w:r w:rsidR="00E02897">
        <w:rPr>
          <w:lang w:val="en-US"/>
        </w:rPr>
        <w:t>pr</w:t>
      </w:r>
      <w:r w:rsidR="00775E12">
        <w:rPr>
          <w:lang w:val="en-US"/>
        </w:rPr>
        <w:t>evious</w:t>
      </w:r>
      <w:r w:rsidR="00E02897">
        <w:rPr>
          <w:lang w:val="en-US"/>
        </w:rPr>
        <w:t xml:space="preserve"> t</w:t>
      </w:r>
      <w:r w:rsidR="00775E12">
        <w:rPr>
          <w:lang w:val="en-US"/>
        </w:rPr>
        <w:t>reatment</w:t>
      </w:r>
      <w:r w:rsidR="00E02897">
        <w:rPr>
          <w:lang w:val="en-US"/>
        </w:rPr>
        <w:t xml:space="preserve"> and 3</w:t>
      </w:r>
      <w:r w:rsidR="00D707DF">
        <w:rPr>
          <w:lang w:val="en-US"/>
        </w:rPr>
        <w:t> </w:t>
      </w:r>
      <w:r w:rsidR="00E02897">
        <w:rPr>
          <w:lang w:val="en-US"/>
        </w:rPr>
        <w:t>pr</w:t>
      </w:r>
      <w:r w:rsidR="00775E12">
        <w:rPr>
          <w:lang w:val="en-US"/>
        </w:rPr>
        <w:t>evious</w:t>
      </w:r>
      <w:r w:rsidR="00E02897">
        <w:rPr>
          <w:lang w:val="en-US"/>
        </w:rPr>
        <w:t xml:space="preserve"> t</w:t>
      </w:r>
      <w:r w:rsidR="00775E12">
        <w:rPr>
          <w:lang w:val="en-US"/>
        </w:rPr>
        <w:t>reatment</w:t>
      </w:r>
      <w:r w:rsidR="00E02897">
        <w:rPr>
          <w:lang w:val="en-US"/>
        </w:rPr>
        <w:t xml:space="preserve">s </w:t>
      </w:r>
      <w:r w:rsidR="0026157F">
        <w:rPr>
          <w:lang w:val="en-US"/>
        </w:rPr>
        <w:t>in</w:t>
      </w:r>
      <w:r>
        <w:t xml:space="preserve"> the </w:t>
      </w:r>
      <w:r w:rsidR="00897C6F">
        <w:rPr>
          <w:lang w:val="en-GB"/>
        </w:rPr>
        <w:t>C</w:t>
      </w:r>
      <w:proofErr w:type="spellStart"/>
      <w:r>
        <w:t>ancer</w:t>
      </w:r>
      <w:proofErr w:type="spellEnd"/>
      <w:r>
        <w:t xml:space="preserve"> </w:t>
      </w:r>
      <w:r w:rsidR="00897C6F">
        <w:rPr>
          <w:lang w:val="en-GB"/>
        </w:rPr>
        <w:t>D</w:t>
      </w:r>
      <w:r>
        <w:t xml:space="preserve">rugs </w:t>
      </w:r>
      <w:r w:rsidR="00897C6F">
        <w:rPr>
          <w:lang w:val="en-GB"/>
        </w:rPr>
        <w:t>F</w:t>
      </w:r>
      <w:r>
        <w:t xml:space="preserve">und. </w:t>
      </w:r>
      <w:r w:rsidR="00992C4D">
        <w:t xml:space="preserve">ICARIA-MM </w:t>
      </w:r>
      <w:r w:rsidR="00CA66B2">
        <w:rPr>
          <w:lang w:val="en-US"/>
        </w:rPr>
        <w:t>included</w:t>
      </w:r>
      <w:r w:rsidR="00CA66B2">
        <w:t xml:space="preserve"> </w:t>
      </w:r>
      <w:r w:rsidR="00D707DF">
        <w:rPr>
          <w:lang w:val="en-GB"/>
        </w:rPr>
        <w:t>people with multiple myeloma that was not</w:t>
      </w:r>
      <w:r w:rsidR="00D707DF">
        <w:rPr>
          <w:lang w:val="en-US"/>
        </w:rPr>
        <w:t xml:space="preserve"> </w:t>
      </w:r>
      <w:r w:rsidR="00992C4D">
        <w:t>refractory to anti-CD38 antibody</w:t>
      </w:r>
      <w:r w:rsidR="005837CB">
        <w:rPr>
          <w:lang w:val="en-US"/>
        </w:rPr>
        <w:t xml:space="preserve"> treatment</w:t>
      </w:r>
      <w:r w:rsidR="00CA66B2">
        <w:rPr>
          <w:lang w:val="en-US"/>
        </w:rPr>
        <w:t>, that is</w:t>
      </w:r>
      <w:r w:rsidR="00D707DF">
        <w:rPr>
          <w:lang w:val="en-US"/>
        </w:rPr>
        <w:t>,</w:t>
      </w:r>
      <w:r w:rsidR="00CA66B2">
        <w:rPr>
          <w:lang w:val="en-US"/>
        </w:rPr>
        <w:t xml:space="preserve"> </w:t>
      </w:r>
      <w:r w:rsidR="007F2793">
        <w:rPr>
          <w:lang w:val="en-US"/>
        </w:rPr>
        <w:t>their</w:t>
      </w:r>
      <w:r w:rsidR="00897C6F">
        <w:rPr>
          <w:lang w:val="en-US"/>
        </w:rPr>
        <w:t xml:space="preserve"> disease</w:t>
      </w:r>
      <w:r w:rsidR="00CA66B2">
        <w:rPr>
          <w:lang w:val="en-US"/>
        </w:rPr>
        <w:t xml:space="preserve"> had not progressed on </w:t>
      </w:r>
      <w:r w:rsidR="005C490E">
        <w:rPr>
          <w:lang w:val="en-GB"/>
        </w:rPr>
        <w:t>the</w:t>
      </w:r>
      <w:r w:rsidR="007F2793">
        <w:rPr>
          <w:lang w:val="en-US"/>
        </w:rPr>
        <w:t xml:space="preserve"> </w:t>
      </w:r>
      <w:r w:rsidR="00CA66B2">
        <w:rPr>
          <w:lang w:val="en-US"/>
        </w:rPr>
        <w:t>treatment</w:t>
      </w:r>
      <w:r w:rsidR="005837CB">
        <w:rPr>
          <w:lang w:val="en-US"/>
        </w:rPr>
        <w:t xml:space="preserve">. </w:t>
      </w:r>
      <w:r w:rsidR="00395E89">
        <w:rPr>
          <w:lang w:val="en-US"/>
        </w:rPr>
        <w:t>But it</w:t>
      </w:r>
      <w:r w:rsidR="00395E89">
        <w:t xml:space="preserve"> excluded </w:t>
      </w:r>
      <w:r w:rsidR="00395E89">
        <w:rPr>
          <w:lang w:val="en-GB"/>
        </w:rPr>
        <w:t>people</w:t>
      </w:r>
      <w:r w:rsidR="00395E89">
        <w:t xml:space="preserve"> </w:t>
      </w:r>
      <w:r w:rsidR="00395E89">
        <w:rPr>
          <w:lang w:val="en-GB"/>
        </w:rPr>
        <w:t xml:space="preserve">whose disease was </w:t>
      </w:r>
      <w:r w:rsidR="00395E89">
        <w:t>refractory to</w:t>
      </w:r>
      <w:r w:rsidR="00395E89" w:rsidRPr="003A207E">
        <w:t xml:space="preserve"> </w:t>
      </w:r>
      <w:r w:rsidR="00395E89">
        <w:t>pr</w:t>
      </w:r>
      <w:r w:rsidR="00395E89">
        <w:rPr>
          <w:lang w:val="en-GB"/>
        </w:rPr>
        <w:t>evious</w:t>
      </w:r>
      <w:r w:rsidR="00395E89">
        <w:t xml:space="preserve"> anti-CD38</w:t>
      </w:r>
      <w:r w:rsidR="00395E89">
        <w:rPr>
          <w:lang w:val="en-US"/>
        </w:rPr>
        <w:t xml:space="preserve"> </w:t>
      </w:r>
      <w:r w:rsidR="00395E89">
        <w:t>antibody</w:t>
      </w:r>
      <w:r w:rsidR="00395E89">
        <w:rPr>
          <w:lang w:val="en-US"/>
        </w:rPr>
        <w:t xml:space="preserve"> treatment, that is, their disease progressed while on treatment</w:t>
      </w:r>
      <w:r w:rsidR="00395E89">
        <w:t xml:space="preserve">. </w:t>
      </w:r>
      <w:r w:rsidR="00572D33">
        <w:t>The clinical experts</w:t>
      </w:r>
      <w:r w:rsidR="00572D33">
        <w:rPr>
          <w:lang w:val="en-US"/>
        </w:rPr>
        <w:t xml:space="preserve"> explained that they would consider using</w:t>
      </w:r>
      <w:r w:rsidR="00572D33">
        <w:t xml:space="preserve"> </w:t>
      </w:r>
      <w:proofErr w:type="spellStart"/>
      <w:r w:rsidR="00572D33">
        <w:t>isatuximab</w:t>
      </w:r>
      <w:proofErr w:type="spellEnd"/>
      <w:r w:rsidR="00572D33">
        <w:t xml:space="preserve"> </w:t>
      </w:r>
      <w:r w:rsidR="00572D33">
        <w:rPr>
          <w:lang w:val="en-US"/>
        </w:rPr>
        <w:t>plus</w:t>
      </w:r>
      <w:r w:rsidR="00572D33">
        <w:t xml:space="preserve"> pomalidomide </w:t>
      </w:r>
      <w:r w:rsidR="00D707DF">
        <w:rPr>
          <w:lang w:val="en-GB"/>
        </w:rPr>
        <w:t>and</w:t>
      </w:r>
      <w:r w:rsidR="00572D33">
        <w:t xml:space="preserve"> dexamethasone</w:t>
      </w:r>
      <w:r w:rsidR="00572D33">
        <w:rPr>
          <w:lang w:val="en-US"/>
        </w:rPr>
        <w:t xml:space="preserve"> </w:t>
      </w:r>
      <w:r w:rsidR="00BF0D29">
        <w:rPr>
          <w:lang w:val="en-US"/>
        </w:rPr>
        <w:t>for</w:t>
      </w:r>
      <w:r w:rsidR="00572D33">
        <w:t xml:space="preserve"> </w:t>
      </w:r>
      <w:r w:rsidR="00BF0D29">
        <w:rPr>
          <w:lang w:val="en-GB"/>
        </w:rPr>
        <w:t>people</w:t>
      </w:r>
      <w:r w:rsidR="00572D33">
        <w:t xml:space="preserve"> </w:t>
      </w:r>
      <w:r w:rsidR="00D707DF">
        <w:rPr>
          <w:lang w:val="en-GB"/>
        </w:rPr>
        <w:t>who had pr</w:t>
      </w:r>
      <w:r w:rsidR="00BF0D29">
        <w:rPr>
          <w:lang w:val="en-GB"/>
        </w:rPr>
        <w:t>evious</w:t>
      </w:r>
      <w:r w:rsidR="00572D33">
        <w:t xml:space="preserve"> treat</w:t>
      </w:r>
      <w:r w:rsidR="00D707DF">
        <w:rPr>
          <w:lang w:val="en-GB"/>
        </w:rPr>
        <w:t>ment</w:t>
      </w:r>
      <w:r w:rsidR="00572D33">
        <w:t xml:space="preserve"> with </w:t>
      </w:r>
      <w:r w:rsidR="00572D33">
        <w:rPr>
          <w:lang w:val="en-US"/>
        </w:rPr>
        <w:t xml:space="preserve">an anti-CD38 antibody such as </w:t>
      </w:r>
      <w:r w:rsidR="00572D33">
        <w:t>daratumumab</w:t>
      </w:r>
      <w:r w:rsidR="00897C6F">
        <w:rPr>
          <w:lang w:val="en-GB"/>
        </w:rPr>
        <w:t>, but only</w:t>
      </w:r>
      <w:r w:rsidR="00572D33">
        <w:t xml:space="preserve"> if that treatment had stopped for reasons other than </w:t>
      </w:r>
      <w:r w:rsidR="00775E12">
        <w:rPr>
          <w:lang w:val="en-GB"/>
        </w:rPr>
        <w:t xml:space="preserve">disease </w:t>
      </w:r>
      <w:r w:rsidR="00572D33">
        <w:t xml:space="preserve">progression. </w:t>
      </w:r>
      <w:r w:rsidR="00BF0D29">
        <w:rPr>
          <w:lang w:val="en-GB"/>
        </w:rPr>
        <w:t>But they</w:t>
      </w:r>
      <w:r w:rsidR="004F13F4">
        <w:rPr>
          <w:lang w:val="en-US"/>
        </w:rPr>
        <w:t xml:space="preserve"> stated that they would not use an anti-CD38 antibody again </w:t>
      </w:r>
      <w:r w:rsidR="00D707DF">
        <w:rPr>
          <w:lang w:val="en-US"/>
        </w:rPr>
        <w:t>if</w:t>
      </w:r>
      <w:r w:rsidR="004F13F4">
        <w:rPr>
          <w:lang w:val="en-US"/>
        </w:rPr>
        <w:t xml:space="preserve"> the disease ha</w:t>
      </w:r>
      <w:r w:rsidR="00D707DF">
        <w:rPr>
          <w:lang w:val="en-US"/>
        </w:rPr>
        <w:t>d</w:t>
      </w:r>
      <w:r w:rsidR="004F13F4">
        <w:rPr>
          <w:lang w:val="en-US"/>
        </w:rPr>
        <w:t xml:space="preserve"> been refractory to one </w:t>
      </w:r>
      <w:r w:rsidR="00D707DF">
        <w:rPr>
          <w:lang w:val="en-US"/>
        </w:rPr>
        <w:t>in</w:t>
      </w:r>
      <w:r w:rsidR="004F13F4">
        <w:rPr>
          <w:lang w:val="en-US"/>
        </w:rPr>
        <w:t xml:space="preserve"> a previous line of treatment. </w:t>
      </w:r>
      <w:r w:rsidR="00502B2B" w:rsidRPr="00502B2B">
        <w:t xml:space="preserve">The company </w:t>
      </w:r>
      <w:r w:rsidR="00E02897">
        <w:rPr>
          <w:lang w:val="en-US"/>
        </w:rPr>
        <w:t>noted</w:t>
      </w:r>
      <w:r w:rsidR="00E02897" w:rsidRPr="00502B2B">
        <w:t xml:space="preserve"> </w:t>
      </w:r>
      <w:r w:rsidR="00502B2B" w:rsidRPr="00502B2B">
        <w:t xml:space="preserve">that only </w:t>
      </w:r>
      <w:r w:rsidR="00D707DF">
        <w:rPr>
          <w:lang w:val="en-GB"/>
        </w:rPr>
        <w:t>1 </w:t>
      </w:r>
      <w:r w:rsidR="00502B2B" w:rsidRPr="00502B2B">
        <w:t>p</w:t>
      </w:r>
      <w:r w:rsidR="00BF0D29">
        <w:rPr>
          <w:lang w:val="en-GB"/>
        </w:rPr>
        <w:t>erson</w:t>
      </w:r>
      <w:r w:rsidR="00502B2B" w:rsidRPr="00502B2B">
        <w:t xml:space="preserve"> in ICARIA-MM had </w:t>
      </w:r>
      <w:r w:rsidR="00F07BA3">
        <w:rPr>
          <w:lang w:val="en-US"/>
        </w:rPr>
        <w:t xml:space="preserve">previous </w:t>
      </w:r>
      <w:r w:rsidR="00EA5AD5" w:rsidRPr="00502B2B">
        <w:t>anti-CD38</w:t>
      </w:r>
      <w:r w:rsidR="00EA5AD5">
        <w:rPr>
          <w:lang w:val="en-US"/>
        </w:rPr>
        <w:t xml:space="preserve"> </w:t>
      </w:r>
      <w:r w:rsidR="00EA5AD5" w:rsidRPr="00502B2B">
        <w:t>antibody</w:t>
      </w:r>
      <w:r w:rsidR="00EA5AD5">
        <w:rPr>
          <w:lang w:val="en-US"/>
        </w:rPr>
        <w:t xml:space="preserve"> </w:t>
      </w:r>
      <w:r w:rsidR="00F07BA3">
        <w:rPr>
          <w:lang w:val="en-US"/>
        </w:rPr>
        <w:t>treatment</w:t>
      </w:r>
      <w:r w:rsidR="00502B2B" w:rsidRPr="00502B2B">
        <w:t>.</w:t>
      </w:r>
      <w:r w:rsidR="00F415E1" w:rsidRPr="00F415E1">
        <w:t xml:space="preserve"> The clinical experts explained that </w:t>
      </w:r>
      <w:r w:rsidR="00F55424">
        <w:rPr>
          <w:lang w:val="en-GB"/>
        </w:rPr>
        <w:t xml:space="preserve">in NHS practice many people </w:t>
      </w:r>
      <w:r w:rsidR="00C04EB1">
        <w:rPr>
          <w:lang w:val="en-GB"/>
        </w:rPr>
        <w:t xml:space="preserve">increasingly have </w:t>
      </w:r>
      <w:r w:rsidR="00F415E1" w:rsidRPr="00F415E1">
        <w:t xml:space="preserve">daratumumab </w:t>
      </w:r>
      <w:r w:rsidR="00F55424">
        <w:rPr>
          <w:lang w:val="en-GB"/>
        </w:rPr>
        <w:t>second line</w:t>
      </w:r>
      <w:r w:rsidR="00C04EB1">
        <w:rPr>
          <w:lang w:val="en-GB"/>
        </w:rPr>
        <w:t>. This</w:t>
      </w:r>
      <w:r w:rsidR="00F415E1" w:rsidRPr="00F415E1">
        <w:t xml:space="preserve"> mean</w:t>
      </w:r>
      <w:r w:rsidR="00C04EB1">
        <w:rPr>
          <w:lang w:val="en-GB"/>
        </w:rPr>
        <w:t>s</w:t>
      </w:r>
      <w:r w:rsidR="00F415E1" w:rsidRPr="00F415E1">
        <w:t xml:space="preserve"> </w:t>
      </w:r>
      <w:r w:rsidR="00AB3EA6">
        <w:rPr>
          <w:lang w:val="en-US"/>
        </w:rPr>
        <w:t xml:space="preserve">that </w:t>
      </w:r>
      <w:r w:rsidR="00F415E1" w:rsidRPr="00F415E1">
        <w:t xml:space="preserve">many people with relapsed and refractory multiple myeloma </w:t>
      </w:r>
      <w:r w:rsidR="00BF0D29">
        <w:rPr>
          <w:lang w:val="en-GB"/>
        </w:rPr>
        <w:t>after 3 previous treatments</w:t>
      </w:r>
      <w:r w:rsidR="00F415E1" w:rsidRPr="00F415E1">
        <w:t xml:space="preserve"> would have </w:t>
      </w:r>
      <w:r w:rsidR="00161651">
        <w:rPr>
          <w:lang w:val="en-GB"/>
        </w:rPr>
        <w:t xml:space="preserve">already </w:t>
      </w:r>
      <w:r w:rsidR="00D707DF">
        <w:rPr>
          <w:lang w:val="en-GB"/>
        </w:rPr>
        <w:t>had</w:t>
      </w:r>
      <w:r w:rsidR="00F415E1" w:rsidRPr="00F415E1">
        <w:t xml:space="preserve"> </w:t>
      </w:r>
      <w:r w:rsidR="00BF0D29">
        <w:rPr>
          <w:lang w:val="en-GB"/>
        </w:rPr>
        <w:t xml:space="preserve">an </w:t>
      </w:r>
      <w:r w:rsidR="00F415E1" w:rsidRPr="00F415E1">
        <w:t>anti-CD38 antibody</w:t>
      </w:r>
      <w:r w:rsidR="00F55424">
        <w:rPr>
          <w:lang w:val="en-GB"/>
        </w:rPr>
        <w:t>.</w:t>
      </w:r>
      <w:r w:rsidR="00992C4D">
        <w:t xml:space="preserve"> </w:t>
      </w:r>
      <w:r w:rsidR="00992C4D" w:rsidRPr="00992C4D">
        <w:t>The</w:t>
      </w:r>
      <w:r w:rsidR="00AB3EA6">
        <w:rPr>
          <w:lang w:val="en-US"/>
        </w:rPr>
        <w:t xml:space="preserve"> C</w:t>
      </w:r>
      <w:r w:rsidR="00D30680">
        <w:rPr>
          <w:lang w:val="en-US"/>
        </w:rPr>
        <w:t xml:space="preserve">ancer </w:t>
      </w:r>
      <w:r w:rsidR="00AB3EA6">
        <w:rPr>
          <w:lang w:val="en-US"/>
        </w:rPr>
        <w:t>D</w:t>
      </w:r>
      <w:r w:rsidR="00D30680">
        <w:rPr>
          <w:lang w:val="en-US"/>
        </w:rPr>
        <w:t xml:space="preserve">rugs </w:t>
      </w:r>
      <w:r w:rsidR="00AB3EA6">
        <w:rPr>
          <w:lang w:val="en-US"/>
        </w:rPr>
        <w:t>F</w:t>
      </w:r>
      <w:r w:rsidR="00D30680">
        <w:rPr>
          <w:lang w:val="en-US"/>
        </w:rPr>
        <w:t>und</w:t>
      </w:r>
      <w:r w:rsidR="00AB3EA6">
        <w:rPr>
          <w:lang w:val="en-US"/>
        </w:rPr>
        <w:t xml:space="preserve"> clinical lead noted</w:t>
      </w:r>
      <w:r w:rsidR="004F13F4">
        <w:rPr>
          <w:lang w:val="en-US"/>
        </w:rPr>
        <w:t xml:space="preserve"> that</w:t>
      </w:r>
      <w:r w:rsidR="00AB3EA6">
        <w:rPr>
          <w:lang w:val="en-US"/>
        </w:rPr>
        <w:t xml:space="preserve"> daratumumab </w:t>
      </w:r>
      <w:r w:rsidR="00BA3F13">
        <w:rPr>
          <w:lang w:val="en-US"/>
        </w:rPr>
        <w:t xml:space="preserve">is well tolerated </w:t>
      </w:r>
      <w:r w:rsidR="004F13F4">
        <w:rPr>
          <w:lang w:val="en-US"/>
        </w:rPr>
        <w:t xml:space="preserve">and </w:t>
      </w:r>
      <w:r w:rsidR="00AB3EA6">
        <w:rPr>
          <w:lang w:val="en-US"/>
        </w:rPr>
        <w:t xml:space="preserve">few people would stop </w:t>
      </w:r>
      <w:r w:rsidR="004F13F4">
        <w:rPr>
          <w:lang w:val="en-US"/>
        </w:rPr>
        <w:t>it</w:t>
      </w:r>
      <w:r w:rsidR="00572D33">
        <w:rPr>
          <w:lang w:val="en-US"/>
        </w:rPr>
        <w:t xml:space="preserve"> for reasons other than</w:t>
      </w:r>
      <w:r w:rsidR="000F1896">
        <w:rPr>
          <w:lang w:val="en-US"/>
        </w:rPr>
        <w:t xml:space="preserve"> disease</w:t>
      </w:r>
      <w:r w:rsidR="00572D33">
        <w:rPr>
          <w:lang w:val="en-US"/>
        </w:rPr>
        <w:t xml:space="preserve"> progression</w:t>
      </w:r>
      <w:r w:rsidR="00AB3EA6">
        <w:rPr>
          <w:lang w:val="en-US"/>
        </w:rPr>
        <w:t>.</w:t>
      </w:r>
      <w:r w:rsidR="00EC31A2">
        <w:rPr>
          <w:lang w:val="en-US"/>
        </w:rPr>
        <w:t xml:space="preserve"> </w:t>
      </w:r>
      <w:r w:rsidR="004F13F4" w:rsidRPr="00F415E1">
        <w:t xml:space="preserve">The clinical experts </w:t>
      </w:r>
      <w:r w:rsidR="004F13F4">
        <w:rPr>
          <w:lang w:val="en-GB"/>
        </w:rPr>
        <w:t>and the C</w:t>
      </w:r>
      <w:r w:rsidR="00D30680">
        <w:rPr>
          <w:lang w:val="en-GB"/>
        </w:rPr>
        <w:t xml:space="preserve">ancer </w:t>
      </w:r>
      <w:r w:rsidR="004F13F4">
        <w:rPr>
          <w:lang w:val="en-GB"/>
        </w:rPr>
        <w:t>D</w:t>
      </w:r>
      <w:r w:rsidR="00D30680">
        <w:rPr>
          <w:lang w:val="en-GB"/>
        </w:rPr>
        <w:t xml:space="preserve">rugs </w:t>
      </w:r>
      <w:r w:rsidR="004F13F4">
        <w:rPr>
          <w:lang w:val="en-GB"/>
        </w:rPr>
        <w:t>F</w:t>
      </w:r>
      <w:r w:rsidR="00D30680">
        <w:rPr>
          <w:lang w:val="en-GB"/>
        </w:rPr>
        <w:t>und clinical</w:t>
      </w:r>
      <w:r w:rsidR="004F13F4">
        <w:rPr>
          <w:lang w:val="en-GB"/>
        </w:rPr>
        <w:t xml:space="preserve"> lead </w:t>
      </w:r>
      <w:r w:rsidR="00EC31A2">
        <w:rPr>
          <w:lang w:val="en-US"/>
        </w:rPr>
        <w:t>also noted th</w:t>
      </w:r>
      <w:r w:rsidR="00F43454">
        <w:rPr>
          <w:lang w:val="en-US"/>
        </w:rPr>
        <w:t>at there was high biological plausibility</w:t>
      </w:r>
      <w:r w:rsidR="00EC31A2">
        <w:rPr>
          <w:lang w:val="en-US"/>
        </w:rPr>
        <w:t xml:space="preserve"> that daratumumab </w:t>
      </w:r>
      <w:r w:rsidR="004F13F4">
        <w:rPr>
          <w:lang w:val="en-US"/>
        </w:rPr>
        <w:t>would</w:t>
      </w:r>
      <w:r w:rsidR="00E11211">
        <w:rPr>
          <w:lang w:val="en-US"/>
        </w:rPr>
        <w:t xml:space="preserve"> reduce</w:t>
      </w:r>
      <w:r w:rsidR="00503A13">
        <w:rPr>
          <w:lang w:val="en-US"/>
        </w:rPr>
        <w:t xml:space="preserve"> </w:t>
      </w:r>
      <w:r w:rsidR="003A275D">
        <w:rPr>
          <w:lang w:val="en-US"/>
        </w:rPr>
        <w:t>any response</w:t>
      </w:r>
      <w:r w:rsidR="004F13F4">
        <w:rPr>
          <w:lang w:val="en-US"/>
        </w:rPr>
        <w:t xml:space="preserve"> to </w:t>
      </w:r>
      <w:proofErr w:type="spellStart"/>
      <w:r w:rsidR="00EC31A2">
        <w:rPr>
          <w:lang w:val="en-US"/>
        </w:rPr>
        <w:t>isatuximab</w:t>
      </w:r>
      <w:proofErr w:type="spellEnd"/>
      <w:r w:rsidR="00A12052">
        <w:rPr>
          <w:lang w:val="en-US"/>
        </w:rPr>
        <w:t xml:space="preserve"> in </w:t>
      </w:r>
      <w:r w:rsidR="00395E89">
        <w:rPr>
          <w:lang w:val="en-US"/>
        </w:rPr>
        <w:t xml:space="preserve">people </w:t>
      </w:r>
      <w:r w:rsidR="00A12052">
        <w:rPr>
          <w:lang w:val="en-US"/>
        </w:rPr>
        <w:t>who</w:t>
      </w:r>
      <w:r w:rsidR="00395E89">
        <w:rPr>
          <w:lang w:val="en-US"/>
        </w:rPr>
        <w:t>se disease</w:t>
      </w:r>
      <w:r w:rsidR="00A12052">
        <w:rPr>
          <w:lang w:val="en-US"/>
        </w:rPr>
        <w:t xml:space="preserve"> w</w:t>
      </w:r>
      <w:r w:rsidR="00395E89">
        <w:rPr>
          <w:lang w:val="en-US"/>
        </w:rPr>
        <w:t>as</w:t>
      </w:r>
      <w:r w:rsidR="00A12052">
        <w:rPr>
          <w:lang w:val="en-US"/>
        </w:rPr>
        <w:t xml:space="preserve"> refractory to pr</w:t>
      </w:r>
      <w:r w:rsidR="00395E89">
        <w:rPr>
          <w:lang w:val="en-US"/>
        </w:rPr>
        <w:t>evious</w:t>
      </w:r>
      <w:r w:rsidR="00A12052">
        <w:rPr>
          <w:lang w:val="en-US"/>
        </w:rPr>
        <w:t xml:space="preserve"> daratumumab</w:t>
      </w:r>
      <w:r w:rsidR="00BC4257">
        <w:rPr>
          <w:lang w:val="en-US"/>
        </w:rPr>
        <w:t xml:space="preserve"> treatment</w:t>
      </w:r>
      <w:r w:rsidR="00EC31A2">
        <w:rPr>
          <w:lang w:val="en-US"/>
        </w:rPr>
        <w:t>.</w:t>
      </w:r>
      <w:r w:rsidR="00AB3EA6">
        <w:rPr>
          <w:lang w:val="en-US"/>
        </w:rPr>
        <w:t xml:space="preserve"> </w:t>
      </w:r>
      <w:r w:rsidR="003969C7">
        <w:rPr>
          <w:lang w:val="en-US"/>
        </w:rPr>
        <w:t xml:space="preserve">The committee acknowledged that </w:t>
      </w:r>
      <w:r w:rsidR="00BB3C49">
        <w:rPr>
          <w:lang w:val="en-US"/>
        </w:rPr>
        <w:t>evidence of</w:t>
      </w:r>
      <w:r w:rsidR="003969C7">
        <w:rPr>
          <w:lang w:val="en-US"/>
        </w:rPr>
        <w:t xml:space="preserve"> the clinical effect of </w:t>
      </w:r>
      <w:proofErr w:type="spellStart"/>
      <w:r w:rsidR="003969C7">
        <w:rPr>
          <w:lang w:val="en-US"/>
        </w:rPr>
        <w:t>isatuximab</w:t>
      </w:r>
      <w:proofErr w:type="spellEnd"/>
      <w:r w:rsidR="003969C7">
        <w:rPr>
          <w:lang w:val="en-US"/>
        </w:rPr>
        <w:t xml:space="preserve"> plus pomalidomide </w:t>
      </w:r>
      <w:r w:rsidR="00A816E5">
        <w:rPr>
          <w:lang w:val="en-US"/>
        </w:rPr>
        <w:t>and</w:t>
      </w:r>
      <w:r w:rsidR="003969C7">
        <w:rPr>
          <w:lang w:val="en-US"/>
        </w:rPr>
        <w:t xml:space="preserve"> dexamethasone in </w:t>
      </w:r>
      <w:r w:rsidR="00045994">
        <w:rPr>
          <w:lang w:val="en-US"/>
        </w:rPr>
        <w:t>people</w:t>
      </w:r>
      <w:r w:rsidR="003969C7">
        <w:rPr>
          <w:lang w:val="en-US"/>
        </w:rPr>
        <w:t xml:space="preserve"> who had </w:t>
      </w:r>
      <w:r w:rsidR="003969C7">
        <w:rPr>
          <w:lang w:val="en-US"/>
        </w:rPr>
        <w:lastRenderedPageBreak/>
        <w:t xml:space="preserve">previously </w:t>
      </w:r>
      <w:r w:rsidR="00A816E5">
        <w:rPr>
          <w:lang w:val="en-US"/>
        </w:rPr>
        <w:t>had</w:t>
      </w:r>
      <w:r w:rsidR="003969C7">
        <w:rPr>
          <w:lang w:val="en-US"/>
        </w:rPr>
        <w:t xml:space="preserve"> anti-CD38 antibody treatment</w:t>
      </w:r>
      <w:r w:rsidR="00051EA1">
        <w:rPr>
          <w:lang w:val="en-US"/>
        </w:rPr>
        <w:t xml:space="preserve"> had not been presented</w:t>
      </w:r>
      <w:r w:rsidR="003969C7">
        <w:rPr>
          <w:lang w:val="en-US"/>
        </w:rPr>
        <w:t xml:space="preserve">. </w:t>
      </w:r>
      <w:r w:rsidR="00BB3C49">
        <w:rPr>
          <w:lang w:val="en-US"/>
        </w:rPr>
        <w:t>It</w:t>
      </w:r>
      <w:r w:rsidR="00A12052">
        <w:rPr>
          <w:lang w:val="en-US"/>
        </w:rPr>
        <w:t xml:space="preserve"> recalled that the </w:t>
      </w:r>
      <w:r w:rsidR="003969C7">
        <w:rPr>
          <w:lang w:val="en-US"/>
        </w:rPr>
        <w:t xml:space="preserve">clinical experts </w:t>
      </w:r>
      <w:r w:rsidR="00A816E5">
        <w:rPr>
          <w:lang w:val="en-US"/>
        </w:rPr>
        <w:t xml:space="preserve">explained </w:t>
      </w:r>
      <w:r w:rsidR="003969C7">
        <w:rPr>
          <w:lang w:val="en-US"/>
        </w:rPr>
        <w:t xml:space="preserve">that using an anti-CD38 antibody treatment again later in the treatment pathway would be appropriate </w:t>
      </w:r>
      <w:r w:rsidR="0029773A">
        <w:rPr>
          <w:lang w:val="en-US"/>
        </w:rPr>
        <w:t xml:space="preserve">if treatment had been stopped for reasons other than disease progression. </w:t>
      </w:r>
      <w:r w:rsidR="00904C87" w:rsidRPr="00904C87">
        <w:t>The</w:t>
      </w:r>
      <w:r w:rsidR="00904C87">
        <w:t xml:space="preserve"> committee concluded that</w:t>
      </w:r>
      <w:r w:rsidR="00F415E1">
        <w:t xml:space="preserve"> </w:t>
      </w:r>
      <w:r w:rsidR="0072442B">
        <w:rPr>
          <w:lang w:val="en-US"/>
        </w:rPr>
        <w:t xml:space="preserve">it had not been presented with evidence </w:t>
      </w:r>
      <w:r w:rsidR="00267696">
        <w:rPr>
          <w:lang w:val="en-US"/>
        </w:rPr>
        <w:t>for</w:t>
      </w:r>
      <w:r w:rsidR="0072442B">
        <w:rPr>
          <w:lang w:val="en-US"/>
        </w:rPr>
        <w:t xml:space="preserve"> people who</w:t>
      </w:r>
      <w:r w:rsidR="004F0478">
        <w:rPr>
          <w:lang w:val="en-US"/>
        </w:rPr>
        <w:t>se disease</w:t>
      </w:r>
      <w:r w:rsidR="0072442B">
        <w:rPr>
          <w:lang w:val="en-US"/>
        </w:rPr>
        <w:t xml:space="preserve"> </w:t>
      </w:r>
      <w:r w:rsidR="00F43454">
        <w:rPr>
          <w:lang w:val="en-US"/>
        </w:rPr>
        <w:t>w</w:t>
      </w:r>
      <w:r w:rsidR="004F0478">
        <w:rPr>
          <w:lang w:val="en-US"/>
        </w:rPr>
        <w:t>as</w:t>
      </w:r>
      <w:r w:rsidR="00F43454">
        <w:rPr>
          <w:lang w:val="en-US"/>
        </w:rPr>
        <w:t xml:space="preserve"> refractory to</w:t>
      </w:r>
      <w:r w:rsidR="0072442B">
        <w:rPr>
          <w:lang w:val="en-US"/>
        </w:rPr>
        <w:t xml:space="preserve"> anti-CD38 antibody</w:t>
      </w:r>
      <w:r w:rsidR="00267696">
        <w:rPr>
          <w:lang w:val="en-US"/>
        </w:rPr>
        <w:t xml:space="preserve"> treatment</w:t>
      </w:r>
      <w:r w:rsidR="004F13F4">
        <w:rPr>
          <w:lang w:val="en-US"/>
        </w:rPr>
        <w:t>,</w:t>
      </w:r>
      <w:r w:rsidR="0072442B">
        <w:rPr>
          <w:lang w:val="en-US"/>
        </w:rPr>
        <w:t xml:space="preserve"> </w:t>
      </w:r>
      <w:r w:rsidR="000B083A">
        <w:rPr>
          <w:lang w:val="en-US"/>
        </w:rPr>
        <w:t>and it</w:t>
      </w:r>
      <w:r w:rsidR="0072442B">
        <w:rPr>
          <w:lang w:val="en-US"/>
        </w:rPr>
        <w:t xml:space="preserve"> was not appropriate to </w:t>
      </w:r>
      <w:proofErr w:type="spellStart"/>
      <w:r w:rsidR="0072442B">
        <w:rPr>
          <w:lang w:val="en-US"/>
        </w:rPr>
        <w:t>generalise</w:t>
      </w:r>
      <w:proofErr w:type="spellEnd"/>
      <w:r w:rsidR="0072442B">
        <w:rPr>
          <w:lang w:val="en-US"/>
        </w:rPr>
        <w:t xml:space="preserve"> the evidence to th</w:t>
      </w:r>
      <w:r w:rsidR="00AF2760">
        <w:rPr>
          <w:lang w:val="en-US"/>
        </w:rPr>
        <w:t>is group</w:t>
      </w:r>
      <w:r w:rsidR="0072442B">
        <w:rPr>
          <w:lang w:val="en-US"/>
        </w:rPr>
        <w:t>.</w:t>
      </w:r>
    </w:p>
    <w:p w14:paraId="61E518A6" w14:textId="32FAC569" w:rsidR="000D644F" w:rsidRDefault="000D644F" w:rsidP="00CB196E">
      <w:pPr>
        <w:pStyle w:val="Heading3"/>
      </w:pPr>
      <w:r w:rsidRPr="000D644F">
        <w:t>Subsequent t</w:t>
      </w:r>
      <w:r w:rsidR="004B744B">
        <w:t>reatments</w:t>
      </w:r>
      <w:r w:rsidRPr="000D644F">
        <w:t xml:space="preserve"> in ICARIA-MM </w:t>
      </w:r>
      <w:r w:rsidR="004F13F4">
        <w:t>do</w:t>
      </w:r>
      <w:r w:rsidR="004F13F4" w:rsidRPr="000D644F">
        <w:t xml:space="preserve"> </w:t>
      </w:r>
      <w:r w:rsidRPr="000D644F">
        <w:t>not reflect NHS clinical practice</w:t>
      </w:r>
    </w:p>
    <w:p w14:paraId="46D2901F" w14:textId="1CBD704F" w:rsidR="00FD1412" w:rsidRPr="00FD1412" w:rsidRDefault="0048141F" w:rsidP="00B33576">
      <w:pPr>
        <w:pStyle w:val="Numberedlevel2text"/>
        <w:rPr>
          <w:rFonts w:cs="Arial"/>
          <w:b/>
          <w:iCs w:val="0"/>
          <w:szCs w:val="24"/>
          <w:lang w:val="en-GB"/>
        </w:rPr>
      </w:pPr>
      <w:proofErr w:type="spellStart"/>
      <w:r>
        <w:rPr>
          <w:lang w:val="en-GB"/>
        </w:rPr>
        <w:t>T</w:t>
      </w:r>
      <w:r w:rsidR="00B7715E">
        <w:t>he</w:t>
      </w:r>
      <w:proofErr w:type="spellEnd"/>
      <w:r w:rsidR="00B7715E">
        <w:t xml:space="preserve"> </w:t>
      </w:r>
      <w:r w:rsidR="00136078">
        <w:rPr>
          <w:lang w:val="en-GB"/>
        </w:rPr>
        <w:t xml:space="preserve">subgroup </w:t>
      </w:r>
      <w:r>
        <w:rPr>
          <w:lang w:val="en-GB"/>
        </w:rPr>
        <w:t xml:space="preserve">of people </w:t>
      </w:r>
      <w:r w:rsidR="00600A75">
        <w:rPr>
          <w:lang w:val="en-GB"/>
        </w:rPr>
        <w:t xml:space="preserve">in ICARIA-MM </w:t>
      </w:r>
      <w:r>
        <w:rPr>
          <w:lang w:val="en-GB"/>
        </w:rPr>
        <w:t xml:space="preserve">who had had 3 previous treatments </w:t>
      </w:r>
      <w:r w:rsidR="00600A75">
        <w:rPr>
          <w:lang w:val="en-GB"/>
        </w:rPr>
        <w:t>had</w:t>
      </w:r>
      <w:r w:rsidR="00136078">
        <w:rPr>
          <w:lang w:val="en-GB"/>
        </w:rPr>
        <w:t xml:space="preserve"> </w:t>
      </w:r>
      <w:r w:rsidR="00600A75">
        <w:rPr>
          <w:lang w:val="en-GB"/>
        </w:rPr>
        <w:t xml:space="preserve">a range of </w:t>
      </w:r>
      <w:r w:rsidR="0043026C">
        <w:rPr>
          <w:lang w:val="en-GB"/>
        </w:rPr>
        <w:t>subsequent</w:t>
      </w:r>
      <w:r w:rsidR="00B7715E">
        <w:t xml:space="preserve"> </w:t>
      </w:r>
      <w:r w:rsidR="00136078">
        <w:rPr>
          <w:lang w:val="en-GB"/>
        </w:rPr>
        <w:t>treatment</w:t>
      </w:r>
      <w:r w:rsidR="00600A75">
        <w:rPr>
          <w:lang w:val="en-GB"/>
        </w:rPr>
        <w:t>s</w:t>
      </w:r>
      <w:r>
        <w:rPr>
          <w:lang w:val="en-GB"/>
        </w:rPr>
        <w:t xml:space="preserve"> after disease progression</w:t>
      </w:r>
      <w:r w:rsidR="00B7715E">
        <w:t xml:space="preserve">. The committee was aware that some of these treatments, such as daratumumab and lenalidomide, </w:t>
      </w:r>
      <w:r w:rsidR="00600A75">
        <w:rPr>
          <w:lang w:val="en-GB"/>
        </w:rPr>
        <w:t>were</w:t>
      </w:r>
      <w:r w:rsidR="00B7715E">
        <w:t xml:space="preserve"> not available at this p</w:t>
      </w:r>
      <w:r w:rsidR="004B744B">
        <w:rPr>
          <w:lang w:val="en-GB"/>
        </w:rPr>
        <w:t xml:space="preserve">oint in </w:t>
      </w:r>
      <w:r w:rsidR="00B7715E">
        <w:t>the pathway in the NHS</w:t>
      </w:r>
      <w:r w:rsidR="00136078">
        <w:rPr>
          <w:lang w:val="en-GB"/>
        </w:rPr>
        <w:t xml:space="preserve">, and may </w:t>
      </w:r>
      <w:r w:rsidR="003C54DF">
        <w:rPr>
          <w:lang w:val="en-GB"/>
        </w:rPr>
        <w:t>pro</w:t>
      </w:r>
      <w:r w:rsidR="001F1931">
        <w:rPr>
          <w:lang w:val="en-GB"/>
        </w:rPr>
        <w:t>long life</w:t>
      </w:r>
      <w:r w:rsidR="00B7715E">
        <w:t>.</w:t>
      </w:r>
      <w:r w:rsidR="00B7715E">
        <w:rPr>
          <w:lang w:val="en-US"/>
        </w:rPr>
        <w:t xml:space="preserve"> </w:t>
      </w:r>
      <w:r w:rsidR="0034666B">
        <w:t xml:space="preserve">The clinical experts explained that there </w:t>
      </w:r>
      <w:r w:rsidR="00544C42">
        <w:rPr>
          <w:lang w:val="en-US"/>
        </w:rPr>
        <w:t>are</w:t>
      </w:r>
      <w:r w:rsidR="00544C42">
        <w:t xml:space="preserve"> </w:t>
      </w:r>
      <w:r w:rsidR="0034666B">
        <w:t xml:space="preserve">no standard </w:t>
      </w:r>
      <w:r>
        <w:rPr>
          <w:lang w:val="en-GB"/>
        </w:rPr>
        <w:t xml:space="preserve">fifth-line </w:t>
      </w:r>
      <w:r w:rsidR="0034666B">
        <w:t>treatments in current NHS clinical practice</w:t>
      </w:r>
      <w:r w:rsidR="00A033FD">
        <w:rPr>
          <w:lang w:val="en-GB"/>
        </w:rPr>
        <w:t>, and</w:t>
      </w:r>
      <w:r w:rsidR="00AC09E9">
        <w:rPr>
          <w:lang w:val="en-GB"/>
        </w:rPr>
        <w:t xml:space="preserve"> </w:t>
      </w:r>
      <w:r w:rsidR="003878AD">
        <w:rPr>
          <w:lang w:val="en-GB"/>
        </w:rPr>
        <w:t>treatments at this point in the pathway</w:t>
      </w:r>
      <w:r w:rsidR="00A033FD">
        <w:rPr>
          <w:lang w:val="en-GB"/>
        </w:rPr>
        <w:t xml:space="preserve"> </w:t>
      </w:r>
      <w:r w:rsidR="000D644F">
        <w:t>w</w:t>
      </w:r>
      <w:r w:rsidR="00A033FD">
        <w:rPr>
          <w:lang w:val="en-GB"/>
        </w:rPr>
        <w:t>ould</w:t>
      </w:r>
      <w:r w:rsidR="000D644F">
        <w:t xml:space="preserve"> </w:t>
      </w:r>
      <w:r w:rsidR="00A749CB">
        <w:rPr>
          <w:lang w:val="en-GB"/>
        </w:rPr>
        <w:t xml:space="preserve">likely be </w:t>
      </w:r>
      <w:r w:rsidR="00E11211">
        <w:rPr>
          <w:lang w:val="en-GB"/>
        </w:rPr>
        <w:t>in</w:t>
      </w:r>
      <w:r w:rsidR="00A749CB">
        <w:rPr>
          <w:lang w:val="en-GB"/>
        </w:rPr>
        <w:t xml:space="preserve">effective. </w:t>
      </w:r>
      <w:r w:rsidR="00A749CB">
        <w:t>The</w:t>
      </w:r>
      <w:r w:rsidR="0043026C">
        <w:rPr>
          <w:lang w:val="en-GB"/>
        </w:rPr>
        <w:t>y</w:t>
      </w:r>
      <w:r w:rsidR="00A749CB">
        <w:rPr>
          <w:lang w:val="en-GB"/>
        </w:rPr>
        <w:t xml:space="preserve"> </w:t>
      </w:r>
      <w:r w:rsidR="000D644F">
        <w:t xml:space="preserve">therefore </w:t>
      </w:r>
      <w:r w:rsidR="00A749CB">
        <w:rPr>
          <w:lang w:val="en-GB"/>
        </w:rPr>
        <w:t xml:space="preserve">considered that </w:t>
      </w:r>
      <w:r w:rsidR="0043026C">
        <w:rPr>
          <w:lang w:val="en-GB"/>
        </w:rPr>
        <w:t xml:space="preserve">fifth-line </w:t>
      </w:r>
      <w:r w:rsidR="00D256FA">
        <w:rPr>
          <w:lang w:val="en-GB"/>
        </w:rPr>
        <w:t xml:space="preserve">and later </w:t>
      </w:r>
      <w:r w:rsidR="00A749CB">
        <w:rPr>
          <w:lang w:val="en-US"/>
        </w:rPr>
        <w:t xml:space="preserve">treatment in </w:t>
      </w:r>
      <w:r w:rsidR="000D644F">
        <w:t>ICARIA-MM</w:t>
      </w:r>
      <w:r w:rsidR="00A749CB">
        <w:rPr>
          <w:lang w:val="en-GB"/>
        </w:rPr>
        <w:t xml:space="preserve"> w</w:t>
      </w:r>
      <w:r w:rsidR="00855556">
        <w:rPr>
          <w:lang w:val="en-GB"/>
        </w:rPr>
        <w:t>as</w:t>
      </w:r>
      <w:r w:rsidR="00A749CB">
        <w:rPr>
          <w:lang w:val="en-GB"/>
        </w:rPr>
        <w:t xml:space="preserve"> unlikely </w:t>
      </w:r>
      <w:r w:rsidR="00855556">
        <w:rPr>
          <w:lang w:val="en-GB"/>
        </w:rPr>
        <w:t xml:space="preserve">to </w:t>
      </w:r>
      <w:r w:rsidR="00267696">
        <w:rPr>
          <w:lang w:val="en-GB"/>
        </w:rPr>
        <w:t xml:space="preserve">affect </w:t>
      </w:r>
      <w:r w:rsidR="008E76AE">
        <w:rPr>
          <w:lang w:val="en-GB"/>
        </w:rPr>
        <w:t>the</w:t>
      </w:r>
      <w:r w:rsidR="00A749CB">
        <w:rPr>
          <w:lang w:val="en-GB"/>
        </w:rPr>
        <w:t xml:space="preserve"> </w:t>
      </w:r>
      <w:r w:rsidR="003878AD">
        <w:rPr>
          <w:lang w:val="en-GB"/>
        </w:rPr>
        <w:t xml:space="preserve">survival </w:t>
      </w:r>
      <w:r w:rsidR="00A749CB">
        <w:rPr>
          <w:lang w:val="en-GB"/>
        </w:rPr>
        <w:t xml:space="preserve">results </w:t>
      </w:r>
      <w:r w:rsidR="003878AD">
        <w:rPr>
          <w:lang w:val="en-GB"/>
        </w:rPr>
        <w:t xml:space="preserve">in </w:t>
      </w:r>
      <w:r w:rsidR="00A12052">
        <w:rPr>
          <w:lang w:val="en-GB"/>
        </w:rPr>
        <w:t xml:space="preserve">the </w:t>
      </w:r>
      <w:r w:rsidR="003878AD">
        <w:rPr>
          <w:lang w:val="en-GB"/>
        </w:rPr>
        <w:t>ICARIA-MM subgroup.</w:t>
      </w:r>
      <w:r w:rsidR="00855556">
        <w:rPr>
          <w:lang w:val="en-GB"/>
        </w:rPr>
        <w:t xml:space="preserve"> </w:t>
      </w:r>
      <w:r w:rsidR="00B7715E">
        <w:rPr>
          <w:lang w:val="en-US"/>
        </w:rPr>
        <w:t xml:space="preserve">The committee </w:t>
      </w:r>
      <w:proofErr w:type="spellStart"/>
      <w:r w:rsidR="00022A66">
        <w:rPr>
          <w:lang w:val="en-US"/>
        </w:rPr>
        <w:t>recognised</w:t>
      </w:r>
      <w:proofErr w:type="spellEnd"/>
      <w:r w:rsidR="00022A66">
        <w:rPr>
          <w:lang w:val="en-US"/>
        </w:rPr>
        <w:t xml:space="preserve"> </w:t>
      </w:r>
      <w:r w:rsidR="00B7715E">
        <w:rPr>
          <w:lang w:val="en-US"/>
        </w:rPr>
        <w:t>that these treatment options improve clinical outcomes when used at other points in the treatment pathway</w:t>
      </w:r>
      <w:r w:rsidR="00A749CB">
        <w:rPr>
          <w:lang w:val="en-US"/>
        </w:rPr>
        <w:t>, and that it was appropriate to consider this</w:t>
      </w:r>
      <w:r w:rsidR="00B7715E">
        <w:rPr>
          <w:lang w:val="en-US"/>
        </w:rPr>
        <w:t xml:space="preserve">. </w:t>
      </w:r>
      <w:r w:rsidR="00EA04C6">
        <w:rPr>
          <w:lang w:val="en-US"/>
        </w:rPr>
        <w:t>It also</w:t>
      </w:r>
      <w:r w:rsidR="00B7715E">
        <w:t xml:space="preserve"> noted that the proportion of p</w:t>
      </w:r>
      <w:r w:rsidR="00185072">
        <w:rPr>
          <w:lang w:val="en-GB"/>
        </w:rPr>
        <w:t>eople</w:t>
      </w:r>
      <w:r w:rsidR="00B7715E">
        <w:t xml:space="preserve"> </w:t>
      </w:r>
      <w:r w:rsidR="00EA04C6">
        <w:rPr>
          <w:lang w:val="en-GB"/>
        </w:rPr>
        <w:t>ha</w:t>
      </w:r>
      <w:proofErr w:type="spellStart"/>
      <w:r w:rsidR="00B7715E">
        <w:t>ving</w:t>
      </w:r>
      <w:proofErr w:type="spellEnd"/>
      <w:r w:rsidR="00B7715E">
        <w:t xml:space="preserve"> these treatments varied</w:t>
      </w:r>
      <w:r w:rsidR="00EA04C6">
        <w:rPr>
          <w:lang w:val="en-US"/>
        </w:rPr>
        <w:t>,</w:t>
      </w:r>
      <w:r w:rsidR="003950C9">
        <w:rPr>
          <w:lang w:val="en-US"/>
        </w:rPr>
        <w:t xml:space="preserve"> with more people </w:t>
      </w:r>
      <w:r w:rsidR="00EA04C6">
        <w:rPr>
          <w:lang w:val="en-US"/>
        </w:rPr>
        <w:t>ha</w:t>
      </w:r>
      <w:r w:rsidR="003950C9">
        <w:rPr>
          <w:lang w:val="en-US"/>
        </w:rPr>
        <w:t xml:space="preserve">ving daratumumab in the pomalidomide plus dexamethasone arm and more people </w:t>
      </w:r>
      <w:r w:rsidR="00EA04C6">
        <w:rPr>
          <w:lang w:val="en-US"/>
        </w:rPr>
        <w:t>having</w:t>
      </w:r>
      <w:r w:rsidR="003950C9">
        <w:rPr>
          <w:lang w:val="en-US"/>
        </w:rPr>
        <w:t xml:space="preserve"> lenalidomide in the </w:t>
      </w:r>
      <w:proofErr w:type="spellStart"/>
      <w:r w:rsidR="003950C9">
        <w:rPr>
          <w:lang w:val="en-US"/>
        </w:rPr>
        <w:t>isatuximab</w:t>
      </w:r>
      <w:proofErr w:type="spellEnd"/>
      <w:r w:rsidR="003950C9">
        <w:rPr>
          <w:lang w:val="en-US"/>
        </w:rPr>
        <w:t xml:space="preserve"> plus pomalidomide </w:t>
      </w:r>
      <w:r w:rsidR="00EA04C6">
        <w:rPr>
          <w:lang w:val="en-US"/>
        </w:rPr>
        <w:t>and</w:t>
      </w:r>
      <w:r w:rsidR="003950C9">
        <w:rPr>
          <w:lang w:val="en-US"/>
        </w:rPr>
        <w:t xml:space="preserve"> dexamethasone arm</w:t>
      </w:r>
      <w:r w:rsidR="00C55A0D">
        <w:rPr>
          <w:lang w:val="en-US"/>
        </w:rPr>
        <w:t>.</w:t>
      </w:r>
      <w:r w:rsidR="00B7715E">
        <w:rPr>
          <w:lang w:val="en-US"/>
        </w:rPr>
        <w:t xml:space="preserve"> </w:t>
      </w:r>
      <w:r w:rsidR="000D644F">
        <w:rPr>
          <w:lang w:val="en-US"/>
        </w:rPr>
        <w:t>The committee concluded that the subsequent t</w:t>
      </w:r>
      <w:r w:rsidR="0043026C">
        <w:rPr>
          <w:lang w:val="en-US"/>
        </w:rPr>
        <w:t>reatments</w:t>
      </w:r>
      <w:r w:rsidR="000D644F">
        <w:rPr>
          <w:lang w:val="en-US"/>
        </w:rPr>
        <w:t xml:space="preserve"> given in ICARIA-MM </w:t>
      </w:r>
      <w:r w:rsidR="00A749CB">
        <w:rPr>
          <w:lang w:val="en-US"/>
        </w:rPr>
        <w:t xml:space="preserve">did </w:t>
      </w:r>
      <w:r w:rsidR="000D644F">
        <w:rPr>
          <w:lang w:val="en-US"/>
        </w:rPr>
        <w:t>not reflect NHS clinical practice</w:t>
      </w:r>
      <w:r w:rsidR="006E6B9D">
        <w:rPr>
          <w:lang w:val="en-US"/>
        </w:rPr>
        <w:t>,</w:t>
      </w:r>
      <w:r w:rsidR="00EA04C6">
        <w:rPr>
          <w:lang w:val="en-US"/>
        </w:rPr>
        <w:t xml:space="preserve"> which ma</w:t>
      </w:r>
      <w:r w:rsidR="0043026C">
        <w:rPr>
          <w:lang w:val="en-US"/>
        </w:rPr>
        <w:t>de</w:t>
      </w:r>
      <w:r w:rsidR="00A749CB">
        <w:rPr>
          <w:lang w:val="en-US"/>
        </w:rPr>
        <w:t xml:space="preserve"> </w:t>
      </w:r>
      <w:proofErr w:type="spellStart"/>
      <w:r w:rsidR="00A749CB">
        <w:rPr>
          <w:lang w:val="en-US"/>
        </w:rPr>
        <w:t>generali</w:t>
      </w:r>
      <w:r w:rsidR="00EA04C6">
        <w:rPr>
          <w:lang w:val="en-US"/>
        </w:rPr>
        <w:t>s</w:t>
      </w:r>
      <w:r w:rsidR="00A749CB">
        <w:rPr>
          <w:lang w:val="en-US"/>
        </w:rPr>
        <w:t>ing</w:t>
      </w:r>
      <w:proofErr w:type="spellEnd"/>
      <w:r w:rsidR="00A749CB">
        <w:rPr>
          <w:lang w:val="en-US"/>
        </w:rPr>
        <w:t xml:space="preserve"> </w:t>
      </w:r>
      <w:r w:rsidR="000D644F">
        <w:rPr>
          <w:lang w:val="en-US"/>
        </w:rPr>
        <w:t xml:space="preserve">the clinical effectiveness </w:t>
      </w:r>
      <w:r w:rsidR="00EA04C6">
        <w:rPr>
          <w:lang w:val="en-US"/>
        </w:rPr>
        <w:t xml:space="preserve">results </w:t>
      </w:r>
      <w:r w:rsidR="00A749CB">
        <w:rPr>
          <w:lang w:val="en-US"/>
        </w:rPr>
        <w:t>to NHS</w:t>
      </w:r>
      <w:r w:rsidR="00503A13">
        <w:rPr>
          <w:lang w:val="en-US"/>
        </w:rPr>
        <w:t xml:space="preserve"> practice</w:t>
      </w:r>
      <w:r w:rsidR="00A749CB">
        <w:rPr>
          <w:lang w:val="en-US"/>
        </w:rPr>
        <w:t xml:space="preserve"> </w:t>
      </w:r>
      <w:r w:rsidR="000D644F">
        <w:rPr>
          <w:lang w:val="en-US"/>
        </w:rPr>
        <w:t>uncertain.</w:t>
      </w:r>
    </w:p>
    <w:p w14:paraId="41414EC5" w14:textId="06E0A786" w:rsidR="006D073D" w:rsidRPr="00E61514" w:rsidRDefault="006D073D" w:rsidP="00CB196E">
      <w:pPr>
        <w:pStyle w:val="Heading2"/>
      </w:pPr>
      <w:r w:rsidRPr="006D073D">
        <w:lastRenderedPageBreak/>
        <w:t>The company’</w:t>
      </w:r>
      <w:r w:rsidRPr="005A5C7F">
        <w:t>s economic m</w:t>
      </w:r>
      <w:r w:rsidRPr="00C750C1">
        <w:t>odel</w:t>
      </w:r>
    </w:p>
    <w:p w14:paraId="31D9ACE1" w14:textId="41A01E2E" w:rsidR="00E32C5C" w:rsidRDefault="00E32C5C" w:rsidP="00E32C5C">
      <w:pPr>
        <w:pStyle w:val="Heading3"/>
      </w:pPr>
      <w:r>
        <w:t>The company</w:t>
      </w:r>
      <w:r w:rsidR="00A30D38">
        <w:t>’s</w:t>
      </w:r>
      <w:r>
        <w:t xml:space="preserve"> model is appropriate for decision</w:t>
      </w:r>
      <w:r w:rsidR="008B2342">
        <w:t xml:space="preserve"> </w:t>
      </w:r>
      <w:r>
        <w:t>making</w:t>
      </w:r>
    </w:p>
    <w:p w14:paraId="1B24C8D0" w14:textId="7775BF53" w:rsidR="00E32C5C" w:rsidRPr="00E32C5C" w:rsidRDefault="00FB3A28" w:rsidP="00B33576">
      <w:pPr>
        <w:pStyle w:val="Numberedlevel2text"/>
      </w:pPr>
      <w:r>
        <w:t xml:space="preserve">The company </w:t>
      </w:r>
      <w:r w:rsidR="00A80446">
        <w:rPr>
          <w:lang w:val="en-US"/>
        </w:rPr>
        <w:t>chose</w:t>
      </w:r>
      <w:r w:rsidR="00A80446">
        <w:t xml:space="preserve"> </w:t>
      </w:r>
      <w:r>
        <w:t xml:space="preserve">a </w:t>
      </w:r>
      <w:r w:rsidRPr="008C67DB">
        <w:t>partitioned survival model</w:t>
      </w:r>
      <w:r>
        <w:t xml:space="preserve"> to estimate the cost</w:t>
      </w:r>
      <w:r w:rsidR="008B2342">
        <w:rPr>
          <w:lang w:val="en-GB"/>
        </w:rPr>
        <w:t xml:space="preserve"> </w:t>
      </w:r>
      <w:r>
        <w:t>effectiveness of</w:t>
      </w:r>
      <w:r w:rsidR="00530B02">
        <w:t xml:space="preserve"> </w:t>
      </w:r>
      <w:proofErr w:type="spellStart"/>
      <w:r w:rsidR="00530B02">
        <w:t>isatuximab</w:t>
      </w:r>
      <w:proofErr w:type="spellEnd"/>
      <w:r w:rsidR="00530B02">
        <w:t xml:space="preserve"> </w:t>
      </w:r>
      <w:r w:rsidR="00A36A61">
        <w:rPr>
          <w:lang w:val="en-US"/>
        </w:rPr>
        <w:t xml:space="preserve">plus </w:t>
      </w:r>
      <w:r w:rsidR="00530B02">
        <w:t xml:space="preserve">pomalidomide </w:t>
      </w:r>
      <w:r w:rsidR="008B2342">
        <w:rPr>
          <w:lang w:val="en-GB"/>
        </w:rPr>
        <w:t>and</w:t>
      </w:r>
      <w:r w:rsidR="00A36A61">
        <w:rPr>
          <w:lang w:val="en-US"/>
        </w:rPr>
        <w:t xml:space="preserve"> </w:t>
      </w:r>
      <w:r w:rsidR="00530B02">
        <w:t xml:space="preserve">dexamethasone. The model </w:t>
      </w:r>
      <w:r w:rsidR="00940489">
        <w:rPr>
          <w:lang w:val="en-US"/>
        </w:rPr>
        <w:t>include</w:t>
      </w:r>
      <w:r w:rsidR="008B2342">
        <w:rPr>
          <w:lang w:val="en-US"/>
        </w:rPr>
        <w:t>d</w:t>
      </w:r>
      <w:r>
        <w:t xml:space="preserve"> 3</w:t>
      </w:r>
      <w:r w:rsidR="008B2342">
        <w:rPr>
          <w:lang w:val="en-GB"/>
        </w:rPr>
        <w:t> </w:t>
      </w:r>
      <w:r>
        <w:t xml:space="preserve">health </w:t>
      </w:r>
      <w:r w:rsidR="00530B02">
        <w:t>states:</w:t>
      </w:r>
      <w:r>
        <w:t xml:space="preserve"> </w:t>
      </w:r>
      <w:r>
        <w:rPr>
          <w:szCs w:val="22"/>
        </w:rPr>
        <w:t>progression-free, progressed, and dead</w:t>
      </w:r>
      <w:r>
        <w:t xml:space="preserve">. </w:t>
      </w:r>
      <w:r w:rsidR="00530B02">
        <w:t xml:space="preserve">The probability of being in a given health state </w:t>
      </w:r>
      <w:r w:rsidR="008B2342">
        <w:rPr>
          <w:lang w:val="en-GB"/>
        </w:rPr>
        <w:t>wa</w:t>
      </w:r>
      <w:r w:rsidR="00A80446">
        <w:rPr>
          <w:lang w:val="en-GB"/>
        </w:rPr>
        <w:t>s</w:t>
      </w:r>
      <w:r w:rsidR="00A80446">
        <w:t xml:space="preserve"> </w:t>
      </w:r>
      <w:r w:rsidR="00530B02">
        <w:t>defined by the area under the</w:t>
      </w:r>
      <w:r w:rsidR="00A80446">
        <w:rPr>
          <w:lang w:val="en-GB"/>
        </w:rPr>
        <w:t xml:space="preserve"> curves for</w:t>
      </w:r>
      <w:r w:rsidR="00530B02">
        <w:t xml:space="preserve"> progression-free </w:t>
      </w:r>
      <w:r w:rsidR="00A80446">
        <w:rPr>
          <w:lang w:val="en-GB"/>
        </w:rPr>
        <w:t xml:space="preserve">survival </w:t>
      </w:r>
      <w:r w:rsidR="00530B02">
        <w:t>and overall survival</w:t>
      </w:r>
      <w:r w:rsidR="00A80446">
        <w:rPr>
          <w:lang w:val="en-GB"/>
        </w:rPr>
        <w:t xml:space="preserve"> or their difference</w:t>
      </w:r>
      <w:r w:rsidR="00530B02">
        <w:t xml:space="preserve">. </w:t>
      </w:r>
      <w:r w:rsidR="00B37C95">
        <w:t>The model cycle length was 1</w:t>
      </w:r>
      <w:r w:rsidR="008B2342">
        <w:rPr>
          <w:lang w:val="en-GB"/>
        </w:rPr>
        <w:t> </w:t>
      </w:r>
      <w:r w:rsidR="00B37C95">
        <w:t xml:space="preserve">week </w:t>
      </w:r>
      <w:r w:rsidR="00940489">
        <w:rPr>
          <w:lang w:val="en-US"/>
        </w:rPr>
        <w:t>and the</w:t>
      </w:r>
      <w:r w:rsidR="00B37C95">
        <w:t xml:space="preserve"> time horizon </w:t>
      </w:r>
      <w:r w:rsidR="00940489">
        <w:rPr>
          <w:lang w:val="en-US"/>
        </w:rPr>
        <w:t>was</w:t>
      </w:r>
      <w:r w:rsidR="00B37C95">
        <w:t xml:space="preserve"> 20</w:t>
      </w:r>
      <w:r w:rsidR="008B2342">
        <w:rPr>
          <w:lang w:val="en-GB"/>
        </w:rPr>
        <w:t> </w:t>
      </w:r>
      <w:r w:rsidR="00B37C95">
        <w:t xml:space="preserve">years. </w:t>
      </w:r>
      <w:r w:rsidR="00530B02">
        <w:t xml:space="preserve">The committee considered the company’s model </w:t>
      </w:r>
      <w:r w:rsidR="00A30D38">
        <w:rPr>
          <w:lang w:val="en-US"/>
        </w:rPr>
        <w:t>to be</w:t>
      </w:r>
      <w:r w:rsidR="00A30D38">
        <w:t xml:space="preserve"> </w:t>
      </w:r>
      <w:r w:rsidR="00530B02">
        <w:t>appropriate for decision</w:t>
      </w:r>
      <w:r w:rsidR="008B2342">
        <w:rPr>
          <w:lang w:val="en-GB"/>
        </w:rPr>
        <w:t xml:space="preserve"> </w:t>
      </w:r>
      <w:r w:rsidR="00530B02">
        <w:t>making.</w:t>
      </w:r>
    </w:p>
    <w:p w14:paraId="44D2F546" w14:textId="2F8086BB" w:rsidR="000E1EE6" w:rsidRDefault="000B697A" w:rsidP="000E1EE6">
      <w:pPr>
        <w:pStyle w:val="Heading3"/>
      </w:pPr>
      <w:r>
        <w:t>The</w:t>
      </w:r>
      <w:r w:rsidR="00F21A4A">
        <w:t xml:space="preserve"> clinical </w:t>
      </w:r>
      <w:r>
        <w:t xml:space="preserve">data are </w:t>
      </w:r>
      <w:proofErr w:type="gramStart"/>
      <w:r>
        <w:t>immature</w:t>
      </w:r>
      <w:proofErr w:type="gramEnd"/>
      <w:r>
        <w:t xml:space="preserve"> </w:t>
      </w:r>
      <w:r w:rsidR="00826BF1">
        <w:t>but</w:t>
      </w:r>
      <w:r w:rsidR="001B13FF">
        <w:t xml:space="preserve"> the Weibull </w:t>
      </w:r>
      <w:r w:rsidR="00AE0D1D">
        <w:t>distribution gives the</w:t>
      </w:r>
      <w:r w:rsidR="001B13FF">
        <w:t xml:space="preserve"> most plausible overall survival</w:t>
      </w:r>
      <w:r>
        <w:t xml:space="preserve"> estimates</w:t>
      </w:r>
    </w:p>
    <w:p w14:paraId="4B81B199" w14:textId="52C766F5" w:rsidR="00904264" w:rsidRDefault="00147AFC" w:rsidP="00904264">
      <w:pPr>
        <w:pStyle w:val="Numberedlevel2text"/>
      </w:pPr>
      <w:r>
        <w:rPr>
          <w:lang w:val="en-GB"/>
        </w:rPr>
        <w:t>Follow up</w:t>
      </w:r>
      <w:r w:rsidR="00D256FA">
        <w:rPr>
          <w:lang w:val="en-GB"/>
        </w:rPr>
        <w:t xml:space="preserve"> for t</w:t>
      </w:r>
      <w:r w:rsidR="006639AC">
        <w:rPr>
          <w:lang w:val="en-GB"/>
        </w:rPr>
        <w:t>he</w:t>
      </w:r>
      <w:r>
        <w:rPr>
          <w:lang w:val="en-GB"/>
        </w:rPr>
        <w:t xml:space="preserve"> interim data from</w:t>
      </w:r>
      <w:r w:rsidR="006639AC">
        <w:rPr>
          <w:lang w:val="en-GB"/>
        </w:rPr>
        <w:t xml:space="preserve"> </w:t>
      </w:r>
      <w:r w:rsidR="00727D41">
        <w:rPr>
          <w:lang w:val="en-US"/>
        </w:rPr>
        <w:t>ICARIA-MM</w:t>
      </w:r>
      <w:r w:rsidR="006639AC">
        <w:rPr>
          <w:lang w:val="en-US"/>
        </w:rPr>
        <w:t xml:space="preserve"> </w:t>
      </w:r>
      <w:r w:rsidR="00727D41">
        <w:rPr>
          <w:lang w:val="en-GB"/>
        </w:rPr>
        <w:t xml:space="preserve">was short in relation to </w:t>
      </w:r>
      <w:r w:rsidR="00860115">
        <w:rPr>
          <w:lang w:val="en-GB"/>
        </w:rPr>
        <w:t xml:space="preserve">the </w:t>
      </w:r>
      <w:r w:rsidR="00727D41">
        <w:rPr>
          <w:lang w:val="en-GB"/>
        </w:rPr>
        <w:t>model</w:t>
      </w:r>
      <w:r w:rsidR="00860115">
        <w:rPr>
          <w:lang w:val="en-GB"/>
        </w:rPr>
        <w:t xml:space="preserve">led </w:t>
      </w:r>
      <w:r w:rsidR="006639AC">
        <w:rPr>
          <w:lang w:val="en-GB"/>
        </w:rPr>
        <w:t xml:space="preserve">time </w:t>
      </w:r>
      <w:r w:rsidR="00727D41">
        <w:rPr>
          <w:lang w:val="en-GB"/>
        </w:rPr>
        <w:t>horizon</w:t>
      </w:r>
      <w:r w:rsidR="006639AC">
        <w:rPr>
          <w:lang w:val="en-GB"/>
        </w:rPr>
        <w:t>.</w:t>
      </w:r>
      <w:r w:rsidR="00727D41">
        <w:rPr>
          <w:lang w:val="en-GB"/>
        </w:rPr>
        <w:t xml:space="preserve"> </w:t>
      </w:r>
      <w:proofErr w:type="gramStart"/>
      <w:r w:rsidR="006639AC">
        <w:rPr>
          <w:lang w:val="en-GB"/>
        </w:rPr>
        <w:t>So</w:t>
      </w:r>
      <w:proofErr w:type="gramEnd"/>
      <w:r w:rsidR="006639AC">
        <w:rPr>
          <w:lang w:val="en-GB"/>
        </w:rPr>
        <w:t xml:space="preserve"> </w:t>
      </w:r>
      <w:proofErr w:type="spellStart"/>
      <w:r w:rsidR="00727D41">
        <w:rPr>
          <w:lang w:val="en-GB"/>
        </w:rPr>
        <w:t>t</w:t>
      </w:r>
      <w:r w:rsidR="001713DB">
        <w:t>he</w:t>
      </w:r>
      <w:proofErr w:type="spellEnd"/>
      <w:r w:rsidR="001713DB">
        <w:t xml:space="preserve"> company </w:t>
      </w:r>
      <w:r w:rsidR="00434FB3">
        <w:rPr>
          <w:lang w:val="en-US"/>
        </w:rPr>
        <w:t xml:space="preserve">extrapolated the </w:t>
      </w:r>
      <w:r w:rsidR="00CE2B71">
        <w:rPr>
          <w:lang w:val="en-US"/>
        </w:rPr>
        <w:t>ICARIA-MM</w:t>
      </w:r>
      <w:r w:rsidR="00727D41">
        <w:rPr>
          <w:lang w:val="en-US"/>
        </w:rPr>
        <w:t xml:space="preserve"> </w:t>
      </w:r>
      <w:r w:rsidR="00434FB3">
        <w:rPr>
          <w:lang w:val="en-US"/>
        </w:rPr>
        <w:t xml:space="preserve">overall survival </w:t>
      </w:r>
      <w:r>
        <w:rPr>
          <w:lang w:val="en-US"/>
        </w:rPr>
        <w:t xml:space="preserve">data </w:t>
      </w:r>
      <w:r w:rsidR="00CE2B71">
        <w:rPr>
          <w:lang w:val="en-US"/>
        </w:rPr>
        <w:t>for the subgroup</w:t>
      </w:r>
      <w:r w:rsidR="0048141F">
        <w:rPr>
          <w:lang w:val="en-US"/>
        </w:rPr>
        <w:t xml:space="preserve"> who had had 3 previous treatments</w:t>
      </w:r>
      <w:r w:rsidR="00634380">
        <w:rPr>
          <w:lang w:val="en-US"/>
        </w:rPr>
        <w:t>,</w:t>
      </w:r>
      <w:r w:rsidR="00434FB3">
        <w:rPr>
          <w:lang w:val="en-US"/>
        </w:rPr>
        <w:t xml:space="preserve"> </w:t>
      </w:r>
      <w:r w:rsidR="00727D41">
        <w:rPr>
          <w:lang w:val="en-US"/>
        </w:rPr>
        <w:t xml:space="preserve">choosing </w:t>
      </w:r>
      <w:r w:rsidR="00434FB3">
        <w:rPr>
          <w:lang w:val="en-US"/>
        </w:rPr>
        <w:t>an</w:t>
      </w:r>
      <w:r w:rsidR="00CE2B71">
        <w:rPr>
          <w:lang w:val="en-US"/>
        </w:rPr>
        <w:t xml:space="preserve"> </w:t>
      </w:r>
      <w:r w:rsidR="001713DB">
        <w:t xml:space="preserve">exponential </w:t>
      </w:r>
      <w:r w:rsidR="00434FB3">
        <w:rPr>
          <w:lang w:val="en-US"/>
        </w:rPr>
        <w:t>distribution</w:t>
      </w:r>
      <w:r w:rsidR="009E5570">
        <w:t xml:space="preserve"> in its base case</w:t>
      </w:r>
      <w:r w:rsidR="001713DB">
        <w:t>.</w:t>
      </w:r>
      <w:r w:rsidR="00173A01">
        <w:rPr>
          <w:lang w:val="en-US"/>
        </w:rPr>
        <w:t xml:space="preserve"> The committee understood that the distribution chosen to estimate overall survival </w:t>
      </w:r>
      <w:r w:rsidR="000C31F4">
        <w:rPr>
          <w:lang w:val="en-US"/>
        </w:rPr>
        <w:t>affects</w:t>
      </w:r>
      <w:r w:rsidR="00173A01">
        <w:rPr>
          <w:lang w:val="en-US"/>
        </w:rPr>
        <w:t xml:space="preserve"> the</w:t>
      </w:r>
      <w:r w:rsidR="006F5BFC">
        <w:rPr>
          <w:lang w:val="en-US"/>
        </w:rPr>
        <w:t xml:space="preserve"> </w:t>
      </w:r>
      <w:r w:rsidR="00732A99">
        <w:rPr>
          <w:lang w:val="en-US"/>
        </w:rPr>
        <w:t>incremental cost-effectiveness ratio (</w:t>
      </w:r>
      <w:r w:rsidR="00173A01">
        <w:rPr>
          <w:lang w:val="en-US"/>
        </w:rPr>
        <w:t>ICER</w:t>
      </w:r>
      <w:r w:rsidR="00732A99">
        <w:rPr>
          <w:lang w:val="en-US"/>
        </w:rPr>
        <w:t>)</w:t>
      </w:r>
      <w:r w:rsidR="006F5BFC">
        <w:rPr>
          <w:lang w:val="en-US"/>
        </w:rPr>
        <w:t>.</w:t>
      </w:r>
      <w:r w:rsidR="00173A01">
        <w:rPr>
          <w:lang w:val="en-US"/>
        </w:rPr>
        <w:t xml:space="preserve"> </w:t>
      </w:r>
      <w:r w:rsidR="001713DB">
        <w:t>The ERG noted that the expon</w:t>
      </w:r>
      <w:r w:rsidR="0017716B">
        <w:t xml:space="preserve">ential </w:t>
      </w:r>
      <w:r w:rsidR="00434FB3">
        <w:rPr>
          <w:lang w:val="en-US"/>
        </w:rPr>
        <w:t>distribution</w:t>
      </w:r>
      <w:r w:rsidR="00434FB3">
        <w:t xml:space="preserve"> </w:t>
      </w:r>
      <w:r w:rsidR="0017716B">
        <w:t xml:space="preserve">provided the best </w:t>
      </w:r>
      <w:r w:rsidR="00E23234">
        <w:rPr>
          <w:lang w:val="en-GB"/>
        </w:rPr>
        <w:t xml:space="preserve">statistical </w:t>
      </w:r>
      <w:r w:rsidR="0017716B">
        <w:t xml:space="preserve">fit to the trial data, </w:t>
      </w:r>
      <w:r w:rsidR="00727D41">
        <w:rPr>
          <w:lang w:val="en-GB"/>
        </w:rPr>
        <w:t>but</w:t>
      </w:r>
      <w:r w:rsidR="00D122CA">
        <w:t xml:space="preserve"> </w:t>
      </w:r>
      <w:r w:rsidR="0017716B">
        <w:t xml:space="preserve">other </w:t>
      </w:r>
      <w:r w:rsidR="00F33873">
        <w:rPr>
          <w:lang w:val="en-GB"/>
        </w:rPr>
        <w:t>distributions</w:t>
      </w:r>
      <w:r w:rsidR="0017716B">
        <w:t xml:space="preserve"> </w:t>
      </w:r>
      <w:r w:rsidR="00434FB3">
        <w:rPr>
          <w:lang w:val="en-US"/>
        </w:rPr>
        <w:t xml:space="preserve">had </w:t>
      </w:r>
      <w:r w:rsidR="0017716B">
        <w:t xml:space="preserve">similar </w:t>
      </w:r>
      <w:r w:rsidR="000C7FC6">
        <w:rPr>
          <w:lang w:val="en-US"/>
        </w:rPr>
        <w:t xml:space="preserve">statistical </w:t>
      </w:r>
      <w:r w:rsidR="0017716B">
        <w:t>fit</w:t>
      </w:r>
      <w:r w:rsidR="00727D41">
        <w:rPr>
          <w:lang w:val="en-GB"/>
        </w:rPr>
        <w:t>s</w:t>
      </w:r>
      <w:r w:rsidR="0017716B">
        <w:t>.</w:t>
      </w:r>
      <w:r w:rsidR="009445F6">
        <w:t xml:space="preserve"> The committee </w:t>
      </w:r>
      <w:r w:rsidR="00634380">
        <w:rPr>
          <w:lang w:val="en-GB"/>
        </w:rPr>
        <w:t>noted</w:t>
      </w:r>
      <w:r w:rsidR="00727D41">
        <w:t xml:space="preserve"> </w:t>
      </w:r>
      <w:r w:rsidR="009445F6">
        <w:t xml:space="preserve">that </w:t>
      </w:r>
      <w:r w:rsidR="00634380">
        <w:rPr>
          <w:lang w:val="en-GB"/>
        </w:rPr>
        <w:t>because</w:t>
      </w:r>
      <w:r w:rsidR="00434FB3">
        <w:rPr>
          <w:lang w:val="en-US"/>
        </w:rPr>
        <w:t xml:space="preserve"> there w</w:t>
      </w:r>
      <w:r w:rsidR="00727D41">
        <w:rPr>
          <w:lang w:val="en-US"/>
        </w:rPr>
        <w:t>ere</w:t>
      </w:r>
      <w:r w:rsidR="00434FB3">
        <w:rPr>
          <w:lang w:val="en-US"/>
        </w:rPr>
        <w:t xml:space="preserve"> limited </w:t>
      </w:r>
      <w:r w:rsidR="00F33873">
        <w:rPr>
          <w:lang w:val="en-US"/>
        </w:rPr>
        <w:t xml:space="preserve">trial </w:t>
      </w:r>
      <w:r w:rsidR="00434FB3">
        <w:rPr>
          <w:lang w:val="en-US"/>
        </w:rPr>
        <w:t>data,</w:t>
      </w:r>
      <w:r w:rsidR="009445F6">
        <w:t xml:space="preserve"> </w:t>
      </w:r>
      <w:r w:rsidR="00C67ED3">
        <w:rPr>
          <w:lang w:val="en-US"/>
        </w:rPr>
        <w:t xml:space="preserve">the statistical fit of </w:t>
      </w:r>
      <w:r w:rsidR="00727D41">
        <w:rPr>
          <w:lang w:val="en-GB"/>
        </w:rPr>
        <w:t xml:space="preserve">a curve </w:t>
      </w:r>
      <w:r w:rsidR="00C67ED3">
        <w:rPr>
          <w:lang w:val="en-US"/>
        </w:rPr>
        <w:t xml:space="preserve">is of limited importance </w:t>
      </w:r>
      <w:r w:rsidR="006179F5">
        <w:rPr>
          <w:lang w:val="en-US"/>
        </w:rPr>
        <w:t>when</w:t>
      </w:r>
      <w:r w:rsidR="009445F6">
        <w:t xml:space="preserve"> </w:t>
      </w:r>
      <w:r w:rsidR="006179F5">
        <w:rPr>
          <w:lang w:val="en-US"/>
        </w:rPr>
        <w:t>selecting</w:t>
      </w:r>
      <w:r w:rsidR="006179F5">
        <w:t xml:space="preserve"> </w:t>
      </w:r>
      <w:r w:rsidR="009445F6">
        <w:t>the most appropriate</w:t>
      </w:r>
      <w:r w:rsidR="00634380">
        <w:rPr>
          <w:lang w:val="en-GB"/>
        </w:rPr>
        <w:t xml:space="preserve"> </w:t>
      </w:r>
      <w:r w:rsidR="00F33873">
        <w:rPr>
          <w:lang w:val="en-GB"/>
        </w:rPr>
        <w:t>distribution</w:t>
      </w:r>
      <w:r w:rsidR="009445F6">
        <w:t>.</w:t>
      </w:r>
      <w:r w:rsidR="0017716B">
        <w:t xml:space="preserve"> </w:t>
      </w:r>
      <w:r w:rsidR="00BA14EC">
        <w:rPr>
          <w:lang w:val="en-GB"/>
        </w:rPr>
        <w:t>It</w:t>
      </w:r>
      <w:r w:rsidR="00D122CA">
        <w:t xml:space="preserve"> </w:t>
      </w:r>
      <w:r w:rsidR="00727D41">
        <w:rPr>
          <w:lang w:val="en-GB"/>
        </w:rPr>
        <w:t xml:space="preserve">heard </w:t>
      </w:r>
      <w:r w:rsidR="00D122CA">
        <w:t xml:space="preserve">that </w:t>
      </w:r>
      <w:r w:rsidR="00634380">
        <w:rPr>
          <w:lang w:val="en-GB"/>
        </w:rPr>
        <w:t>2</w:t>
      </w:r>
      <w:r w:rsidR="000A4B43">
        <w:t xml:space="preserve"> of the </w:t>
      </w:r>
      <w:r w:rsidR="00634380">
        <w:rPr>
          <w:lang w:val="en-GB"/>
        </w:rPr>
        <w:t>3</w:t>
      </w:r>
      <w:r w:rsidR="00114003">
        <w:t xml:space="preserve"> clinical</w:t>
      </w:r>
      <w:r w:rsidR="000A4B43">
        <w:t xml:space="preserve"> advis</w:t>
      </w:r>
      <w:r w:rsidR="00634380">
        <w:rPr>
          <w:lang w:val="en-GB"/>
        </w:rPr>
        <w:t>e</w:t>
      </w:r>
      <w:proofErr w:type="spellStart"/>
      <w:r w:rsidR="000A4B43">
        <w:t>rs</w:t>
      </w:r>
      <w:proofErr w:type="spellEnd"/>
      <w:r w:rsidR="000A4B43">
        <w:t xml:space="preserve"> to the company</w:t>
      </w:r>
      <w:r w:rsidR="00114003">
        <w:t xml:space="preserve"> support</w:t>
      </w:r>
      <w:r w:rsidR="000A4B43">
        <w:t>ed us</w:t>
      </w:r>
      <w:r w:rsidR="00860115">
        <w:rPr>
          <w:lang w:val="en-GB"/>
        </w:rPr>
        <w:t>ing</w:t>
      </w:r>
      <w:r w:rsidR="00114003">
        <w:t xml:space="preserve"> </w:t>
      </w:r>
      <w:r w:rsidR="000A4B43">
        <w:t>the</w:t>
      </w:r>
      <w:r w:rsidR="00114003">
        <w:t xml:space="preserve"> Weibull</w:t>
      </w:r>
      <w:r w:rsidR="000A4B43">
        <w:t>, wh</w:t>
      </w:r>
      <w:r w:rsidR="00634380">
        <w:rPr>
          <w:lang w:val="en-GB"/>
        </w:rPr>
        <w:t>ereas</w:t>
      </w:r>
      <w:r w:rsidR="000A4B43">
        <w:t xml:space="preserve"> </w:t>
      </w:r>
      <w:r w:rsidR="00634380">
        <w:rPr>
          <w:lang w:val="en-GB"/>
        </w:rPr>
        <w:t>the other</w:t>
      </w:r>
      <w:r w:rsidR="000A4B43">
        <w:t xml:space="preserve"> preferred the exponential</w:t>
      </w:r>
      <w:r w:rsidR="00F33873">
        <w:rPr>
          <w:lang w:val="en-GB"/>
        </w:rPr>
        <w:t xml:space="preserve"> distribution</w:t>
      </w:r>
      <w:r w:rsidR="00042E55">
        <w:t xml:space="preserve">. The clinical experts </w:t>
      </w:r>
      <w:r w:rsidR="000A4B43">
        <w:t xml:space="preserve">at the meeting </w:t>
      </w:r>
      <w:r w:rsidR="00042E55">
        <w:t xml:space="preserve">also stated that the Weibull </w:t>
      </w:r>
      <w:r w:rsidR="0021664C">
        <w:rPr>
          <w:lang w:val="en-US"/>
        </w:rPr>
        <w:t xml:space="preserve">distribution </w:t>
      </w:r>
      <w:r w:rsidR="00042E55">
        <w:t>produced the most plausible</w:t>
      </w:r>
      <w:r w:rsidR="00434FB3">
        <w:rPr>
          <w:lang w:val="en-US"/>
        </w:rPr>
        <w:t xml:space="preserve"> long-term</w:t>
      </w:r>
      <w:r w:rsidR="00042E55">
        <w:t xml:space="preserve"> overall survival </w:t>
      </w:r>
      <w:r w:rsidR="00434FB3">
        <w:rPr>
          <w:lang w:val="en-US"/>
        </w:rPr>
        <w:t>estimates</w:t>
      </w:r>
      <w:r w:rsidR="00042E55">
        <w:t>.</w:t>
      </w:r>
      <w:r w:rsidR="00A52B85">
        <w:t xml:space="preserve"> </w:t>
      </w:r>
      <w:r w:rsidR="009A3BAD">
        <w:t xml:space="preserve">The company </w:t>
      </w:r>
      <w:r w:rsidR="009E5570">
        <w:t xml:space="preserve">used a jointly fitted lognormal </w:t>
      </w:r>
      <w:r w:rsidR="00F33873">
        <w:rPr>
          <w:lang w:val="en-GB"/>
        </w:rPr>
        <w:t>distribution</w:t>
      </w:r>
      <w:r w:rsidR="00F33873">
        <w:t xml:space="preserve"> </w:t>
      </w:r>
      <w:r w:rsidR="009E5570">
        <w:t>to estimate progression-free survival in its base case</w:t>
      </w:r>
      <w:r w:rsidR="00860115">
        <w:rPr>
          <w:lang w:val="en-GB"/>
        </w:rPr>
        <w:t xml:space="preserve">, that is, </w:t>
      </w:r>
      <w:r w:rsidR="000C31F4">
        <w:rPr>
          <w:lang w:val="en-GB"/>
        </w:rPr>
        <w:t>it</w:t>
      </w:r>
      <w:r w:rsidR="00860115">
        <w:rPr>
          <w:lang w:val="en-GB"/>
        </w:rPr>
        <w:t xml:space="preserve"> fit</w:t>
      </w:r>
      <w:r w:rsidR="00634380">
        <w:rPr>
          <w:lang w:val="en-GB"/>
        </w:rPr>
        <w:t>ted</w:t>
      </w:r>
      <w:r w:rsidR="00860115">
        <w:rPr>
          <w:lang w:val="en-GB"/>
        </w:rPr>
        <w:t xml:space="preserve"> a curve to</w:t>
      </w:r>
      <w:r w:rsidR="00F16905">
        <w:rPr>
          <w:lang w:val="en-GB"/>
        </w:rPr>
        <w:t xml:space="preserve"> data for both</w:t>
      </w:r>
      <w:r w:rsidR="00860115">
        <w:rPr>
          <w:lang w:val="en-GB"/>
        </w:rPr>
        <w:t xml:space="preserve"> treatment</w:t>
      </w:r>
      <w:r w:rsidR="00F16905">
        <w:rPr>
          <w:lang w:val="en-GB"/>
        </w:rPr>
        <w:t xml:space="preserve"> arms</w:t>
      </w:r>
      <w:r w:rsidR="00860115">
        <w:rPr>
          <w:lang w:val="en-GB"/>
        </w:rPr>
        <w:t xml:space="preserve"> and </w:t>
      </w:r>
      <w:r w:rsidR="00F16905">
        <w:rPr>
          <w:lang w:val="en-GB"/>
        </w:rPr>
        <w:t>included treatment group as a covariate</w:t>
      </w:r>
      <w:r w:rsidR="000C31F4">
        <w:rPr>
          <w:lang w:val="en-GB"/>
        </w:rPr>
        <w:t>,</w:t>
      </w:r>
      <w:r w:rsidR="00F16905">
        <w:rPr>
          <w:lang w:val="en-GB"/>
        </w:rPr>
        <w:t xml:space="preserve"> implying a constant treatment effect over time.</w:t>
      </w:r>
      <w:r w:rsidR="00F16905">
        <w:rPr>
          <w:lang w:val="en-US"/>
        </w:rPr>
        <w:t xml:space="preserve"> </w:t>
      </w:r>
      <w:r w:rsidR="009E5570">
        <w:t xml:space="preserve">The committee </w:t>
      </w:r>
      <w:r w:rsidR="0035689F">
        <w:rPr>
          <w:lang w:val="en-GB"/>
        </w:rPr>
        <w:t>was</w:t>
      </w:r>
      <w:r w:rsidR="0035689F">
        <w:t xml:space="preserve"> </w:t>
      </w:r>
      <w:r w:rsidR="009E5570">
        <w:t xml:space="preserve">aware that </w:t>
      </w:r>
      <w:r w:rsidR="00043E1F">
        <w:rPr>
          <w:lang w:val="en-GB"/>
        </w:rPr>
        <w:t xml:space="preserve">both </w:t>
      </w:r>
      <w:r w:rsidR="00043E1F">
        <w:t xml:space="preserve">the ERG and </w:t>
      </w:r>
      <w:r w:rsidR="00634380">
        <w:rPr>
          <w:lang w:val="en-GB"/>
        </w:rPr>
        <w:t xml:space="preserve">the </w:t>
      </w:r>
      <w:r w:rsidR="00043E1F">
        <w:t xml:space="preserve">company </w:t>
      </w:r>
      <w:r w:rsidR="00043E1F">
        <w:rPr>
          <w:lang w:val="en-GB"/>
        </w:rPr>
        <w:t xml:space="preserve">used </w:t>
      </w:r>
      <w:r w:rsidR="009E5570">
        <w:t xml:space="preserve">other </w:t>
      </w:r>
      <w:r w:rsidR="00F33873">
        <w:rPr>
          <w:lang w:val="en-GB"/>
        </w:rPr>
        <w:t>distribution</w:t>
      </w:r>
      <w:r w:rsidR="00F33873">
        <w:t xml:space="preserve">s </w:t>
      </w:r>
      <w:r w:rsidR="009E5570">
        <w:t xml:space="preserve">in sensitivity </w:t>
      </w:r>
      <w:r w:rsidR="009E5570">
        <w:lastRenderedPageBreak/>
        <w:t>analyses</w:t>
      </w:r>
      <w:r w:rsidR="00520088">
        <w:rPr>
          <w:lang w:val="en-US"/>
        </w:rPr>
        <w:t xml:space="preserve"> to estimate progression-free survival</w:t>
      </w:r>
      <w:r w:rsidR="009E5570">
        <w:t xml:space="preserve">, but that this had little </w:t>
      </w:r>
      <w:r w:rsidR="00F33873">
        <w:rPr>
          <w:lang w:val="en-GB"/>
        </w:rPr>
        <w:t>effect</w:t>
      </w:r>
      <w:r w:rsidR="0021664C">
        <w:rPr>
          <w:lang w:val="en-US"/>
        </w:rPr>
        <w:t xml:space="preserve"> </w:t>
      </w:r>
      <w:r w:rsidR="009E5570">
        <w:t xml:space="preserve">on the </w:t>
      </w:r>
      <w:r w:rsidR="00441A0E">
        <w:rPr>
          <w:lang w:val="en-GB"/>
        </w:rPr>
        <w:t xml:space="preserve">economic </w:t>
      </w:r>
      <w:r w:rsidR="0021664C">
        <w:rPr>
          <w:lang w:val="en-US"/>
        </w:rPr>
        <w:t>model results</w:t>
      </w:r>
      <w:r w:rsidR="009E5570">
        <w:t xml:space="preserve">. </w:t>
      </w:r>
      <w:r w:rsidR="00042E55">
        <w:t xml:space="preserve">The committee concluded that </w:t>
      </w:r>
      <w:r w:rsidR="00F21A4A">
        <w:t xml:space="preserve">the </w:t>
      </w:r>
      <w:r w:rsidR="00F33873">
        <w:rPr>
          <w:lang w:val="en-GB"/>
        </w:rPr>
        <w:t xml:space="preserve">clinical </w:t>
      </w:r>
      <w:r w:rsidR="00F21A4A">
        <w:t>data w</w:t>
      </w:r>
      <w:r w:rsidR="00934FF1">
        <w:t>ere immature</w:t>
      </w:r>
      <w:r w:rsidR="004E69CD">
        <w:rPr>
          <w:lang w:val="en-GB"/>
        </w:rPr>
        <w:t>,</w:t>
      </w:r>
      <w:r w:rsidR="00934FF1">
        <w:t xml:space="preserve"> but</w:t>
      </w:r>
      <w:r w:rsidR="004E69CD">
        <w:rPr>
          <w:lang w:val="en-GB"/>
        </w:rPr>
        <w:t xml:space="preserve"> </w:t>
      </w:r>
      <w:r w:rsidR="00042E55">
        <w:t>the Weibull extrapolation</w:t>
      </w:r>
      <w:r w:rsidR="00C57D45">
        <w:rPr>
          <w:lang w:val="en-US"/>
        </w:rPr>
        <w:t xml:space="preserve"> gave </w:t>
      </w:r>
      <w:r w:rsidR="00042E55">
        <w:t xml:space="preserve">the most plausible </w:t>
      </w:r>
      <w:r w:rsidR="008D7D34">
        <w:rPr>
          <w:lang w:val="en-GB"/>
        </w:rPr>
        <w:t xml:space="preserve">overall survival </w:t>
      </w:r>
      <w:r w:rsidR="00917F2C">
        <w:rPr>
          <w:lang w:val="en-GB"/>
        </w:rPr>
        <w:t>estimates</w:t>
      </w:r>
      <w:r w:rsidR="00DF7C01">
        <w:t>.</w:t>
      </w:r>
    </w:p>
    <w:p w14:paraId="7BF01979" w14:textId="020A5E82" w:rsidR="00A5378B" w:rsidRDefault="000033A5" w:rsidP="00A5378B">
      <w:pPr>
        <w:pStyle w:val="Heading3"/>
      </w:pPr>
      <w:r>
        <w:t>A</w:t>
      </w:r>
      <w:r w:rsidR="00A5378B">
        <w:t>djust</w:t>
      </w:r>
      <w:r>
        <w:t>ing</w:t>
      </w:r>
      <w:r w:rsidR="00A5378B">
        <w:t xml:space="preserve"> trial data for subsequent treatments not available in clinical practice </w:t>
      </w:r>
      <w:r>
        <w:t>is appropriate but more information is needed</w:t>
      </w:r>
    </w:p>
    <w:p w14:paraId="56210F79" w14:textId="59F0D718" w:rsidR="00C92BC1" w:rsidRPr="00CB1C5F" w:rsidRDefault="005A5DAF" w:rsidP="005A5DAF">
      <w:pPr>
        <w:pStyle w:val="Numberedlevel2text"/>
      </w:pPr>
      <w:r>
        <w:rPr>
          <w:lang w:val="en-US"/>
        </w:rPr>
        <w:t>The committee w</w:t>
      </w:r>
      <w:r w:rsidR="006B46D0">
        <w:rPr>
          <w:lang w:val="en-US"/>
        </w:rPr>
        <w:t>as</w:t>
      </w:r>
      <w:r>
        <w:rPr>
          <w:lang w:val="en-US"/>
        </w:rPr>
        <w:t xml:space="preserve"> aware that the </w:t>
      </w:r>
      <w:r w:rsidR="001F1931">
        <w:rPr>
          <w:lang w:val="en-US"/>
        </w:rPr>
        <w:t xml:space="preserve">fifth-line or later </w:t>
      </w:r>
      <w:r>
        <w:rPr>
          <w:lang w:val="en-US"/>
        </w:rPr>
        <w:t>treatments give</w:t>
      </w:r>
      <w:r w:rsidR="008D5467">
        <w:rPr>
          <w:lang w:val="en-US"/>
        </w:rPr>
        <w:t>n</w:t>
      </w:r>
      <w:r>
        <w:rPr>
          <w:lang w:val="en-US"/>
        </w:rPr>
        <w:t xml:space="preserve"> in ICARIA-MM included t</w:t>
      </w:r>
      <w:r w:rsidR="0061520F">
        <w:rPr>
          <w:lang w:val="en-US"/>
        </w:rPr>
        <w:t>reatment</w:t>
      </w:r>
      <w:r>
        <w:rPr>
          <w:lang w:val="en-US"/>
        </w:rPr>
        <w:t xml:space="preserve">s that would not be available in </w:t>
      </w:r>
      <w:r w:rsidR="000B27C6">
        <w:rPr>
          <w:lang w:val="en-US"/>
        </w:rPr>
        <w:t xml:space="preserve">NHS </w:t>
      </w:r>
      <w:r>
        <w:rPr>
          <w:lang w:val="en-US"/>
        </w:rPr>
        <w:t>clinical practic</w:t>
      </w:r>
      <w:r w:rsidR="00322982">
        <w:rPr>
          <w:lang w:val="en-US"/>
        </w:rPr>
        <w:t xml:space="preserve">e </w:t>
      </w:r>
      <w:r w:rsidR="001F1931">
        <w:rPr>
          <w:lang w:val="en-US"/>
        </w:rPr>
        <w:t>and</w:t>
      </w:r>
      <w:r w:rsidR="00322982">
        <w:rPr>
          <w:lang w:val="en-US"/>
        </w:rPr>
        <w:t xml:space="preserve"> t</w:t>
      </w:r>
      <w:r w:rsidR="000B27C6">
        <w:rPr>
          <w:lang w:val="en-US"/>
        </w:rPr>
        <w:t>hese</w:t>
      </w:r>
      <w:r w:rsidR="00322982">
        <w:rPr>
          <w:lang w:val="en-US"/>
        </w:rPr>
        <w:t xml:space="preserve"> </w:t>
      </w:r>
      <w:r w:rsidR="003A2D25">
        <w:rPr>
          <w:lang w:val="en-US"/>
        </w:rPr>
        <w:t>might prolong life</w:t>
      </w:r>
      <w:r w:rsidR="00322982">
        <w:rPr>
          <w:lang w:val="en-US"/>
        </w:rPr>
        <w:t xml:space="preserve"> </w:t>
      </w:r>
      <w:r>
        <w:rPr>
          <w:lang w:val="en-US"/>
        </w:rPr>
        <w:t>(see section</w:t>
      </w:r>
      <w:r w:rsidR="000B27C6">
        <w:rPr>
          <w:lang w:val="en-US"/>
        </w:rPr>
        <w:t> </w:t>
      </w:r>
      <w:r w:rsidR="00EA546B">
        <w:rPr>
          <w:lang w:val="en-US"/>
        </w:rPr>
        <w:t>3.9</w:t>
      </w:r>
      <w:r>
        <w:rPr>
          <w:lang w:val="en-US"/>
        </w:rPr>
        <w:t xml:space="preserve">). </w:t>
      </w:r>
      <w:r w:rsidR="00753EA2">
        <w:rPr>
          <w:lang w:val="en-US"/>
        </w:rPr>
        <w:t>It</w:t>
      </w:r>
      <w:r w:rsidR="00322982">
        <w:rPr>
          <w:lang w:val="en-US"/>
        </w:rPr>
        <w:t xml:space="preserve"> w</w:t>
      </w:r>
      <w:r w:rsidR="004B7870">
        <w:rPr>
          <w:lang w:val="en-US"/>
        </w:rPr>
        <w:t>as</w:t>
      </w:r>
      <w:r w:rsidR="00322982">
        <w:rPr>
          <w:lang w:val="en-US"/>
        </w:rPr>
        <w:t xml:space="preserve"> also aware that subsequent treatments in the analysis </w:t>
      </w:r>
      <w:r w:rsidR="004B7870">
        <w:rPr>
          <w:lang w:val="en-US"/>
        </w:rPr>
        <w:t>affected</w:t>
      </w:r>
      <w:r w:rsidR="00322982">
        <w:rPr>
          <w:lang w:val="en-US"/>
        </w:rPr>
        <w:t xml:space="preserve"> total costs</w:t>
      </w:r>
      <w:r w:rsidR="00062275">
        <w:rPr>
          <w:lang w:val="en-US"/>
        </w:rPr>
        <w:t xml:space="preserve"> in both treatment arms</w:t>
      </w:r>
      <w:r w:rsidR="00322982">
        <w:rPr>
          <w:lang w:val="en-US"/>
        </w:rPr>
        <w:t xml:space="preserve">. </w:t>
      </w:r>
      <w:r>
        <w:t>The company</w:t>
      </w:r>
      <w:r>
        <w:rPr>
          <w:lang w:val="en-US"/>
        </w:rPr>
        <w:t xml:space="preserve"> used the </w:t>
      </w:r>
      <w:r>
        <w:rPr>
          <w:rFonts w:cs="Arial"/>
          <w:lang w:val="en-US"/>
        </w:rPr>
        <w:t>inverse probability of censoring weighting</w:t>
      </w:r>
      <w:r>
        <w:t xml:space="preserve"> method</w:t>
      </w:r>
      <w:r>
        <w:rPr>
          <w:lang w:val="en-US"/>
        </w:rPr>
        <w:t xml:space="preserve"> </w:t>
      </w:r>
      <w:r>
        <w:t xml:space="preserve">to adjust for the </w:t>
      </w:r>
      <w:r w:rsidR="001F1931">
        <w:rPr>
          <w:lang w:val="en-GB"/>
        </w:rPr>
        <w:t>effect</w:t>
      </w:r>
      <w:r>
        <w:t xml:space="preserve"> of </w:t>
      </w:r>
      <w:r>
        <w:rPr>
          <w:lang w:val="en-US"/>
        </w:rPr>
        <w:t>fifth</w:t>
      </w:r>
      <w:r w:rsidR="00F571BD">
        <w:rPr>
          <w:lang w:val="en-US"/>
        </w:rPr>
        <w:t>-</w:t>
      </w:r>
      <w:r>
        <w:t xml:space="preserve">line treatment with daratumumab and lenalidomide. The company considered </w:t>
      </w:r>
      <w:r w:rsidR="003A2D25">
        <w:rPr>
          <w:lang w:val="en-GB"/>
        </w:rPr>
        <w:t xml:space="preserve">these </w:t>
      </w:r>
      <w:r w:rsidR="00F571BD">
        <w:rPr>
          <w:lang w:val="en-GB"/>
        </w:rPr>
        <w:t xml:space="preserve">analyses </w:t>
      </w:r>
      <w:r>
        <w:t xml:space="preserve">exploratory </w:t>
      </w:r>
      <w:r w:rsidR="00F571BD">
        <w:rPr>
          <w:lang w:val="en-GB"/>
        </w:rPr>
        <w:t>because</w:t>
      </w:r>
      <w:r>
        <w:t xml:space="preserve"> </w:t>
      </w:r>
      <w:r>
        <w:rPr>
          <w:lang w:val="en-US"/>
        </w:rPr>
        <w:t xml:space="preserve">they </w:t>
      </w:r>
      <w:r w:rsidR="00905203">
        <w:rPr>
          <w:lang w:val="en-US"/>
        </w:rPr>
        <w:t>include</w:t>
      </w:r>
      <w:r w:rsidR="00284B6F">
        <w:rPr>
          <w:lang w:val="en-US"/>
        </w:rPr>
        <w:t>d</w:t>
      </w:r>
      <w:r>
        <w:rPr>
          <w:lang w:val="en-US"/>
        </w:rPr>
        <w:t xml:space="preserve"> </w:t>
      </w:r>
      <w:r w:rsidR="00284B6F">
        <w:rPr>
          <w:lang w:val="en-US"/>
        </w:rPr>
        <w:t xml:space="preserve">a </w:t>
      </w:r>
      <w:r>
        <w:rPr>
          <w:lang w:val="en-US"/>
        </w:rPr>
        <w:t xml:space="preserve">small </w:t>
      </w:r>
      <w:r w:rsidR="00284B6F">
        <w:rPr>
          <w:lang w:val="en-US"/>
        </w:rPr>
        <w:t>number of p</w:t>
      </w:r>
      <w:r w:rsidR="001F1931">
        <w:rPr>
          <w:lang w:val="en-US"/>
        </w:rPr>
        <w:t xml:space="preserve">eople </w:t>
      </w:r>
      <w:r>
        <w:rPr>
          <w:lang w:val="en-US"/>
        </w:rPr>
        <w:t xml:space="preserve">and may not have accounted for all the factors associated with </w:t>
      </w:r>
      <w:r w:rsidR="002C564B">
        <w:rPr>
          <w:lang w:val="en-US"/>
        </w:rPr>
        <w:t xml:space="preserve">subsequent </w:t>
      </w:r>
      <w:r>
        <w:rPr>
          <w:lang w:val="en-US"/>
        </w:rPr>
        <w:t>daratumumab or lenalidomide use</w:t>
      </w:r>
      <w:r>
        <w:t>. The ERG explained that the company’s adjustment methods appear</w:t>
      </w:r>
      <w:r w:rsidR="006C0F59">
        <w:rPr>
          <w:lang w:val="en-GB"/>
        </w:rPr>
        <w:t>ed</w:t>
      </w:r>
      <w:r>
        <w:t xml:space="preserve"> valid</w:t>
      </w:r>
      <w:r w:rsidR="00905203">
        <w:rPr>
          <w:lang w:val="en-GB"/>
        </w:rPr>
        <w:t>,</w:t>
      </w:r>
      <w:r>
        <w:t xml:space="preserve"> but </w:t>
      </w:r>
      <w:r w:rsidR="00905203">
        <w:rPr>
          <w:lang w:val="en-GB"/>
        </w:rPr>
        <w:t>the committee was not satisfied that the company had pr</w:t>
      </w:r>
      <w:r w:rsidR="00F571BD">
        <w:rPr>
          <w:lang w:val="en-GB"/>
        </w:rPr>
        <w:t>ovided</w:t>
      </w:r>
      <w:r w:rsidR="00905203">
        <w:rPr>
          <w:lang w:val="en-GB"/>
        </w:rPr>
        <w:t xml:space="preserve"> </w:t>
      </w:r>
      <w:r w:rsidR="006C0F59">
        <w:rPr>
          <w:lang w:val="en-GB"/>
        </w:rPr>
        <w:t>enough information about</w:t>
      </w:r>
      <w:r w:rsidR="00905203">
        <w:rPr>
          <w:lang w:val="en-GB"/>
        </w:rPr>
        <w:t xml:space="preserve"> the analyses</w:t>
      </w:r>
      <w:r>
        <w:t>. The</w:t>
      </w:r>
      <w:r w:rsidR="00905203">
        <w:rPr>
          <w:lang w:val="en-GB"/>
        </w:rPr>
        <w:t xml:space="preserve"> ERG</w:t>
      </w:r>
      <w:r>
        <w:t xml:space="preserve"> noted that </w:t>
      </w:r>
      <w:r w:rsidR="00905203">
        <w:rPr>
          <w:lang w:val="en-GB"/>
        </w:rPr>
        <w:t xml:space="preserve">removing treatments reduced </w:t>
      </w:r>
      <w:r>
        <w:t xml:space="preserve">the total costs </w:t>
      </w:r>
      <w:r w:rsidR="00905203">
        <w:rPr>
          <w:lang w:val="en-GB"/>
        </w:rPr>
        <w:t>less</w:t>
      </w:r>
      <w:r>
        <w:t xml:space="preserve"> in</w:t>
      </w:r>
      <w:r w:rsidR="00905203">
        <w:rPr>
          <w:lang w:val="en-GB"/>
        </w:rPr>
        <w:t xml:space="preserve"> the</w:t>
      </w:r>
      <w:r>
        <w:t xml:space="preserve"> </w:t>
      </w:r>
      <w:proofErr w:type="spellStart"/>
      <w:r w:rsidR="00905203">
        <w:t>isatuximab</w:t>
      </w:r>
      <w:proofErr w:type="spellEnd"/>
      <w:r w:rsidR="00905203">
        <w:t xml:space="preserve"> </w:t>
      </w:r>
      <w:r w:rsidR="00905203">
        <w:rPr>
          <w:lang w:val="en-US"/>
        </w:rPr>
        <w:t>plus</w:t>
      </w:r>
      <w:r w:rsidR="00905203">
        <w:t xml:space="preserve"> pomalidomide </w:t>
      </w:r>
      <w:r w:rsidR="00F571BD">
        <w:rPr>
          <w:lang w:val="en-GB"/>
        </w:rPr>
        <w:t>and</w:t>
      </w:r>
      <w:r w:rsidR="00905203">
        <w:t xml:space="preserve"> dexamethasone arm </w:t>
      </w:r>
      <w:r w:rsidR="00905203">
        <w:rPr>
          <w:lang w:val="en-GB"/>
        </w:rPr>
        <w:t xml:space="preserve">than in </w:t>
      </w:r>
      <w:r>
        <w:t xml:space="preserve">the pomalidomide </w:t>
      </w:r>
      <w:r>
        <w:rPr>
          <w:lang w:val="en-US"/>
        </w:rPr>
        <w:t>plus</w:t>
      </w:r>
      <w:r>
        <w:t xml:space="preserve"> dexamethasone arm</w:t>
      </w:r>
      <w:r w:rsidR="00F87315">
        <w:rPr>
          <w:lang w:val="en-GB"/>
        </w:rPr>
        <w:t>. This was</w:t>
      </w:r>
      <w:r>
        <w:t xml:space="preserve"> </w:t>
      </w:r>
      <w:r w:rsidR="00905203">
        <w:rPr>
          <w:lang w:val="en-GB"/>
        </w:rPr>
        <w:t xml:space="preserve">because of </w:t>
      </w:r>
      <w:r w:rsidR="006C0F59">
        <w:rPr>
          <w:lang w:val="en-GB"/>
        </w:rPr>
        <w:t>the</w:t>
      </w:r>
      <w:r>
        <w:t xml:space="preserve"> higher proportion of </w:t>
      </w:r>
      <w:r w:rsidR="00905203">
        <w:rPr>
          <w:lang w:val="en-GB"/>
        </w:rPr>
        <w:t xml:space="preserve">people </w:t>
      </w:r>
      <w:r w:rsidR="00134A00">
        <w:rPr>
          <w:lang w:val="en-GB"/>
        </w:rPr>
        <w:t xml:space="preserve">taking </w:t>
      </w:r>
      <w:r w:rsidR="00905203">
        <w:t xml:space="preserve">pomalidomide </w:t>
      </w:r>
      <w:r w:rsidR="00905203">
        <w:rPr>
          <w:lang w:val="en-US"/>
        </w:rPr>
        <w:t>plus</w:t>
      </w:r>
      <w:r w:rsidR="00905203">
        <w:t xml:space="preserve"> dexamethasone </w:t>
      </w:r>
      <w:r w:rsidR="00905203">
        <w:rPr>
          <w:lang w:val="en-GB"/>
        </w:rPr>
        <w:t xml:space="preserve">moving to </w:t>
      </w:r>
      <w:r>
        <w:t>daratumumab treatment.</w:t>
      </w:r>
      <w:r>
        <w:rPr>
          <w:lang w:val="en-US"/>
        </w:rPr>
        <w:t xml:space="preserve"> The committee considered it reasonable to adjust for subsequent t</w:t>
      </w:r>
      <w:r w:rsidR="00A417B2">
        <w:rPr>
          <w:lang w:val="en-US"/>
        </w:rPr>
        <w:t>reatment</w:t>
      </w:r>
      <w:r>
        <w:rPr>
          <w:lang w:val="en-US"/>
        </w:rPr>
        <w:t xml:space="preserve">s </w:t>
      </w:r>
      <w:r w:rsidR="002C564B">
        <w:rPr>
          <w:lang w:val="en-US"/>
        </w:rPr>
        <w:t xml:space="preserve">not available in </w:t>
      </w:r>
      <w:r>
        <w:rPr>
          <w:lang w:val="en-US"/>
        </w:rPr>
        <w:t>the NHS</w:t>
      </w:r>
      <w:r w:rsidR="00854213">
        <w:rPr>
          <w:lang w:val="en-US"/>
        </w:rPr>
        <w:t xml:space="preserve"> </w:t>
      </w:r>
      <w:r w:rsidR="00F524F3">
        <w:rPr>
          <w:lang w:val="en-US"/>
        </w:rPr>
        <w:t xml:space="preserve">and which </w:t>
      </w:r>
      <w:r w:rsidR="002C564B">
        <w:rPr>
          <w:lang w:val="en-US"/>
        </w:rPr>
        <w:t xml:space="preserve">may </w:t>
      </w:r>
      <w:r w:rsidR="00F524F3">
        <w:rPr>
          <w:lang w:val="en-US"/>
        </w:rPr>
        <w:t>prolong life</w:t>
      </w:r>
      <w:r w:rsidR="00F571BD">
        <w:rPr>
          <w:lang w:val="en-US"/>
        </w:rPr>
        <w:t>. B</w:t>
      </w:r>
      <w:r>
        <w:rPr>
          <w:lang w:val="en-US"/>
        </w:rPr>
        <w:t>ut</w:t>
      </w:r>
      <w:r w:rsidR="00737B18">
        <w:rPr>
          <w:lang w:val="en-US"/>
        </w:rPr>
        <w:t xml:space="preserve"> </w:t>
      </w:r>
      <w:r w:rsidR="00F571BD">
        <w:rPr>
          <w:lang w:val="en-US"/>
        </w:rPr>
        <w:t>it was</w:t>
      </w:r>
      <w:r w:rsidR="00737B18">
        <w:rPr>
          <w:lang w:val="en-US"/>
        </w:rPr>
        <w:t xml:space="preserve"> concern</w:t>
      </w:r>
      <w:r w:rsidR="00F571BD">
        <w:rPr>
          <w:lang w:val="en-US"/>
        </w:rPr>
        <w:t>ed about</w:t>
      </w:r>
      <w:r w:rsidR="00737B18">
        <w:rPr>
          <w:lang w:val="en-US"/>
        </w:rPr>
        <w:t xml:space="preserve"> the company’s methods and lack of key information </w:t>
      </w:r>
      <w:r w:rsidR="00F571BD">
        <w:rPr>
          <w:lang w:val="en-US"/>
        </w:rPr>
        <w:t>needed</w:t>
      </w:r>
      <w:r w:rsidR="00737B18">
        <w:rPr>
          <w:lang w:val="en-US"/>
        </w:rPr>
        <w:t xml:space="preserve"> to judge the analyses. The committee would </w:t>
      </w:r>
      <w:r w:rsidR="006A40C0">
        <w:rPr>
          <w:lang w:val="en-US"/>
        </w:rPr>
        <w:t xml:space="preserve">have </w:t>
      </w:r>
      <w:r w:rsidR="00737B18">
        <w:rPr>
          <w:lang w:val="en-US"/>
        </w:rPr>
        <w:t>like</w:t>
      </w:r>
      <w:r w:rsidR="006A40C0">
        <w:rPr>
          <w:lang w:val="en-US"/>
        </w:rPr>
        <w:t>d</w:t>
      </w:r>
      <w:r w:rsidR="00737B18">
        <w:rPr>
          <w:lang w:val="en-US"/>
        </w:rPr>
        <w:t xml:space="preserve"> to see the covariates used in the </w:t>
      </w:r>
      <w:r w:rsidR="00737B18">
        <w:rPr>
          <w:rFonts w:cs="Arial"/>
          <w:lang w:val="en-US"/>
        </w:rPr>
        <w:t xml:space="preserve">inverse probability of censoring weighting </w:t>
      </w:r>
      <w:r w:rsidR="00737B18">
        <w:rPr>
          <w:lang w:val="en-US"/>
        </w:rPr>
        <w:t xml:space="preserve">analyses and the range of weights estimated. </w:t>
      </w:r>
      <w:r w:rsidR="00F571BD">
        <w:rPr>
          <w:lang w:val="en-US"/>
        </w:rPr>
        <w:t>It</w:t>
      </w:r>
      <w:r w:rsidR="00737B18">
        <w:rPr>
          <w:lang w:val="en-US"/>
        </w:rPr>
        <w:t xml:space="preserve"> also noted that the company used a hazard ratio to apply the adjustment to </w:t>
      </w:r>
      <w:r w:rsidR="006A40C0">
        <w:rPr>
          <w:lang w:val="en-US"/>
        </w:rPr>
        <w:t xml:space="preserve">only 1 arm of the </w:t>
      </w:r>
      <w:r w:rsidR="00737B18">
        <w:rPr>
          <w:lang w:val="en-US"/>
        </w:rPr>
        <w:t xml:space="preserve">ICARIA-MM data. The committee would </w:t>
      </w:r>
      <w:r w:rsidR="000033A5">
        <w:rPr>
          <w:lang w:val="en-US"/>
        </w:rPr>
        <w:t xml:space="preserve">have </w:t>
      </w:r>
      <w:r w:rsidR="00737B18">
        <w:rPr>
          <w:lang w:val="en-US"/>
        </w:rPr>
        <w:t>prefer</w:t>
      </w:r>
      <w:r w:rsidR="000033A5">
        <w:rPr>
          <w:lang w:val="en-US"/>
        </w:rPr>
        <w:t>red</w:t>
      </w:r>
      <w:r w:rsidR="00737B18">
        <w:rPr>
          <w:lang w:val="en-US"/>
        </w:rPr>
        <w:t xml:space="preserve"> to see survival models fitted to the weighted survival times</w:t>
      </w:r>
      <w:r w:rsidR="00F95D1C">
        <w:rPr>
          <w:lang w:val="en-US"/>
        </w:rPr>
        <w:t xml:space="preserve">, </w:t>
      </w:r>
      <w:r w:rsidR="000A0BDF">
        <w:rPr>
          <w:lang w:val="en-US"/>
        </w:rPr>
        <w:t>which would</w:t>
      </w:r>
      <w:r w:rsidR="00F95D1C">
        <w:rPr>
          <w:lang w:val="en-US"/>
        </w:rPr>
        <w:t xml:space="preserve"> adjust both arms of the trial</w:t>
      </w:r>
      <w:r w:rsidR="00737B18">
        <w:rPr>
          <w:lang w:val="en-US"/>
        </w:rPr>
        <w:t>.</w:t>
      </w:r>
      <w:r>
        <w:t xml:space="preserve"> </w:t>
      </w:r>
      <w:r w:rsidR="000033A5">
        <w:rPr>
          <w:lang w:val="en-GB"/>
        </w:rPr>
        <w:t>It</w:t>
      </w:r>
      <w:r>
        <w:t xml:space="preserve"> </w:t>
      </w:r>
      <w:r>
        <w:rPr>
          <w:lang w:val="en-US"/>
        </w:rPr>
        <w:t>noted</w:t>
      </w:r>
      <w:r>
        <w:t xml:space="preserve"> that </w:t>
      </w:r>
      <w:r w:rsidR="000033A5">
        <w:rPr>
          <w:lang w:val="en-GB"/>
        </w:rPr>
        <w:t>although</w:t>
      </w:r>
      <w:r w:rsidR="000033A5">
        <w:t xml:space="preserve"> </w:t>
      </w:r>
      <w:r>
        <w:t xml:space="preserve">the </w:t>
      </w:r>
      <w:r>
        <w:lastRenderedPageBreak/>
        <w:t xml:space="preserve">company’s </w:t>
      </w:r>
      <w:r w:rsidR="008F1D53">
        <w:rPr>
          <w:lang w:val="en-US"/>
        </w:rPr>
        <w:t xml:space="preserve">analyses adjusting for </w:t>
      </w:r>
      <w:r>
        <w:t>subsequent treatment</w:t>
      </w:r>
      <w:r w:rsidR="008F1D53">
        <w:rPr>
          <w:lang w:val="en-US"/>
        </w:rPr>
        <w:t>s</w:t>
      </w:r>
      <w:r>
        <w:t xml:space="preserve"> were exploratory and had limitations,</w:t>
      </w:r>
      <w:r>
        <w:rPr>
          <w:lang w:val="en-US"/>
        </w:rPr>
        <w:t xml:space="preserve"> </w:t>
      </w:r>
      <w:r>
        <w:t>the company’s base case</w:t>
      </w:r>
      <w:r w:rsidR="002D3429">
        <w:rPr>
          <w:lang w:val="en-US"/>
        </w:rPr>
        <w:t xml:space="preserve"> </w:t>
      </w:r>
      <w:r>
        <w:t>ICER was likely to be underestimated</w:t>
      </w:r>
      <w:r>
        <w:rPr>
          <w:lang w:val="en-US"/>
        </w:rPr>
        <w:t>.</w:t>
      </w:r>
      <w:r>
        <w:t xml:space="preserve"> </w:t>
      </w:r>
      <w:r>
        <w:rPr>
          <w:lang w:val="en-US"/>
        </w:rPr>
        <w:t>The committee welcome</w:t>
      </w:r>
      <w:r w:rsidR="000033A5">
        <w:rPr>
          <w:lang w:val="en-US"/>
        </w:rPr>
        <w:t>d</w:t>
      </w:r>
      <w:r>
        <w:rPr>
          <w:lang w:val="en-US"/>
        </w:rPr>
        <w:t xml:space="preserve"> the </w:t>
      </w:r>
      <w:r w:rsidR="00B200D5">
        <w:rPr>
          <w:lang w:val="en-US"/>
        </w:rPr>
        <w:t xml:space="preserve">company’s </w:t>
      </w:r>
      <w:r>
        <w:rPr>
          <w:lang w:val="en-US"/>
        </w:rPr>
        <w:t xml:space="preserve">adjustment but </w:t>
      </w:r>
      <w:r w:rsidR="00737B18">
        <w:rPr>
          <w:lang w:val="en-US"/>
        </w:rPr>
        <w:t xml:space="preserve">the lack of detail in the company’s reporting meant that </w:t>
      </w:r>
      <w:r w:rsidR="000033A5">
        <w:rPr>
          <w:lang w:val="en-US"/>
        </w:rPr>
        <w:t>it</w:t>
      </w:r>
      <w:r w:rsidR="00737B18">
        <w:rPr>
          <w:lang w:val="en-US"/>
        </w:rPr>
        <w:t xml:space="preserve"> c</w:t>
      </w:r>
      <w:r w:rsidR="000033A5">
        <w:rPr>
          <w:lang w:val="en-US"/>
        </w:rPr>
        <w:t xml:space="preserve">ould </w:t>
      </w:r>
      <w:r w:rsidR="00737B18">
        <w:rPr>
          <w:lang w:val="en-US"/>
        </w:rPr>
        <w:t xml:space="preserve">not be satisfied that the adjustment has been </w:t>
      </w:r>
      <w:r w:rsidR="000033A5">
        <w:rPr>
          <w:lang w:val="en-US"/>
        </w:rPr>
        <w:t>done</w:t>
      </w:r>
      <w:r w:rsidR="00737B18">
        <w:rPr>
          <w:lang w:val="en-US"/>
        </w:rPr>
        <w:t xml:space="preserve"> appropriately. </w:t>
      </w:r>
      <w:r w:rsidR="00A5378B" w:rsidRPr="005A5DAF">
        <w:rPr>
          <w:lang w:val="en-US"/>
        </w:rPr>
        <w:t xml:space="preserve">The committee concluded that adjusting for subsequent </w:t>
      </w:r>
      <w:r w:rsidR="00A417B2">
        <w:rPr>
          <w:lang w:val="en-US"/>
        </w:rPr>
        <w:t>treatments</w:t>
      </w:r>
      <w:r w:rsidR="00A417B2" w:rsidRPr="005A5DAF">
        <w:rPr>
          <w:lang w:val="en-US"/>
        </w:rPr>
        <w:t xml:space="preserve"> </w:t>
      </w:r>
      <w:r w:rsidR="000033A5">
        <w:rPr>
          <w:lang w:val="en-US"/>
        </w:rPr>
        <w:t>wa</w:t>
      </w:r>
      <w:r w:rsidR="00A5378B" w:rsidRPr="005A5DAF">
        <w:rPr>
          <w:lang w:val="en-US"/>
        </w:rPr>
        <w:t xml:space="preserve">s appropriate but further information </w:t>
      </w:r>
      <w:r w:rsidR="009B4C30">
        <w:rPr>
          <w:lang w:val="en-US"/>
        </w:rPr>
        <w:t>wa</w:t>
      </w:r>
      <w:r w:rsidR="00A5378B" w:rsidRPr="005A5DAF">
        <w:rPr>
          <w:lang w:val="en-US"/>
        </w:rPr>
        <w:t xml:space="preserve">s </w:t>
      </w:r>
      <w:r w:rsidR="000033A5">
        <w:rPr>
          <w:lang w:val="en-US"/>
        </w:rPr>
        <w:t>needed</w:t>
      </w:r>
      <w:r w:rsidR="00A5378B" w:rsidRPr="005A5DAF">
        <w:rPr>
          <w:lang w:val="en-US"/>
        </w:rPr>
        <w:t xml:space="preserve"> from the company.</w:t>
      </w:r>
    </w:p>
    <w:p w14:paraId="1EDC8901" w14:textId="4777CF44" w:rsidR="00904264" w:rsidRDefault="006D073D" w:rsidP="00904264">
      <w:pPr>
        <w:pStyle w:val="Heading2"/>
      </w:pPr>
      <w:r>
        <w:t>Utility values in the economic model</w:t>
      </w:r>
    </w:p>
    <w:p w14:paraId="74A07E61" w14:textId="557E9C97" w:rsidR="00530B02" w:rsidRDefault="004547E5" w:rsidP="00530B02">
      <w:pPr>
        <w:pStyle w:val="Heading3"/>
      </w:pPr>
      <w:r>
        <w:t>U</w:t>
      </w:r>
      <w:r w:rsidR="00530B02">
        <w:t>tilit</w:t>
      </w:r>
      <w:r>
        <w:t>y estimates</w:t>
      </w:r>
      <w:r w:rsidR="00530B02">
        <w:t xml:space="preserve"> in the </w:t>
      </w:r>
      <w:r>
        <w:t>company</w:t>
      </w:r>
      <w:r w:rsidR="0001634D">
        <w:t>’s</w:t>
      </w:r>
      <w:r>
        <w:t xml:space="preserve"> </w:t>
      </w:r>
      <w:r w:rsidR="00530B02">
        <w:t>model are appropriate</w:t>
      </w:r>
    </w:p>
    <w:p w14:paraId="50D26E7E" w14:textId="427EA61C" w:rsidR="00530B02" w:rsidRPr="00530B02" w:rsidRDefault="00296A0E" w:rsidP="00B33576">
      <w:pPr>
        <w:pStyle w:val="Numberedlevel2text"/>
      </w:pPr>
      <w:r>
        <w:rPr>
          <w:lang w:val="en-US"/>
        </w:rPr>
        <w:t>ICARIA-MM included t</w:t>
      </w:r>
      <w:r w:rsidR="00B76758" w:rsidRPr="00CB196E">
        <w:rPr>
          <w:lang w:val="en-US"/>
        </w:rPr>
        <w:t xml:space="preserve">he </w:t>
      </w:r>
      <w:r w:rsidR="00555179">
        <w:rPr>
          <w:lang w:val="en-US"/>
        </w:rPr>
        <w:t>EQ-5D</w:t>
      </w:r>
      <w:r w:rsidR="00175FED">
        <w:rPr>
          <w:lang w:val="en-US"/>
        </w:rPr>
        <w:t>-5L</w:t>
      </w:r>
      <w:r w:rsidR="00555179">
        <w:rPr>
          <w:lang w:val="en-US"/>
        </w:rPr>
        <w:t xml:space="preserve"> health</w:t>
      </w:r>
      <w:r w:rsidR="00B76758" w:rsidRPr="00CB196E">
        <w:rPr>
          <w:lang w:val="en-US"/>
        </w:rPr>
        <w:t xml:space="preserve"> questionnaire</w:t>
      </w:r>
      <w:r w:rsidR="00161651">
        <w:rPr>
          <w:lang w:val="en-US"/>
        </w:rPr>
        <w:t xml:space="preserve"> to measure health-related quality of life</w:t>
      </w:r>
      <w:r w:rsidR="00555179">
        <w:rPr>
          <w:lang w:val="en-US"/>
        </w:rPr>
        <w:t>.</w:t>
      </w:r>
      <w:r w:rsidR="00242EB6">
        <w:t xml:space="preserve"> </w:t>
      </w:r>
      <w:r w:rsidR="00555179">
        <w:rPr>
          <w:lang w:val="en-GB"/>
        </w:rPr>
        <w:t>T</w:t>
      </w:r>
      <w:r w:rsidR="006A5436">
        <w:rPr>
          <w:lang w:val="en-US"/>
        </w:rPr>
        <w:t>he company mapped the</w:t>
      </w:r>
      <w:r w:rsidR="000170B8">
        <w:rPr>
          <w:lang w:val="en-US"/>
        </w:rPr>
        <w:t xml:space="preserve"> </w:t>
      </w:r>
      <w:r w:rsidR="003C4CD7">
        <w:rPr>
          <w:lang w:val="en-US"/>
        </w:rPr>
        <w:t>EQ-5D</w:t>
      </w:r>
      <w:r w:rsidR="00175FED">
        <w:rPr>
          <w:lang w:val="en-US"/>
        </w:rPr>
        <w:t>-5L</w:t>
      </w:r>
      <w:r w:rsidR="003C4CD7">
        <w:rPr>
          <w:lang w:val="en-US"/>
        </w:rPr>
        <w:t xml:space="preserve"> </w:t>
      </w:r>
      <w:r w:rsidR="00530B02">
        <w:t xml:space="preserve">data </w:t>
      </w:r>
      <w:r w:rsidR="00242EB6">
        <w:t>to the EQ-5D</w:t>
      </w:r>
      <w:r w:rsidR="00555179">
        <w:rPr>
          <w:lang w:val="en-GB"/>
        </w:rPr>
        <w:t>-3L</w:t>
      </w:r>
      <w:r w:rsidR="006A5436">
        <w:rPr>
          <w:lang w:val="en-US"/>
        </w:rPr>
        <w:t xml:space="preserve"> </w:t>
      </w:r>
      <w:r w:rsidR="00B37C95">
        <w:t xml:space="preserve">to estimate mean utility for </w:t>
      </w:r>
      <w:r>
        <w:rPr>
          <w:lang w:val="en-GB"/>
        </w:rPr>
        <w:t xml:space="preserve">the pre-progressed and </w:t>
      </w:r>
      <w:r w:rsidR="00B37C95">
        <w:t>progress</w:t>
      </w:r>
      <w:r>
        <w:rPr>
          <w:lang w:val="en-GB"/>
        </w:rPr>
        <w:t>ed disease</w:t>
      </w:r>
      <w:r w:rsidR="00555179">
        <w:rPr>
          <w:lang w:val="en-GB"/>
        </w:rPr>
        <w:t xml:space="preserve"> health states</w:t>
      </w:r>
      <w:r>
        <w:rPr>
          <w:lang w:val="en-GB"/>
        </w:rPr>
        <w:t>.</w:t>
      </w:r>
      <w:r w:rsidR="00B37C95">
        <w:t xml:space="preserve"> </w:t>
      </w:r>
      <w:r w:rsidR="00922BBC">
        <w:rPr>
          <w:lang w:val="en-US"/>
        </w:rPr>
        <w:t xml:space="preserve">This is in line with the NICE methods guide. </w:t>
      </w:r>
      <w:r w:rsidR="00B37C95">
        <w:t xml:space="preserve">The utility value used for </w:t>
      </w:r>
      <w:r>
        <w:rPr>
          <w:lang w:val="en-GB"/>
        </w:rPr>
        <w:t xml:space="preserve">the </w:t>
      </w:r>
      <w:r w:rsidR="00B37C95">
        <w:t xml:space="preserve">progression-free </w:t>
      </w:r>
      <w:r>
        <w:rPr>
          <w:lang w:val="en-GB"/>
        </w:rPr>
        <w:t>health state</w:t>
      </w:r>
      <w:r>
        <w:t xml:space="preserve"> </w:t>
      </w:r>
      <w:r w:rsidR="000170B8">
        <w:rPr>
          <w:lang w:val="en-US"/>
        </w:rPr>
        <w:t xml:space="preserve">in </w:t>
      </w:r>
      <w:r w:rsidR="00B37C95">
        <w:t xml:space="preserve">the </w:t>
      </w:r>
      <w:proofErr w:type="spellStart"/>
      <w:r w:rsidR="00B37C95">
        <w:t>isatuximab</w:t>
      </w:r>
      <w:proofErr w:type="spellEnd"/>
      <w:r w:rsidR="00B37C95">
        <w:t xml:space="preserve"> </w:t>
      </w:r>
      <w:r w:rsidR="00A36A61">
        <w:t>plus</w:t>
      </w:r>
      <w:r w:rsidR="00A36A61">
        <w:rPr>
          <w:lang w:val="en-US"/>
        </w:rPr>
        <w:t xml:space="preserve"> </w:t>
      </w:r>
      <w:r w:rsidR="00B37C95">
        <w:t xml:space="preserve">pomalidomide </w:t>
      </w:r>
      <w:r w:rsidR="00105F3A">
        <w:rPr>
          <w:lang w:val="en-GB"/>
        </w:rPr>
        <w:t>and</w:t>
      </w:r>
      <w:r w:rsidR="00A36A61">
        <w:rPr>
          <w:lang w:val="en-US"/>
        </w:rPr>
        <w:t xml:space="preserve"> </w:t>
      </w:r>
      <w:r w:rsidR="00B37C95">
        <w:t xml:space="preserve">dexamethasone arm was slightly higher than </w:t>
      </w:r>
      <w:r w:rsidR="00161651">
        <w:rPr>
          <w:lang w:val="en-GB"/>
        </w:rPr>
        <w:t xml:space="preserve">for </w:t>
      </w:r>
      <w:r w:rsidR="00B37C95">
        <w:t xml:space="preserve">the pomalidomide </w:t>
      </w:r>
      <w:r w:rsidR="00A36A61">
        <w:rPr>
          <w:lang w:val="en-US"/>
        </w:rPr>
        <w:t>plus</w:t>
      </w:r>
      <w:r w:rsidR="00B37C95">
        <w:t xml:space="preserve"> dexamethasone arm (0.719 </w:t>
      </w:r>
      <w:r w:rsidR="005A10F6">
        <w:rPr>
          <w:lang w:val="en-US"/>
        </w:rPr>
        <w:t xml:space="preserve">compared </w:t>
      </w:r>
      <w:r w:rsidR="00105F3A">
        <w:rPr>
          <w:lang w:val="en-US"/>
        </w:rPr>
        <w:t>with</w:t>
      </w:r>
      <w:r w:rsidR="00B37C95">
        <w:t xml:space="preserve"> 0.717). </w:t>
      </w:r>
      <w:r>
        <w:rPr>
          <w:lang w:val="en-GB"/>
        </w:rPr>
        <w:t>The company applied a</w:t>
      </w:r>
      <w:r w:rsidR="00B37C95">
        <w:t xml:space="preserve"> utility value of </w:t>
      </w:r>
      <w:r w:rsidR="00815AAE">
        <w:t>0.611 to both arms for the progressed disease state</w:t>
      </w:r>
      <w:r w:rsidR="00242EB6">
        <w:t>.</w:t>
      </w:r>
      <w:r w:rsidR="00815AAE">
        <w:t xml:space="preserve"> </w:t>
      </w:r>
      <w:r w:rsidR="00B37C95">
        <w:t xml:space="preserve">More adverse events occurred in the </w:t>
      </w:r>
      <w:proofErr w:type="spellStart"/>
      <w:r w:rsidR="00B37C95">
        <w:t>isatuximab</w:t>
      </w:r>
      <w:proofErr w:type="spellEnd"/>
      <w:r w:rsidR="00B37C95">
        <w:t xml:space="preserve"> </w:t>
      </w:r>
      <w:r w:rsidR="00A36A61">
        <w:rPr>
          <w:lang w:val="en-US"/>
        </w:rPr>
        <w:t>plus</w:t>
      </w:r>
      <w:r w:rsidR="00B37C95">
        <w:t xml:space="preserve"> pomalidomide </w:t>
      </w:r>
      <w:r w:rsidR="0052529F">
        <w:rPr>
          <w:lang w:val="en-GB"/>
        </w:rPr>
        <w:t>and</w:t>
      </w:r>
      <w:r w:rsidR="00B37C95">
        <w:t xml:space="preserve"> dexamethasone arm</w:t>
      </w:r>
      <w:r w:rsidR="0052529F">
        <w:rPr>
          <w:lang w:val="en-GB"/>
        </w:rPr>
        <w:t xml:space="preserve">. </w:t>
      </w:r>
      <w:proofErr w:type="spellStart"/>
      <w:r w:rsidR="0052529F">
        <w:rPr>
          <w:lang w:val="en-GB"/>
        </w:rPr>
        <w:t>T</w:t>
      </w:r>
      <w:r w:rsidR="00B37C95">
        <w:t>he</w:t>
      </w:r>
      <w:proofErr w:type="spellEnd"/>
      <w:r w:rsidR="00B37C95">
        <w:t xml:space="preserve"> </w:t>
      </w:r>
      <w:r>
        <w:rPr>
          <w:lang w:val="en-GB"/>
        </w:rPr>
        <w:t xml:space="preserve">company did not apply </w:t>
      </w:r>
      <w:r w:rsidR="00B37C95">
        <w:t xml:space="preserve">utility decrements for </w:t>
      </w:r>
      <w:r>
        <w:rPr>
          <w:lang w:val="en-GB"/>
        </w:rPr>
        <w:t>adverse</w:t>
      </w:r>
      <w:r>
        <w:t xml:space="preserve"> </w:t>
      </w:r>
      <w:r w:rsidR="00B37C95">
        <w:t xml:space="preserve">events. </w:t>
      </w:r>
      <w:r w:rsidR="00862720">
        <w:rPr>
          <w:lang w:val="en-GB"/>
        </w:rPr>
        <w:t>It</w:t>
      </w:r>
      <w:r w:rsidR="00815AAE">
        <w:t xml:space="preserve"> explained that health utility </w:t>
      </w:r>
      <w:r w:rsidR="0001634D">
        <w:rPr>
          <w:lang w:val="en-GB"/>
        </w:rPr>
        <w:t>data were</w:t>
      </w:r>
      <w:r w:rsidR="00815AAE">
        <w:t xml:space="preserve"> collected at the beginning of every treatment cycle </w:t>
      </w:r>
      <w:r w:rsidR="00242EB6">
        <w:t>(</w:t>
      </w:r>
      <w:r w:rsidR="00815AAE">
        <w:t xml:space="preserve">every </w:t>
      </w:r>
      <w:r w:rsidR="0001634D">
        <w:rPr>
          <w:lang w:val="en-GB"/>
        </w:rPr>
        <w:t>2 </w:t>
      </w:r>
      <w:r w:rsidR="00815AAE">
        <w:t>weeks</w:t>
      </w:r>
      <w:r w:rsidR="00242EB6">
        <w:t>)</w:t>
      </w:r>
      <w:r w:rsidR="000170B8">
        <w:rPr>
          <w:lang w:val="en-US"/>
        </w:rPr>
        <w:t xml:space="preserve"> in the trial</w:t>
      </w:r>
      <w:r w:rsidR="00815AAE">
        <w:t xml:space="preserve"> and </w:t>
      </w:r>
      <w:r w:rsidR="00715BB5">
        <w:rPr>
          <w:lang w:val="en-GB"/>
        </w:rPr>
        <w:t xml:space="preserve">it </w:t>
      </w:r>
      <w:r w:rsidR="00815AAE">
        <w:t>assume</w:t>
      </w:r>
      <w:r w:rsidR="00862720">
        <w:rPr>
          <w:lang w:val="en-GB"/>
        </w:rPr>
        <w:t>d</w:t>
      </w:r>
      <w:r w:rsidR="00815AAE">
        <w:t xml:space="preserve"> the EQ-5D would capture any </w:t>
      </w:r>
      <w:r w:rsidR="00242EB6">
        <w:t xml:space="preserve">loss in utility </w:t>
      </w:r>
      <w:r w:rsidR="0001634D">
        <w:rPr>
          <w:lang w:val="en-GB"/>
        </w:rPr>
        <w:t>from</w:t>
      </w:r>
      <w:r w:rsidR="00242EB6">
        <w:t xml:space="preserve"> adverse events. The ERG </w:t>
      </w:r>
      <w:r w:rsidR="00F0481B">
        <w:rPr>
          <w:lang w:val="en-US"/>
        </w:rPr>
        <w:t xml:space="preserve">considered </w:t>
      </w:r>
      <w:r w:rsidR="00242EB6">
        <w:t xml:space="preserve">this </w:t>
      </w:r>
      <w:r w:rsidR="00F0481B">
        <w:rPr>
          <w:lang w:val="en-US"/>
        </w:rPr>
        <w:t>to be</w:t>
      </w:r>
      <w:r w:rsidR="00F0481B">
        <w:t xml:space="preserve"> </w:t>
      </w:r>
      <w:r w:rsidR="00242EB6">
        <w:t xml:space="preserve">reasonable. </w:t>
      </w:r>
      <w:r w:rsidR="00284FD1">
        <w:t xml:space="preserve">The patient expert stated that despite </w:t>
      </w:r>
      <w:r w:rsidR="007E6253">
        <w:t xml:space="preserve">the higher rate of adverse events in </w:t>
      </w:r>
      <w:r w:rsidR="00053D9F">
        <w:rPr>
          <w:lang w:val="en-GB"/>
        </w:rPr>
        <w:t>the</w:t>
      </w:r>
      <w:r w:rsidR="00053D9F">
        <w:t xml:space="preserve"> </w:t>
      </w:r>
      <w:proofErr w:type="spellStart"/>
      <w:r w:rsidR="001A68B5" w:rsidRPr="00A556C7">
        <w:t>isatuximab</w:t>
      </w:r>
      <w:proofErr w:type="spellEnd"/>
      <w:r w:rsidR="001A68B5" w:rsidRPr="00A556C7">
        <w:t xml:space="preserve"> plus pomalidomide </w:t>
      </w:r>
      <w:r w:rsidR="0001634D">
        <w:rPr>
          <w:lang w:val="en-GB"/>
        </w:rPr>
        <w:t>and</w:t>
      </w:r>
      <w:r w:rsidR="001A68B5" w:rsidRPr="00A556C7">
        <w:t xml:space="preserve"> dexamethasone </w:t>
      </w:r>
      <w:r w:rsidR="001A68B5">
        <w:t xml:space="preserve">arm of the trial, </w:t>
      </w:r>
      <w:r w:rsidR="007C3E7C">
        <w:rPr>
          <w:lang w:val="en-GB"/>
        </w:rPr>
        <w:t>fewer</w:t>
      </w:r>
      <w:r w:rsidR="007C3E7C">
        <w:t xml:space="preserve"> </w:t>
      </w:r>
      <w:r w:rsidR="001A68B5">
        <w:t xml:space="preserve">people stopped treatment </w:t>
      </w:r>
      <w:r w:rsidR="00053D9F">
        <w:rPr>
          <w:lang w:val="en-GB"/>
        </w:rPr>
        <w:t>because of</w:t>
      </w:r>
      <w:r w:rsidR="001A68B5">
        <w:t xml:space="preserve"> adverse events</w:t>
      </w:r>
      <w:r w:rsidR="00F0481B">
        <w:rPr>
          <w:lang w:val="en-US"/>
        </w:rPr>
        <w:t xml:space="preserve"> than in the pomalidomide plus dexamethasone arm</w:t>
      </w:r>
      <w:r w:rsidR="001A68B5">
        <w:t xml:space="preserve"> (</w:t>
      </w:r>
      <w:r w:rsidR="00711310" w:rsidRPr="00EA56DA">
        <w:t>7.</w:t>
      </w:r>
      <w:r w:rsidR="00204A5B">
        <w:rPr>
          <w:lang w:val="en-US"/>
        </w:rPr>
        <w:t>8</w:t>
      </w:r>
      <w:r w:rsidR="00711310" w:rsidRPr="00EA56DA">
        <w:t xml:space="preserve">% </w:t>
      </w:r>
      <w:r w:rsidR="00711310">
        <w:rPr>
          <w:lang w:val="en-US"/>
        </w:rPr>
        <w:t xml:space="preserve">compared </w:t>
      </w:r>
      <w:r w:rsidR="0001634D">
        <w:rPr>
          <w:lang w:val="en-US"/>
        </w:rPr>
        <w:t>with</w:t>
      </w:r>
      <w:r w:rsidR="00711310" w:rsidRPr="00EA56DA">
        <w:t xml:space="preserve"> 17.2%</w:t>
      </w:r>
      <w:r w:rsidR="001A68B5">
        <w:t xml:space="preserve">). </w:t>
      </w:r>
      <w:r w:rsidR="00503A13">
        <w:rPr>
          <w:lang w:val="en-US"/>
        </w:rPr>
        <w:t>On balance, t</w:t>
      </w:r>
      <w:r w:rsidR="00242EB6">
        <w:t>he committee concluded that the</w:t>
      </w:r>
      <w:r w:rsidR="00F0481B">
        <w:rPr>
          <w:lang w:val="en-US"/>
        </w:rPr>
        <w:t xml:space="preserve"> </w:t>
      </w:r>
      <w:r w:rsidR="00242EB6">
        <w:t>utilit</w:t>
      </w:r>
      <w:r w:rsidR="00F0481B">
        <w:rPr>
          <w:lang w:val="en-US"/>
        </w:rPr>
        <w:t>y estimates</w:t>
      </w:r>
      <w:r w:rsidR="00242EB6">
        <w:t xml:space="preserve"> used in the company</w:t>
      </w:r>
      <w:r w:rsidR="00715BB5">
        <w:rPr>
          <w:lang w:val="en-GB"/>
        </w:rPr>
        <w:t>’s</w:t>
      </w:r>
      <w:r w:rsidR="00242EB6">
        <w:t xml:space="preserve"> model </w:t>
      </w:r>
      <w:r w:rsidR="0001634D">
        <w:rPr>
          <w:lang w:val="en-GB"/>
        </w:rPr>
        <w:t>were</w:t>
      </w:r>
      <w:r w:rsidR="00F0481B">
        <w:t xml:space="preserve"> </w:t>
      </w:r>
      <w:r w:rsidR="00242EB6">
        <w:t>appropriate.</w:t>
      </w:r>
    </w:p>
    <w:p w14:paraId="3F3BAD21" w14:textId="06D2090E" w:rsidR="00043E1F" w:rsidRDefault="00D122CA" w:rsidP="002B47AF">
      <w:pPr>
        <w:pStyle w:val="Heading2"/>
      </w:pPr>
      <w:r>
        <w:lastRenderedPageBreak/>
        <w:t>Costs in the economic model</w:t>
      </w:r>
    </w:p>
    <w:p w14:paraId="3DD9C868" w14:textId="43643DFA" w:rsidR="00E7082A" w:rsidRPr="00E7082A" w:rsidRDefault="00E7082A" w:rsidP="00850209">
      <w:pPr>
        <w:pStyle w:val="Heading3"/>
      </w:pPr>
      <w:r w:rsidRPr="00503A13">
        <w:t xml:space="preserve">Time on treatment </w:t>
      </w:r>
      <w:r w:rsidR="009A6A16" w:rsidRPr="00503A13">
        <w:t>determines</w:t>
      </w:r>
      <w:r w:rsidRPr="00503A13">
        <w:t xml:space="preserve"> cost</w:t>
      </w:r>
      <w:r w:rsidR="00A377A8">
        <w:t xml:space="preserve"> of treatment</w:t>
      </w:r>
      <w:r w:rsidRPr="002B47AF">
        <w:t xml:space="preserve">, </w:t>
      </w:r>
      <w:r w:rsidR="00A377A8">
        <w:t>and extrapolated estimates are uncertain</w:t>
      </w:r>
    </w:p>
    <w:p w14:paraId="5D72DE03" w14:textId="11FBC001" w:rsidR="00043E1F" w:rsidRDefault="00043E1F" w:rsidP="00503A13">
      <w:pPr>
        <w:pStyle w:val="Numberedlevel2text"/>
      </w:pPr>
      <w:r>
        <w:t xml:space="preserve">The committee </w:t>
      </w:r>
      <w:r w:rsidR="00973E43">
        <w:rPr>
          <w:lang w:val="en-US"/>
        </w:rPr>
        <w:t>understood</w:t>
      </w:r>
      <w:r w:rsidR="00973E43">
        <w:t xml:space="preserve"> </w:t>
      </w:r>
      <w:r>
        <w:t>that</w:t>
      </w:r>
      <w:r w:rsidR="009E0F82">
        <w:rPr>
          <w:lang w:val="en-GB"/>
        </w:rPr>
        <w:t xml:space="preserve"> the cost of treatment was</w:t>
      </w:r>
      <w:r>
        <w:t xml:space="preserve"> a key driver in the cost effectiveness of </w:t>
      </w:r>
      <w:proofErr w:type="spellStart"/>
      <w:r w:rsidRPr="00043E1F">
        <w:t>isatuximab</w:t>
      </w:r>
      <w:proofErr w:type="spellEnd"/>
      <w:r w:rsidRPr="00043E1F">
        <w:t xml:space="preserve"> plus pomalidomide </w:t>
      </w:r>
      <w:r w:rsidR="0001634D">
        <w:rPr>
          <w:lang w:val="en-GB"/>
        </w:rPr>
        <w:t>and</w:t>
      </w:r>
      <w:r w:rsidRPr="00043E1F">
        <w:t xml:space="preserve"> dexamethasone</w:t>
      </w:r>
      <w:r w:rsidR="00E7082A">
        <w:t xml:space="preserve">. </w:t>
      </w:r>
      <w:r w:rsidR="009E0F82">
        <w:rPr>
          <w:lang w:val="en-GB"/>
        </w:rPr>
        <w:t>It</w:t>
      </w:r>
      <w:r w:rsidR="00E7082A">
        <w:t xml:space="preserve"> also appreciated that </w:t>
      </w:r>
      <w:r w:rsidR="005348AF">
        <w:rPr>
          <w:lang w:val="en-GB"/>
        </w:rPr>
        <w:t>t</w:t>
      </w:r>
      <w:r w:rsidR="00653715">
        <w:rPr>
          <w:lang w:val="en-GB"/>
        </w:rPr>
        <w:t>ime on</w:t>
      </w:r>
      <w:r w:rsidR="0001634D">
        <w:rPr>
          <w:lang w:val="en-GB"/>
        </w:rPr>
        <w:t xml:space="preserve"> treatment </w:t>
      </w:r>
      <w:r w:rsidR="00E7082A">
        <w:t>and price largely determine th</w:t>
      </w:r>
      <w:r w:rsidR="005348AF">
        <w:rPr>
          <w:lang w:val="en-GB"/>
        </w:rPr>
        <w:t>e cost of treatment</w:t>
      </w:r>
      <w:r w:rsidR="00E7082A">
        <w:t>. The company collected time</w:t>
      </w:r>
      <w:r w:rsidR="00653715">
        <w:rPr>
          <w:lang w:val="en-GB"/>
        </w:rPr>
        <w:t xml:space="preserve"> on </w:t>
      </w:r>
      <w:r w:rsidR="00E7082A">
        <w:t xml:space="preserve">treatment </w:t>
      </w:r>
      <w:r w:rsidR="0001634D">
        <w:rPr>
          <w:lang w:val="en-GB"/>
        </w:rPr>
        <w:t xml:space="preserve">data </w:t>
      </w:r>
      <w:r w:rsidR="00E7082A">
        <w:t xml:space="preserve">in ICARIA-MM. The committee was aware that </w:t>
      </w:r>
      <w:r w:rsidR="0001634D">
        <w:rPr>
          <w:lang w:val="en-GB"/>
        </w:rPr>
        <w:t>because</w:t>
      </w:r>
      <w:r w:rsidR="00E7082A">
        <w:t xml:space="preserve"> the trial is ongoing, </w:t>
      </w:r>
      <w:r w:rsidR="005348AF">
        <w:rPr>
          <w:lang w:val="en-GB"/>
        </w:rPr>
        <w:t>some</w:t>
      </w:r>
      <w:r w:rsidR="00E7082A">
        <w:t xml:space="preserve"> people </w:t>
      </w:r>
      <w:r w:rsidR="0001634D">
        <w:rPr>
          <w:lang w:val="en-GB"/>
        </w:rPr>
        <w:t>were</w:t>
      </w:r>
      <w:r w:rsidR="00E7082A">
        <w:t xml:space="preserve"> on treatment at the time of the interim analysis</w:t>
      </w:r>
      <w:r w:rsidR="00062275">
        <w:rPr>
          <w:lang w:val="en-US"/>
        </w:rPr>
        <w:t xml:space="preserve"> (27.6% in the pomalidomide plus dexamethasone arm and 45.1% in the </w:t>
      </w:r>
      <w:proofErr w:type="spellStart"/>
      <w:r w:rsidR="00062275">
        <w:rPr>
          <w:lang w:val="en-US"/>
        </w:rPr>
        <w:t>isatuximab</w:t>
      </w:r>
      <w:proofErr w:type="spellEnd"/>
      <w:r w:rsidR="00062275">
        <w:rPr>
          <w:lang w:val="en-US"/>
        </w:rPr>
        <w:t xml:space="preserve"> plus pomalidomide and dexamethasone arm)</w:t>
      </w:r>
      <w:r w:rsidR="0001634D">
        <w:rPr>
          <w:lang w:val="en-GB"/>
        </w:rPr>
        <w:t>.</w:t>
      </w:r>
      <w:r w:rsidR="00150A75">
        <w:rPr>
          <w:lang w:val="en-GB"/>
        </w:rPr>
        <w:t xml:space="preserve"> </w:t>
      </w:r>
      <w:r w:rsidR="0001634D">
        <w:rPr>
          <w:lang w:val="en-GB"/>
        </w:rPr>
        <w:t>This</w:t>
      </w:r>
      <w:r w:rsidR="00E7082A">
        <w:t xml:space="preserve"> add</w:t>
      </w:r>
      <w:r w:rsidR="009E0F82">
        <w:rPr>
          <w:lang w:val="en-GB"/>
        </w:rPr>
        <w:t>ed</w:t>
      </w:r>
      <w:r w:rsidR="00E7082A">
        <w:t xml:space="preserve"> uncertainty to any extrapolation. The company chose an exponential model in its base case</w:t>
      </w:r>
      <w:r w:rsidR="005348AF">
        <w:rPr>
          <w:lang w:val="en-GB"/>
        </w:rPr>
        <w:t xml:space="preserve"> to estimate </w:t>
      </w:r>
      <w:r w:rsidR="00313042">
        <w:rPr>
          <w:lang w:val="en-GB"/>
        </w:rPr>
        <w:t>time on treatment</w:t>
      </w:r>
      <w:r w:rsidR="00E7082A">
        <w:t xml:space="preserve">. The ERG highlighted that alternative </w:t>
      </w:r>
      <w:r w:rsidR="009F3CC9">
        <w:rPr>
          <w:lang w:val="en-US"/>
        </w:rPr>
        <w:t>models</w:t>
      </w:r>
      <w:r w:rsidR="00E7082A">
        <w:t xml:space="preserve"> increased the </w:t>
      </w:r>
      <w:r w:rsidR="0001634D">
        <w:rPr>
          <w:lang w:val="en-GB"/>
        </w:rPr>
        <w:t>ICER</w:t>
      </w:r>
      <w:r w:rsidR="00E7082A">
        <w:t>. The committee considered that there was some uncertainty around the most plausible model to use to estimate time</w:t>
      </w:r>
      <w:r w:rsidR="00A377A8">
        <w:rPr>
          <w:lang w:val="en-US"/>
        </w:rPr>
        <w:t xml:space="preserve"> </w:t>
      </w:r>
      <w:r w:rsidR="00E7082A">
        <w:t>on treatment</w:t>
      </w:r>
      <w:r w:rsidR="00E7082A">
        <w:rPr>
          <w:lang w:val="en-US"/>
        </w:rPr>
        <w:t xml:space="preserve"> but </w:t>
      </w:r>
      <w:r w:rsidR="00053D9F">
        <w:rPr>
          <w:lang w:val="en-US"/>
        </w:rPr>
        <w:t>concluded</w:t>
      </w:r>
      <w:r w:rsidR="00E7082A">
        <w:rPr>
          <w:lang w:val="en-US"/>
        </w:rPr>
        <w:t xml:space="preserve"> </w:t>
      </w:r>
      <w:r w:rsidR="0001634D">
        <w:rPr>
          <w:lang w:val="en-US"/>
        </w:rPr>
        <w:t xml:space="preserve">that </w:t>
      </w:r>
      <w:r w:rsidR="00E7082A">
        <w:rPr>
          <w:lang w:val="en-US"/>
        </w:rPr>
        <w:t xml:space="preserve">the company’s choice </w:t>
      </w:r>
      <w:r w:rsidR="0001634D">
        <w:rPr>
          <w:lang w:val="en-US"/>
        </w:rPr>
        <w:t>was</w:t>
      </w:r>
      <w:r w:rsidR="00E7082A">
        <w:rPr>
          <w:lang w:val="en-US"/>
        </w:rPr>
        <w:t xml:space="preserve"> reasonable</w:t>
      </w:r>
      <w:r w:rsidR="00A377A8">
        <w:rPr>
          <w:lang w:val="en-US"/>
        </w:rPr>
        <w:t>, given the available data</w:t>
      </w:r>
      <w:r w:rsidR="00E7082A">
        <w:t>.</w:t>
      </w:r>
    </w:p>
    <w:p w14:paraId="3C0B6649" w14:textId="7A4E02A9" w:rsidR="006D073D" w:rsidRPr="006D073D" w:rsidRDefault="006D073D" w:rsidP="00CB196E">
      <w:pPr>
        <w:pStyle w:val="Heading3"/>
      </w:pPr>
      <w:r>
        <w:t xml:space="preserve">Including drug </w:t>
      </w:r>
      <w:r w:rsidRPr="006D073D">
        <w:t xml:space="preserve">wastage and treatment costs based on relative dose intensities in </w:t>
      </w:r>
      <w:r w:rsidRPr="003A48EF">
        <w:t>ICARIA-MM is appropriate</w:t>
      </w:r>
    </w:p>
    <w:p w14:paraId="53EFEABA" w14:textId="6D9A67FB" w:rsidR="00D122CA" w:rsidRDefault="00B92F4E" w:rsidP="00C91420">
      <w:pPr>
        <w:pStyle w:val="Numberedlevel2text"/>
      </w:pPr>
      <w:r>
        <w:rPr>
          <w:lang w:val="en-GB"/>
        </w:rPr>
        <w:t>I</w:t>
      </w:r>
      <w:r w:rsidRPr="00C91420">
        <w:t xml:space="preserve">n </w:t>
      </w:r>
      <w:r>
        <w:rPr>
          <w:lang w:val="en-GB"/>
        </w:rPr>
        <w:t>its</w:t>
      </w:r>
      <w:r w:rsidRPr="00C91420">
        <w:t xml:space="preserve"> base case</w:t>
      </w:r>
      <w:r>
        <w:rPr>
          <w:lang w:val="en-GB"/>
        </w:rPr>
        <w:t>,</w:t>
      </w:r>
      <w:r w:rsidRPr="00C91420">
        <w:t xml:space="preserve"> </w:t>
      </w:r>
      <w:proofErr w:type="spellStart"/>
      <w:r>
        <w:rPr>
          <w:lang w:val="en-GB"/>
        </w:rPr>
        <w:t>t</w:t>
      </w:r>
      <w:r w:rsidR="00764242" w:rsidRPr="00C91420">
        <w:t>he</w:t>
      </w:r>
      <w:proofErr w:type="spellEnd"/>
      <w:r w:rsidR="00764242" w:rsidRPr="00C91420">
        <w:t xml:space="preserve"> company</w:t>
      </w:r>
      <w:r w:rsidR="00CC2030" w:rsidRPr="00C91420">
        <w:t xml:space="preserve"> assumed drug wastage</w:t>
      </w:r>
      <w:r>
        <w:rPr>
          <w:lang w:val="en-GB"/>
        </w:rPr>
        <w:t xml:space="preserve"> for </w:t>
      </w:r>
      <w:proofErr w:type="spellStart"/>
      <w:r>
        <w:rPr>
          <w:lang w:val="en-GB"/>
        </w:rPr>
        <w:t>is</w:t>
      </w:r>
      <w:r w:rsidR="00414FDD">
        <w:rPr>
          <w:lang w:val="en-GB"/>
        </w:rPr>
        <w:t>a</w:t>
      </w:r>
      <w:r>
        <w:rPr>
          <w:lang w:val="en-GB"/>
        </w:rPr>
        <w:t>tuximab</w:t>
      </w:r>
      <w:proofErr w:type="spellEnd"/>
      <w:r w:rsidR="00CC2030" w:rsidRPr="00C91420">
        <w:t xml:space="preserve"> in line with previous NICE technology appraisal</w:t>
      </w:r>
      <w:r w:rsidR="00414FDD">
        <w:rPr>
          <w:lang w:val="en-GB"/>
        </w:rPr>
        <w:t xml:space="preserve"> guidance</w:t>
      </w:r>
      <w:r w:rsidR="00CC2030" w:rsidRPr="00C91420">
        <w:t xml:space="preserve"> in multiple myeloma. </w:t>
      </w:r>
      <w:r w:rsidR="00414FDD">
        <w:rPr>
          <w:lang w:val="en-GB"/>
        </w:rPr>
        <w:t>But</w:t>
      </w:r>
      <w:r>
        <w:rPr>
          <w:lang w:val="en-GB"/>
        </w:rPr>
        <w:t xml:space="preserve"> </w:t>
      </w:r>
      <w:proofErr w:type="spellStart"/>
      <w:r>
        <w:rPr>
          <w:lang w:val="en-GB"/>
        </w:rPr>
        <w:t>t</w:t>
      </w:r>
      <w:r w:rsidR="00CC2030" w:rsidRPr="00C91420">
        <w:t>he</w:t>
      </w:r>
      <w:proofErr w:type="spellEnd"/>
      <w:r w:rsidR="00CC2030" w:rsidRPr="00C91420">
        <w:t xml:space="preserve"> company </w:t>
      </w:r>
      <w:r w:rsidR="00414FDD">
        <w:rPr>
          <w:lang w:val="en-GB"/>
        </w:rPr>
        <w:t xml:space="preserve">also </w:t>
      </w:r>
      <w:r w:rsidR="00CC2030" w:rsidRPr="00C91420">
        <w:t xml:space="preserve">stated that </w:t>
      </w:r>
      <w:r w:rsidR="00053D9F">
        <w:rPr>
          <w:lang w:val="en-GB"/>
        </w:rPr>
        <w:t>there</w:t>
      </w:r>
      <w:r w:rsidR="00053D9F" w:rsidRPr="00C91420">
        <w:t xml:space="preserve"> </w:t>
      </w:r>
      <w:r w:rsidR="00053D9F">
        <w:rPr>
          <w:lang w:val="en-GB"/>
        </w:rPr>
        <w:t>is</w:t>
      </w:r>
      <w:r w:rsidR="00053D9F" w:rsidRPr="00C91420">
        <w:t xml:space="preserve"> </w:t>
      </w:r>
      <w:r w:rsidR="00CC2030" w:rsidRPr="00C91420">
        <w:t>potential for vial sharing, which could reduce drug wastage</w:t>
      </w:r>
      <w:r w:rsidR="00475BBE" w:rsidRPr="00C91420">
        <w:t xml:space="preserve">. The ERG modelled a scenario </w:t>
      </w:r>
      <w:r w:rsidR="00053D9F">
        <w:rPr>
          <w:lang w:val="en-GB"/>
        </w:rPr>
        <w:t xml:space="preserve">without </w:t>
      </w:r>
      <w:r w:rsidR="00475BBE" w:rsidRPr="00C91420">
        <w:t xml:space="preserve">drug wastage to highlight the impact on the ICER, while noting this </w:t>
      </w:r>
      <w:proofErr w:type="spellStart"/>
      <w:r w:rsidR="00403C13">
        <w:rPr>
          <w:lang w:val="en-GB"/>
        </w:rPr>
        <w:t>w</w:t>
      </w:r>
      <w:r w:rsidR="00414FDD">
        <w:rPr>
          <w:lang w:val="en-GB"/>
        </w:rPr>
        <w:t>a</w:t>
      </w:r>
      <w:proofErr w:type="spellEnd"/>
      <w:r w:rsidR="001F6E05">
        <w:rPr>
          <w:lang w:val="en-US"/>
        </w:rPr>
        <w:t>s</w:t>
      </w:r>
      <w:r w:rsidR="00475BBE" w:rsidRPr="00C91420">
        <w:t xml:space="preserve"> unlikely </w:t>
      </w:r>
      <w:r w:rsidR="001F6E05">
        <w:rPr>
          <w:lang w:val="en-US"/>
        </w:rPr>
        <w:t>in clinical practice</w:t>
      </w:r>
      <w:r w:rsidR="00475BBE" w:rsidRPr="00C91420">
        <w:t xml:space="preserve">. </w:t>
      </w:r>
      <w:r w:rsidR="00FD4B1A" w:rsidRPr="00C91420">
        <w:t xml:space="preserve">The </w:t>
      </w:r>
      <w:r w:rsidR="00BB4454">
        <w:rPr>
          <w:lang w:val="en-GB"/>
        </w:rPr>
        <w:t xml:space="preserve">Cancer Drugs Fund </w:t>
      </w:r>
      <w:r w:rsidR="00053D9F">
        <w:rPr>
          <w:lang w:val="en-GB"/>
        </w:rPr>
        <w:t xml:space="preserve">clinical lead </w:t>
      </w:r>
      <w:r w:rsidR="00CD173F">
        <w:rPr>
          <w:lang w:val="en-GB"/>
        </w:rPr>
        <w:t>confirmed</w:t>
      </w:r>
      <w:r w:rsidR="00FD4B1A" w:rsidRPr="00C91420">
        <w:t xml:space="preserve"> that drug wastage </w:t>
      </w:r>
      <w:r w:rsidR="00CD173F">
        <w:rPr>
          <w:lang w:val="en-GB"/>
        </w:rPr>
        <w:t>was likely</w:t>
      </w:r>
      <w:r w:rsidR="00053D9F">
        <w:rPr>
          <w:lang w:val="en-GB"/>
        </w:rPr>
        <w:t>, particularly i</w:t>
      </w:r>
      <w:r w:rsidR="009E0F82">
        <w:rPr>
          <w:lang w:val="en-GB"/>
        </w:rPr>
        <w:t>f</w:t>
      </w:r>
      <w:r w:rsidR="00053D9F">
        <w:rPr>
          <w:lang w:val="en-GB"/>
        </w:rPr>
        <w:t xml:space="preserve"> treatments are not widely </w:t>
      </w:r>
      <w:r w:rsidR="00150A75">
        <w:rPr>
          <w:lang w:val="en-GB"/>
        </w:rPr>
        <w:t>used</w:t>
      </w:r>
      <w:r w:rsidR="00C25E28" w:rsidRPr="00C91420">
        <w:t>.</w:t>
      </w:r>
      <w:r w:rsidR="00A556C7" w:rsidRPr="00C91420">
        <w:t xml:space="preserve"> The ERG noted that the relative dose intensity</w:t>
      </w:r>
      <w:r w:rsidR="00112652">
        <w:rPr>
          <w:lang w:val="en-US"/>
        </w:rPr>
        <w:t>, that is the ratio of the given dose to the planned dose,</w:t>
      </w:r>
      <w:r w:rsidR="00A556C7" w:rsidRPr="00C91420">
        <w:t xml:space="preserve"> of pomalidomide was lower in the </w:t>
      </w:r>
      <w:proofErr w:type="spellStart"/>
      <w:r w:rsidR="00A556C7" w:rsidRPr="00C91420">
        <w:t>isatuximab</w:t>
      </w:r>
      <w:proofErr w:type="spellEnd"/>
      <w:r w:rsidR="00A556C7" w:rsidRPr="00C91420">
        <w:t xml:space="preserve"> plus pomalidomide </w:t>
      </w:r>
      <w:r w:rsidR="00C936EA">
        <w:rPr>
          <w:lang w:val="en-GB"/>
        </w:rPr>
        <w:t>and</w:t>
      </w:r>
      <w:r w:rsidR="00A556C7" w:rsidRPr="00C91420">
        <w:t xml:space="preserve"> dexamethasone arm than </w:t>
      </w:r>
      <w:r w:rsidR="00C936EA">
        <w:rPr>
          <w:lang w:val="en-GB"/>
        </w:rPr>
        <w:t xml:space="preserve">in </w:t>
      </w:r>
      <w:r w:rsidR="00A556C7" w:rsidRPr="00C91420">
        <w:t>the pomalidomide plus dexamethasone arm</w:t>
      </w:r>
      <w:r w:rsidR="007B7249">
        <w:rPr>
          <w:lang w:val="en-US"/>
        </w:rPr>
        <w:t xml:space="preserve"> in ICARIA-MM</w:t>
      </w:r>
      <w:r w:rsidR="00A556C7" w:rsidRPr="00C91420">
        <w:t xml:space="preserve">. </w:t>
      </w:r>
      <w:r w:rsidR="0074435A">
        <w:rPr>
          <w:lang w:val="en-GB"/>
        </w:rPr>
        <w:t>It</w:t>
      </w:r>
      <w:r w:rsidR="00C25E28" w:rsidRPr="00C91420">
        <w:t xml:space="preserve"> modelled </w:t>
      </w:r>
      <w:r w:rsidR="00A556C7" w:rsidRPr="00C91420">
        <w:t xml:space="preserve">a scenario which assumed 100% relative dose intensities in both treatment </w:t>
      </w:r>
      <w:r w:rsidR="00A556C7" w:rsidRPr="00C91420">
        <w:lastRenderedPageBreak/>
        <w:t>arms to highlight the impact on the ICER. The company explained that the differences in the relative dose intensit</w:t>
      </w:r>
      <w:r w:rsidR="00517345" w:rsidRPr="00C91420">
        <w:t>ies of pomalidomide</w:t>
      </w:r>
      <w:r w:rsidR="00A556C7" w:rsidRPr="00C91420">
        <w:t xml:space="preserve"> between trial arms resulted from </w:t>
      </w:r>
      <w:r w:rsidR="00053D9F">
        <w:rPr>
          <w:lang w:val="en-GB"/>
        </w:rPr>
        <w:t xml:space="preserve">the trial allowing </w:t>
      </w:r>
      <w:r w:rsidR="00517345" w:rsidRPr="00C91420">
        <w:t>dose reductions of pomalidomide</w:t>
      </w:r>
      <w:r w:rsidR="00053D9F">
        <w:rPr>
          <w:lang w:val="en-GB"/>
        </w:rPr>
        <w:t>,</w:t>
      </w:r>
      <w:r w:rsidR="00517345" w:rsidRPr="00C91420">
        <w:t xml:space="preserve"> </w:t>
      </w:r>
      <w:r w:rsidR="00053D9F">
        <w:rPr>
          <w:lang w:val="en-GB"/>
        </w:rPr>
        <w:t>but</w:t>
      </w:r>
      <w:r w:rsidR="00517345" w:rsidRPr="00C91420">
        <w:t xml:space="preserve"> only </w:t>
      </w:r>
      <w:r w:rsidR="00C936EA">
        <w:rPr>
          <w:lang w:val="en-GB"/>
        </w:rPr>
        <w:t xml:space="preserve">missed </w:t>
      </w:r>
      <w:r w:rsidR="00517345" w:rsidRPr="00C91420">
        <w:t>dose</w:t>
      </w:r>
      <w:r w:rsidR="00C936EA">
        <w:rPr>
          <w:lang w:val="en-GB"/>
        </w:rPr>
        <w:t>s</w:t>
      </w:r>
      <w:r w:rsidR="00517345" w:rsidRPr="00C91420">
        <w:t xml:space="preserve"> of </w:t>
      </w:r>
      <w:proofErr w:type="spellStart"/>
      <w:r w:rsidR="00517345" w:rsidRPr="00C91420">
        <w:t>isatuximab</w:t>
      </w:r>
      <w:proofErr w:type="spellEnd"/>
      <w:r w:rsidR="00517345" w:rsidRPr="00C91420">
        <w:t xml:space="preserve">. </w:t>
      </w:r>
      <w:r w:rsidR="00475BBE" w:rsidRPr="00C91420">
        <w:t xml:space="preserve">The committee </w:t>
      </w:r>
      <w:r w:rsidR="00FD4B1A" w:rsidRPr="00C91420">
        <w:t xml:space="preserve">concluded that </w:t>
      </w:r>
      <w:r>
        <w:rPr>
          <w:lang w:val="en-GB"/>
        </w:rPr>
        <w:t xml:space="preserve">drug wastage occurs, and </w:t>
      </w:r>
      <w:r w:rsidR="00FD4B1A" w:rsidRPr="00C91420">
        <w:t xml:space="preserve">the </w:t>
      </w:r>
      <w:r w:rsidR="00C25E28" w:rsidRPr="00C91420">
        <w:t xml:space="preserve">company’s </w:t>
      </w:r>
      <w:r w:rsidR="00FD4B1A" w:rsidRPr="00C91420">
        <w:t>base case</w:t>
      </w:r>
      <w:r w:rsidR="00B44777">
        <w:rPr>
          <w:lang w:val="en-US"/>
        </w:rPr>
        <w:t xml:space="preserve"> drug wastage</w:t>
      </w:r>
      <w:r w:rsidR="00810AD6">
        <w:rPr>
          <w:lang w:val="en-US"/>
        </w:rPr>
        <w:t xml:space="preserve"> </w:t>
      </w:r>
      <w:r w:rsidR="00C25E28" w:rsidRPr="00C91420">
        <w:t xml:space="preserve">and relative dose intensity </w:t>
      </w:r>
      <w:r w:rsidR="00FD4B1A" w:rsidRPr="00C91420">
        <w:t xml:space="preserve">assumptions </w:t>
      </w:r>
      <w:r w:rsidR="009E0F82">
        <w:rPr>
          <w:lang w:val="en-GB"/>
        </w:rPr>
        <w:t>were</w:t>
      </w:r>
      <w:r w:rsidR="00C25E28" w:rsidRPr="00C91420">
        <w:t xml:space="preserve"> appropriate</w:t>
      </w:r>
      <w:r w:rsidR="00C25E28">
        <w:t>.</w:t>
      </w:r>
    </w:p>
    <w:p w14:paraId="61E75C93" w14:textId="2AB21999" w:rsidR="006D073D" w:rsidRDefault="006D073D" w:rsidP="00F74C3D">
      <w:pPr>
        <w:pStyle w:val="Heading2"/>
      </w:pPr>
      <w:r>
        <w:t>Waning of treatment effect</w:t>
      </w:r>
    </w:p>
    <w:p w14:paraId="763F4F3E" w14:textId="41913EF0" w:rsidR="006D073D" w:rsidRDefault="00B92F4E" w:rsidP="006D073D">
      <w:pPr>
        <w:pStyle w:val="Heading3"/>
      </w:pPr>
      <w:r>
        <w:t>The model should include w</w:t>
      </w:r>
      <w:r w:rsidR="006D073D">
        <w:t xml:space="preserve">aning of the </w:t>
      </w:r>
      <w:r w:rsidR="001A7788">
        <w:t xml:space="preserve">treatment </w:t>
      </w:r>
      <w:r w:rsidR="006D073D">
        <w:t xml:space="preserve">effect of </w:t>
      </w:r>
      <w:proofErr w:type="spellStart"/>
      <w:r w:rsidR="006D073D">
        <w:t>isatuximab</w:t>
      </w:r>
      <w:proofErr w:type="spellEnd"/>
      <w:r w:rsidR="006D073D">
        <w:t xml:space="preserve"> plus pomalidomide </w:t>
      </w:r>
      <w:r w:rsidR="001A7788">
        <w:t>and</w:t>
      </w:r>
      <w:r w:rsidR="006D073D">
        <w:t xml:space="preserve"> dexamethasone</w:t>
      </w:r>
    </w:p>
    <w:p w14:paraId="53AEA601" w14:textId="338A62F0" w:rsidR="006D073D" w:rsidRPr="004D5774" w:rsidRDefault="006D073D" w:rsidP="006D073D">
      <w:pPr>
        <w:pStyle w:val="Numberedlevel2text"/>
      </w:pPr>
      <w:r>
        <w:t>The company</w:t>
      </w:r>
      <w:r w:rsidR="001A7788">
        <w:rPr>
          <w:lang w:val="en-GB"/>
        </w:rPr>
        <w:t>’s</w:t>
      </w:r>
      <w:r w:rsidR="00B92F4E">
        <w:rPr>
          <w:lang w:val="en-GB"/>
        </w:rPr>
        <w:t xml:space="preserve"> </w:t>
      </w:r>
      <w:r>
        <w:t xml:space="preserve">model assumed that the relative survival benefit of </w:t>
      </w:r>
      <w:proofErr w:type="spellStart"/>
      <w:r>
        <w:rPr>
          <w:lang w:val="en-US"/>
        </w:rPr>
        <w:t>isatuximab</w:t>
      </w:r>
      <w:proofErr w:type="spellEnd"/>
      <w:r>
        <w:rPr>
          <w:lang w:val="en-US"/>
        </w:rPr>
        <w:t xml:space="preserve"> plus pomalidomide </w:t>
      </w:r>
      <w:r w:rsidR="001A7788">
        <w:rPr>
          <w:lang w:val="en-US"/>
        </w:rPr>
        <w:t>and</w:t>
      </w:r>
      <w:r>
        <w:rPr>
          <w:lang w:val="en-US"/>
        </w:rPr>
        <w:t xml:space="preserve"> dexamethasone</w:t>
      </w:r>
      <w:r>
        <w:t xml:space="preserve">, compared with </w:t>
      </w:r>
      <w:r>
        <w:rPr>
          <w:lang w:val="en-US"/>
        </w:rPr>
        <w:t>pomalidomide</w:t>
      </w:r>
      <w:r>
        <w:t xml:space="preserve"> plus dexamethasone, was maintained at the same level after treatment stopped, for the rest of a p</w:t>
      </w:r>
      <w:r w:rsidR="003E42A7">
        <w:rPr>
          <w:lang w:val="en-GB"/>
        </w:rPr>
        <w:t>erson</w:t>
      </w:r>
      <w:r>
        <w:t>'s life</w:t>
      </w:r>
      <w:r>
        <w:rPr>
          <w:lang w:val="en-US"/>
        </w:rPr>
        <w:t xml:space="preserve">. </w:t>
      </w:r>
      <w:r w:rsidR="00AB30B3">
        <w:rPr>
          <w:lang w:val="en-US"/>
        </w:rPr>
        <w:t xml:space="preserve">This meant that </w:t>
      </w:r>
      <w:r w:rsidR="009A3919">
        <w:rPr>
          <w:lang w:val="en-US"/>
        </w:rPr>
        <w:t>p</w:t>
      </w:r>
      <w:r w:rsidR="003E42A7">
        <w:rPr>
          <w:lang w:val="en-US"/>
        </w:rPr>
        <w:t>eople</w:t>
      </w:r>
      <w:r w:rsidR="009A3919">
        <w:rPr>
          <w:lang w:val="en-US"/>
        </w:rPr>
        <w:t xml:space="preserve"> who survived </w:t>
      </w:r>
      <w:r w:rsidR="00AB30B3">
        <w:rPr>
          <w:lang w:val="en-US"/>
        </w:rPr>
        <w:t xml:space="preserve">long term were assumed to have a much lower risk of death </w:t>
      </w:r>
      <w:r w:rsidR="004C656D">
        <w:rPr>
          <w:lang w:val="en-US"/>
        </w:rPr>
        <w:t xml:space="preserve">in the </w:t>
      </w:r>
      <w:proofErr w:type="spellStart"/>
      <w:r w:rsidR="004C656D">
        <w:rPr>
          <w:lang w:val="en-US"/>
        </w:rPr>
        <w:t>isatuximab</w:t>
      </w:r>
      <w:proofErr w:type="spellEnd"/>
      <w:r w:rsidR="004C656D">
        <w:rPr>
          <w:lang w:val="en-US"/>
        </w:rPr>
        <w:t xml:space="preserve"> </w:t>
      </w:r>
      <w:r w:rsidR="003E42A7">
        <w:rPr>
          <w:lang w:val="en-US"/>
        </w:rPr>
        <w:t>plus pomalidomide and dexamethasone</w:t>
      </w:r>
      <w:r w:rsidR="003E42A7">
        <w:t xml:space="preserve"> </w:t>
      </w:r>
      <w:r w:rsidR="004C656D">
        <w:rPr>
          <w:lang w:val="en-US"/>
        </w:rPr>
        <w:t xml:space="preserve">arm </w:t>
      </w:r>
      <w:r w:rsidR="00AA4E3B">
        <w:rPr>
          <w:lang w:val="en-US"/>
        </w:rPr>
        <w:t xml:space="preserve">than </w:t>
      </w:r>
      <w:r w:rsidR="00AB30B3">
        <w:rPr>
          <w:lang w:val="en-US"/>
        </w:rPr>
        <w:t xml:space="preserve">in the </w:t>
      </w:r>
      <w:r w:rsidR="00F945E1">
        <w:rPr>
          <w:lang w:val="en-US"/>
        </w:rPr>
        <w:t>pomalidomide plus dexamethasone</w:t>
      </w:r>
      <w:r w:rsidR="00AA4E3B">
        <w:rPr>
          <w:lang w:val="en-US"/>
        </w:rPr>
        <w:t xml:space="preserve"> arm</w:t>
      </w:r>
      <w:r>
        <w:rPr>
          <w:lang w:val="en-US"/>
        </w:rPr>
        <w:t xml:space="preserve">. </w:t>
      </w:r>
      <w:r w:rsidR="00B92F4E">
        <w:rPr>
          <w:lang w:val="en-US"/>
        </w:rPr>
        <w:t>The company did not include a treatment waning effect</w:t>
      </w:r>
      <w:r w:rsidR="001F16A0">
        <w:rPr>
          <w:lang w:val="en-US"/>
        </w:rPr>
        <w:t>, but</w:t>
      </w:r>
      <w:r>
        <w:rPr>
          <w:lang w:val="en-US"/>
        </w:rPr>
        <w:t xml:space="preserve"> tested for proportional hazards</w:t>
      </w:r>
      <w:r w:rsidR="001A7788">
        <w:rPr>
          <w:lang w:val="en-US"/>
        </w:rPr>
        <w:t>,</w:t>
      </w:r>
      <w:r>
        <w:rPr>
          <w:lang w:val="en-US"/>
        </w:rPr>
        <w:t xml:space="preserve"> </w:t>
      </w:r>
      <w:r w:rsidR="00B92F4E">
        <w:rPr>
          <w:lang w:val="en-US"/>
        </w:rPr>
        <w:t>which</w:t>
      </w:r>
      <w:r>
        <w:rPr>
          <w:lang w:val="en-US"/>
        </w:rPr>
        <w:t xml:space="preserve"> the trial data supported</w:t>
      </w:r>
      <w:r w:rsidR="001A7788">
        <w:rPr>
          <w:lang w:val="en-US"/>
        </w:rPr>
        <w:t>.</w:t>
      </w:r>
      <w:r w:rsidR="00B329C7">
        <w:rPr>
          <w:lang w:val="en-US"/>
        </w:rPr>
        <w:t xml:space="preserve"> </w:t>
      </w:r>
      <w:r w:rsidR="001A7788">
        <w:rPr>
          <w:lang w:val="en-US"/>
        </w:rPr>
        <w:t>H</w:t>
      </w:r>
      <w:proofErr w:type="spellStart"/>
      <w:r>
        <w:t>owever</w:t>
      </w:r>
      <w:proofErr w:type="spellEnd"/>
      <w:r>
        <w:t xml:space="preserve">, the proportional hazards assumption </w:t>
      </w:r>
      <w:proofErr w:type="spellStart"/>
      <w:r w:rsidR="001A7788">
        <w:rPr>
          <w:lang w:val="en-GB"/>
        </w:rPr>
        <w:t>wa</w:t>
      </w:r>
      <w:proofErr w:type="spellEnd"/>
      <w:r>
        <w:t>s</w:t>
      </w:r>
      <w:r>
        <w:rPr>
          <w:lang w:val="en-US"/>
        </w:rPr>
        <w:t xml:space="preserve"> </w:t>
      </w:r>
      <w:r w:rsidR="00B329C7">
        <w:rPr>
          <w:lang w:val="en-US"/>
        </w:rPr>
        <w:t>supported only</w:t>
      </w:r>
      <w:r>
        <w:t xml:space="preserve"> for </w:t>
      </w:r>
      <w:r>
        <w:rPr>
          <w:lang w:val="en-US"/>
        </w:rPr>
        <w:t>the</w:t>
      </w:r>
      <w:r>
        <w:t xml:space="preserve"> </w:t>
      </w:r>
      <w:r w:rsidR="00B329C7">
        <w:rPr>
          <w:lang w:val="en-GB"/>
        </w:rPr>
        <w:t>observed</w:t>
      </w:r>
      <w:r w:rsidR="00B329C7">
        <w:t xml:space="preserve"> </w:t>
      </w:r>
      <w:r>
        <w:t>trial follow</w:t>
      </w:r>
      <w:r w:rsidR="001A7788">
        <w:rPr>
          <w:lang w:val="en-GB"/>
        </w:rPr>
        <w:t xml:space="preserve"> </w:t>
      </w:r>
      <w:r>
        <w:t>up period</w:t>
      </w:r>
      <w:r w:rsidR="001A7788">
        <w:rPr>
          <w:lang w:val="en-GB"/>
        </w:rPr>
        <w:t>,</w:t>
      </w:r>
      <w:r>
        <w:t xml:space="preserve"> </w:t>
      </w:r>
      <w:r w:rsidR="00B329C7">
        <w:rPr>
          <w:lang w:val="en-GB"/>
        </w:rPr>
        <w:t>with</w:t>
      </w:r>
      <w:r>
        <w:t xml:space="preserve"> no evidence about what happens after this. The committee was aware that </w:t>
      </w:r>
      <w:r>
        <w:rPr>
          <w:lang w:val="en-US"/>
        </w:rPr>
        <w:t>neither</w:t>
      </w:r>
      <w:r>
        <w:t xml:space="preserve"> the company </w:t>
      </w:r>
      <w:r w:rsidR="00B329C7">
        <w:rPr>
          <w:lang w:val="en-GB"/>
        </w:rPr>
        <w:t>n</w:t>
      </w:r>
      <w:r>
        <w:rPr>
          <w:lang w:val="en-US"/>
        </w:rPr>
        <w:t>or the</w:t>
      </w:r>
      <w:r>
        <w:t xml:space="preserve"> ERG had modelled scenarios in which the treatment benefit in the extrapolated phase diminishe</w:t>
      </w:r>
      <w:r w:rsidR="00B329C7">
        <w:rPr>
          <w:lang w:val="en-GB"/>
        </w:rPr>
        <w:t>s</w:t>
      </w:r>
      <w:r>
        <w:t xml:space="preserve"> in the long term</w:t>
      </w:r>
      <w:r>
        <w:rPr>
          <w:lang w:val="en-US"/>
        </w:rPr>
        <w:t xml:space="preserve">. </w:t>
      </w:r>
      <w:r>
        <w:t xml:space="preserve">The </w:t>
      </w:r>
      <w:r>
        <w:rPr>
          <w:lang w:val="en-US"/>
        </w:rPr>
        <w:t xml:space="preserve">clinical experts explained that it </w:t>
      </w:r>
      <w:r w:rsidR="00172B9C">
        <w:rPr>
          <w:lang w:val="en-US"/>
        </w:rPr>
        <w:t>wa</w:t>
      </w:r>
      <w:r>
        <w:rPr>
          <w:lang w:val="en-US"/>
        </w:rPr>
        <w:t xml:space="preserve">s plausible for </w:t>
      </w:r>
      <w:proofErr w:type="spellStart"/>
      <w:r>
        <w:rPr>
          <w:lang w:val="en-US"/>
        </w:rPr>
        <w:t>isatuximab</w:t>
      </w:r>
      <w:proofErr w:type="spellEnd"/>
      <w:r>
        <w:rPr>
          <w:lang w:val="en-US"/>
        </w:rPr>
        <w:t xml:space="preserve"> plus pomalidomide </w:t>
      </w:r>
      <w:r w:rsidR="001A7788">
        <w:rPr>
          <w:lang w:val="en-US"/>
        </w:rPr>
        <w:t>and</w:t>
      </w:r>
      <w:r>
        <w:rPr>
          <w:lang w:val="en-US"/>
        </w:rPr>
        <w:t xml:space="preserve"> dexamethasone to have </w:t>
      </w:r>
      <w:r w:rsidR="00B329C7">
        <w:rPr>
          <w:lang w:val="en-US"/>
        </w:rPr>
        <w:t xml:space="preserve">some </w:t>
      </w:r>
      <w:r>
        <w:rPr>
          <w:lang w:val="en-US"/>
        </w:rPr>
        <w:t xml:space="preserve">treatment benefit that continues after stopping treatment, although it may not be maintained at the same </w:t>
      </w:r>
      <w:r w:rsidR="001A7788">
        <w:rPr>
          <w:lang w:val="en-US"/>
        </w:rPr>
        <w:t>level</w:t>
      </w:r>
      <w:r w:rsidR="00B329C7">
        <w:rPr>
          <w:lang w:val="en-US"/>
        </w:rPr>
        <w:t xml:space="preserve"> </w:t>
      </w:r>
      <w:r>
        <w:rPr>
          <w:lang w:val="en-US"/>
        </w:rPr>
        <w:t xml:space="preserve">for the rest of </w:t>
      </w:r>
      <w:r w:rsidR="003E42A7">
        <w:rPr>
          <w:lang w:val="en-US"/>
        </w:rPr>
        <w:t>a</w:t>
      </w:r>
      <w:r>
        <w:rPr>
          <w:lang w:val="en-US"/>
        </w:rPr>
        <w:t xml:space="preserve"> p</w:t>
      </w:r>
      <w:r w:rsidR="003E42A7">
        <w:rPr>
          <w:lang w:val="en-US"/>
        </w:rPr>
        <w:t>erson</w:t>
      </w:r>
      <w:r>
        <w:rPr>
          <w:lang w:val="en-US"/>
        </w:rPr>
        <w:t xml:space="preserve">’s life. </w:t>
      </w:r>
      <w:r w:rsidR="00B329C7">
        <w:rPr>
          <w:lang w:val="en-US"/>
        </w:rPr>
        <w:t>The committee heard that t</w:t>
      </w:r>
      <w:r>
        <w:rPr>
          <w:lang w:val="en-US"/>
        </w:rPr>
        <w:t xml:space="preserve">he point at which the relative treatment benefit starts to diminish is unknown. </w:t>
      </w:r>
      <w:r w:rsidR="001A7788">
        <w:rPr>
          <w:lang w:val="en-US"/>
        </w:rPr>
        <w:t>It</w:t>
      </w:r>
      <w:r>
        <w:rPr>
          <w:lang w:val="en-US"/>
        </w:rPr>
        <w:t xml:space="preserve"> accepted the </w:t>
      </w:r>
      <w:r w:rsidR="001A7788">
        <w:rPr>
          <w:lang w:val="en-US"/>
        </w:rPr>
        <w:t xml:space="preserve">clinical experts’ </w:t>
      </w:r>
      <w:r>
        <w:rPr>
          <w:lang w:val="en-US"/>
        </w:rPr>
        <w:t xml:space="preserve">comments </w:t>
      </w:r>
      <w:r w:rsidR="009A6A16">
        <w:rPr>
          <w:lang w:val="en-US"/>
        </w:rPr>
        <w:t>but</w:t>
      </w:r>
      <w:r>
        <w:rPr>
          <w:lang w:val="en-US"/>
        </w:rPr>
        <w:t xml:space="preserve"> acknowledged that it had not been presented with evidence to judge the duration of </w:t>
      </w:r>
      <w:proofErr w:type="spellStart"/>
      <w:r>
        <w:rPr>
          <w:lang w:val="en-US"/>
        </w:rPr>
        <w:t>isatuximab’s</w:t>
      </w:r>
      <w:proofErr w:type="spellEnd"/>
      <w:r>
        <w:rPr>
          <w:lang w:val="en-US"/>
        </w:rPr>
        <w:t xml:space="preserve"> continu</w:t>
      </w:r>
      <w:r w:rsidR="001A7788">
        <w:rPr>
          <w:lang w:val="en-US"/>
        </w:rPr>
        <w:t>ed</w:t>
      </w:r>
      <w:r w:rsidR="00B329C7">
        <w:rPr>
          <w:lang w:val="en-US"/>
        </w:rPr>
        <w:t xml:space="preserve"> and undiminished</w:t>
      </w:r>
      <w:r>
        <w:rPr>
          <w:lang w:val="en-US"/>
        </w:rPr>
        <w:t xml:space="preserve"> effect. </w:t>
      </w:r>
      <w:r w:rsidR="00B329C7">
        <w:rPr>
          <w:lang w:val="en-US"/>
        </w:rPr>
        <w:t xml:space="preserve">It </w:t>
      </w:r>
      <w:r>
        <w:rPr>
          <w:lang w:val="en-US"/>
        </w:rPr>
        <w:t xml:space="preserve">acknowledged that the duration of the relative benefit of </w:t>
      </w:r>
      <w:proofErr w:type="spellStart"/>
      <w:r>
        <w:rPr>
          <w:lang w:val="en-US"/>
        </w:rPr>
        <w:t>isatuximab</w:t>
      </w:r>
      <w:proofErr w:type="spellEnd"/>
      <w:r>
        <w:rPr>
          <w:lang w:val="en-US"/>
        </w:rPr>
        <w:t xml:space="preserve"> plus </w:t>
      </w:r>
      <w:r>
        <w:rPr>
          <w:lang w:val="en-US"/>
        </w:rPr>
        <w:lastRenderedPageBreak/>
        <w:t xml:space="preserve">pomalidomide </w:t>
      </w:r>
      <w:r w:rsidR="001A7788">
        <w:rPr>
          <w:lang w:val="en-US"/>
        </w:rPr>
        <w:t>and</w:t>
      </w:r>
      <w:r>
        <w:rPr>
          <w:lang w:val="en-US"/>
        </w:rPr>
        <w:t xml:space="preserve"> dexamethasone after stopping treatment </w:t>
      </w:r>
      <w:r w:rsidR="00172B9C">
        <w:rPr>
          <w:lang w:val="en-US"/>
        </w:rPr>
        <w:t>wa</w:t>
      </w:r>
      <w:r>
        <w:rPr>
          <w:lang w:val="en-US"/>
        </w:rPr>
        <w:t>s uncertain</w:t>
      </w:r>
      <w:r w:rsidR="003E42A7">
        <w:rPr>
          <w:lang w:val="en-US"/>
        </w:rPr>
        <w:t>. B</w:t>
      </w:r>
      <w:r>
        <w:rPr>
          <w:lang w:val="en-US"/>
        </w:rPr>
        <w:t xml:space="preserve">ut, based on the comments from the clinical experts, </w:t>
      </w:r>
      <w:proofErr w:type="spellStart"/>
      <w:r w:rsidR="001A7788">
        <w:rPr>
          <w:lang w:val="en-US"/>
        </w:rPr>
        <w:t>isatuximab’s</w:t>
      </w:r>
      <w:proofErr w:type="spellEnd"/>
      <w:r>
        <w:rPr>
          <w:lang w:val="en-US"/>
        </w:rPr>
        <w:t xml:space="preserve"> survival benefit w</w:t>
      </w:r>
      <w:r w:rsidR="00E02465">
        <w:rPr>
          <w:lang w:val="en-US"/>
        </w:rPr>
        <w:t>as</w:t>
      </w:r>
      <w:r>
        <w:rPr>
          <w:lang w:val="en-US"/>
        </w:rPr>
        <w:t xml:space="preserve"> </w:t>
      </w:r>
      <w:r w:rsidR="00B14752">
        <w:rPr>
          <w:lang w:val="en-US"/>
        </w:rPr>
        <w:t>unlikely</w:t>
      </w:r>
      <w:r w:rsidR="00E02465">
        <w:rPr>
          <w:lang w:val="en-US"/>
        </w:rPr>
        <w:t xml:space="preserve"> to</w:t>
      </w:r>
      <w:r w:rsidR="00B14752">
        <w:rPr>
          <w:lang w:val="en-US"/>
        </w:rPr>
        <w:t xml:space="preserve"> </w:t>
      </w:r>
      <w:r>
        <w:rPr>
          <w:lang w:val="en-US"/>
        </w:rPr>
        <w:t xml:space="preserve">continue for </w:t>
      </w:r>
      <w:r w:rsidR="003E42A7">
        <w:rPr>
          <w:lang w:val="en-US"/>
        </w:rPr>
        <w:t>a</w:t>
      </w:r>
      <w:r>
        <w:rPr>
          <w:lang w:val="en-US"/>
        </w:rPr>
        <w:t xml:space="preserve"> p</w:t>
      </w:r>
      <w:r w:rsidR="003E42A7">
        <w:rPr>
          <w:lang w:val="en-US"/>
        </w:rPr>
        <w:t>erson’s</w:t>
      </w:r>
      <w:r>
        <w:rPr>
          <w:lang w:val="en-US"/>
        </w:rPr>
        <w:t xml:space="preserve"> lifetime.</w:t>
      </w:r>
      <w:r w:rsidR="009D00FE">
        <w:rPr>
          <w:lang w:val="en-US"/>
        </w:rPr>
        <w:t xml:space="preserve"> The committee would welcome a scenario that includes </w:t>
      </w:r>
      <w:proofErr w:type="spellStart"/>
      <w:r w:rsidR="009D00FE">
        <w:rPr>
          <w:lang w:val="en-US"/>
        </w:rPr>
        <w:t>equali</w:t>
      </w:r>
      <w:r w:rsidR="00CC58E0">
        <w:rPr>
          <w:lang w:val="en-US"/>
        </w:rPr>
        <w:t>s</w:t>
      </w:r>
      <w:r w:rsidR="009D00FE">
        <w:rPr>
          <w:lang w:val="en-US"/>
        </w:rPr>
        <w:t>ed</w:t>
      </w:r>
      <w:proofErr w:type="spellEnd"/>
      <w:r w:rsidR="009D00FE">
        <w:rPr>
          <w:lang w:val="en-US"/>
        </w:rPr>
        <w:t xml:space="preserve"> hazard rat</w:t>
      </w:r>
      <w:r w:rsidR="00CC58E0">
        <w:rPr>
          <w:lang w:val="en-US"/>
        </w:rPr>
        <w:t>io</w:t>
      </w:r>
      <w:r w:rsidR="009D00FE">
        <w:rPr>
          <w:lang w:val="en-US"/>
        </w:rPr>
        <w:t xml:space="preserve">s </w:t>
      </w:r>
      <w:r w:rsidR="003E42A7">
        <w:rPr>
          <w:lang w:val="en-US"/>
        </w:rPr>
        <w:t>for</w:t>
      </w:r>
      <w:r w:rsidR="009D00FE">
        <w:rPr>
          <w:lang w:val="en-US"/>
        </w:rPr>
        <w:t xml:space="preserve"> </w:t>
      </w:r>
      <w:r w:rsidR="00CC58E0">
        <w:rPr>
          <w:lang w:val="en-US"/>
        </w:rPr>
        <w:t xml:space="preserve">people surviving </w:t>
      </w:r>
      <w:r w:rsidR="00062275">
        <w:rPr>
          <w:lang w:val="en-US"/>
        </w:rPr>
        <w:t>long</w:t>
      </w:r>
      <w:r w:rsidR="00CC58E0">
        <w:rPr>
          <w:lang w:val="en-US"/>
        </w:rPr>
        <w:t xml:space="preserve"> </w:t>
      </w:r>
      <w:r w:rsidR="00062275">
        <w:rPr>
          <w:lang w:val="en-US"/>
        </w:rPr>
        <w:t>term</w:t>
      </w:r>
      <w:r w:rsidR="009D00FE">
        <w:rPr>
          <w:lang w:val="en-US"/>
        </w:rPr>
        <w:t xml:space="preserve">. </w:t>
      </w:r>
      <w:r>
        <w:rPr>
          <w:lang w:val="en-US"/>
        </w:rPr>
        <w:t xml:space="preserve">The committee concluded that </w:t>
      </w:r>
      <w:r w:rsidR="00B14752">
        <w:rPr>
          <w:lang w:val="en-US"/>
        </w:rPr>
        <w:t>the company</w:t>
      </w:r>
      <w:r w:rsidR="00821173">
        <w:rPr>
          <w:lang w:val="en-US"/>
        </w:rPr>
        <w:t>’s model</w:t>
      </w:r>
      <w:r w:rsidR="00B14752">
        <w:rPr>
          <w:lang w:val="en-US"/>
        </w:rPr>
        <w:t xml:space="preserve"> should include </w:t>
      </w:r>
      <w:r>
        <w:rPr>
          <w:lang w:val="en-US"/>
        </w:rPr>
        <w:t xml:space="preserve">waning of </w:t>
      </w:r>
      <w:r w:rsidR="00B14752">
        <w:rPr>
          <w:lang w:val="en-US"/>
        </w:rPr>
        <w:t xml:space="preserve">the relative </w:t>
      </w:r>
      <w:r w:rsidR="001A7788">
        <w:rPr>
          <w:lang w:val="en-US"/>
        </w:rPr>
        <w:t xml:space="preserve">treatment </w:t>
      </w:r>
      <w:r w:rsidR="00B14752">
        <w:rPr>
          <w:lang w:val="en-US"/>
        </w:rPr>
        <w:t xml:space="preserve">effect of </w:t>
      </w:r>
      <w:proofErr w:type="spellStart"/>
      <w:r>
        <w:rPr>
          <w:lang w:val="en-US"/>
        </w:rPr>
        <w:t>isatuximab</w:t>
      </w:r>
      <w:proofErr w:type="spellEnd"/>
      <w:r>
        <w:rPr>
          <w:lang w:val="en-US"/>
        </w:rPr>
        <w:t xml:space="preserve"> plus pomalidomide </w:t>
      </w:r>
      <w:r w:rsidR="007A032D">
        <w:rPr>
          <w:lang w:val="en-US"/>
        </w:rPr>
        <w:t>and</w:t>
      </w:r>
      <w:r>
        <w:rPr>
          <w:lang w:val="en-US"/>
        </w:rPr>
        <w:t xml:space="preserve"> dexamethasone.</w:t>
      </w:r>
    </w:p>
    <w:p w14:paraId="05BF1BA0" w14:textId="22F1B18E" w:rsidR="00F74C3D" w:rsidRDefault="00F74C3D" w:rsidP="00F74C3D">
      <w:pPr>
        <w:pStyle w:val="Heading2"/>
      </w:pPr>
      <w:r>
        <w:t>End of life</w:t>
      </w:r>
    </w:p>
    <w:p w14:paraId="0F937004" w14:textId="6E7702DD" w:rsidR="00F74C3D" w:rsidRPr="00DF0C5C" w:rsidRDefault="00F74C3D" w:rsidP="00F74C3D">
      <w:pPr>
        <w:pStyle w:val="Heading3"/>
      </w:pPr>
      <w:proofErr w:type="spellStart"/>
      <w:r>
        <w:t>Isatuximab</w:t>
      </w:r>
      <w:proofErr w:type="spellEnd"/>
      <w:r>
        <w:t xml:space="preserve"> plus pomalidomide </w:t>
      </w:r>
      <w:r w:rsidR="00DB6641">
        <w:t>and</w:t>
      </w:r>
      <w:r>
        <w:t xml:space="preserve"> dexamethasone meets NICE’s end</w:t>
      </w:r>
      <w:r w:rsidR="00DB6641">
        <w:t>-</w:t>
      </w:r>
      <w:r>
        <w:t>of</w:t>
      </w:r>
      <w:r w:rsidR="00DB6641">
        <w:t>-</w:t>
      </w:r>
      <w:r>
        <w:t>life criteria</w:t>
      </w:r>
    </w:p>
    <w:p w14:paraId="4503D944" w14:textId="6A64C8F2" w:rsidR="00370AAA" w:rsidRDefault="00F74C3D" w:rsidP="002B47AF">
      <w:pPr>
        <w:pStyle w:val="Numberedlevel2text"/>
      </w:pPr>
      <w:r>
        <w:t xml:space="preserve">The committee considered the </w:t>
      </w:r>
      <w:r w:rsidRPr="00611D94">
        <w:t>advice</w:t>
      </w:r>
      <w:r>
        <w:t xml:space="preserve"> about life-extending treatments for people with a short life expectancy in </w:t>
      </w:r>
      <w:hyperlink r:id="rId11" w:history="1">
        <w:r w:rsidRPr="00D019BA">
          <w:rPr>
            <w:rStyle w:val="Hyperlink"/>
          </w:rPr>
          <w:t>NICE’s guide to the methods of technology appraisal</w:t>
        </w:r>
      </w:hyperlink>
      <w:r>
        <w:t xml:space="preserve">. </w:t>
      </w:r>
      <w:r w:rsidRPr="0024063C">
        <w:rPr>
          <w:rFonts w:cs="Arial"/>
          <w:szCs w:val="22"/>
          <w:lang w:val="en-GB"/>
        </w:rPr>
        <w:t xml:space="preserve">Median overall survival in the </w:t>
      </w:r>
      <w:r w:rsidRPr="0024063C">
        <w:rPr>
          <w:rFonts w:cs="Arial"/>
          <w:szCs w:val="22"/>
        </w:rPr>
        <w:t>pomalidomide</w:t>
      </w:r>
      <w:r w:rsidRPr="0024063C">
        <w:rPr>
          <w:rFonts w:cs="Arial"/>
          <w:szCs w:val="22"/>
          <w:lang w:val="en-GB"/>
        </w:rPr>
        <w:t xml:space="preserve"> </w:t>
      </w:r>
      <w:r w:rsidRPr="0024063C">
        <w:rPr>
          <w:rFonts w:cs="Arial"/>
          <w:szCs w:val="22"/>
        </w:rPr>
        <w:t xml:space="preserve">plus dexamethasone arm </w:t>
      </w:r>
      <w:r w:rsidRPr="0024063C">
        <w:rPr>
          <w:rFonts w:cs="Arial"/>
          <w:szCs w:val="22"/>
          <w:lang w:val="en-GB"/>
        </w:rPr>
        <w:t xml:space="preserve">of </w:t>
      </w:r>
      <w:r w:rsidRPr="0024063C">
        <w:rPr>
          <w:rFonts w:cs="Arial"/>
          <w:szCs w:val="22"/>
        </w:rPr>
        <w:t>ICARIA-MM</w:t>
      </w:r>
      <w:r w:rsidR="000C24EF">
        <w:rPr>
          <w:rFonts w:cs="Arial"/>
          <w:szCs w:val="22"/>
          <w:lang w:val="en-US"/>
        </w:rPr>
        <w:t xml:space="preserve"> fourth</w:t>
      </w:r>
      <w:r w:rsidR="005116D9">
        <w:rPr>
          <w:rFonts w:cs="Arial"/>
          <w:szCs w:val="22"/>
          <w:lang w:val="en-US"/>
        </w:rPr>
        <w:t>-</w:t>
      </w:r>
      <w:r w:rsidR="000C24EF">
        <w:rPr>
          <w:rFonts w:cs="Arial"/>
          <w:szCs w:val="22"/>
          <w:lang w:val="en-US"/>
        </w:rPr>
        <w:t>line subgroup</w:t>
      </w:r>
      <w:r w:rsidRPr="0024063C">
        <w:rPr>
          <w:rFonts w:cs="Arial"/>
          <w:szCs w:val="22"/>
          <w:lang w:val="en-GB"/>
        </w:rPr>
        <w:t xml:space="preserve"> was </w:t>
      </w:r>
      <w:r w:rsidRPr="0024063C">
        <w:rPr>
          <w:rFonts w:cs="Arial"/>
          <w:szCs w:val="22"/>
        </w:rPr>
        <w:t>14.</w:t>
      </w:r>
      <w:r w:rsidR="00B44777">
        <w:rPr>
          <w:rFonts w:cs="Arial"/>
          <w:szCs w:val="22"/>
          <w:lang w:val="en-US"/>
        </w:rPr>
        <w:t>4</w:t>
      </w:r>
      <w:r w:rsidRPr="0024063C">
        <w:rPr>
          <w:rFonts w:cs="Arial"/>
          <w:szCs w:val="22"/>
          <w:lang w:val="en-GB"/>
        </w:rPr>
        <w:t> months</w:t>
      </w:r>
      <w:r w:rsidRPr="0024063C">
        <w:rPr>
          <w:rFonts w:cs="Arial"/>
          <w:szCs w:val="22"/>
        </w:rPr>
        <w:t xml:space="preserve">. </w:t>
      </w:r>
      <w:r>
        <w:rPr>
          <w:rFonts w:cs="Arial"/>
          <w:szCs w:val="22"/>
          <w:lang w:val="en-US"/>
        </w:rPr>
        <w:t>The ERG noted that the modelled mean survival was higher than the median</w:t>
      </w:r>
      <w:r w:rsidR="00173A01">
        <w:rPr>
          <w:rFonts w:cs="Arial"/>
          <w:szCs w:val="22"/>
          <w:lang w:val="en-US"/>
        </w:rPr>
        <w:t xml:space="preserve"> </w:t>
      </w:r>
      <w:r w:rsidR="002936FD">
        <w:rPr>
          <w:rFonts w:cs="Arial"/>
          <w:szCs w:val="22"/>
          <w:lang w:val="en-US"/>
        </w:rPr>
        <w:t>(</w:t>
      </w:r>
      <w:r w:rsidR="00173A01">
        <w:rPr>
          <w:rFonts w:cs="Arial"/>
          <w:szCs w:val="22"/>
          <w:lang w:val="en-US"/>
        </w:rPr>
        <w:t>these values are commercial in confidence and cannot be reported here</w:t>
      </w:r>
      <w:r w:rsidR="002936FD">
        <w:rPr>
          <w:rFonts w:cs="Arial"/>
          <w:szCs w:val="22"/>
          <w:lang w:val="en-US"/>
        </w:rPr>
        <w:t>)</w:t>
      </w:r>
      <w:r>
        <w:rPr>
          <w:rFonts w:cs="Arial"/>
          <w:szCs w:val="22"/>
          <w:lang w:val="en-US"/>
        </w:rPr>
        <w:t xml:space="preserve">. </w:t>
      </w:r>
      <w:r w:rsidRPr="0024063C">
        <w:rPr>
          <w:rFonts w:cs="Arial"/>
          <w:szCs w:val="22"/>
        </w:rPr>
        <w:t xml:space="preserve">The company </w:t>
      </w:r>
      <w:r w:rsidR="00442E25">
        <w:rPr>
          <w:rFonts w:cs="Arial"/>
          <w:szCs w:val="22"/>
          <w:lang w:val="en-GB"/>
        </w:rPr>
        <w:t>referred to</w:t>
      </w:r>
      <w:r w:rsidR="00442E25" w:rsidRPr="0024063C">
        <w:rPr>
          <w:rFonts w:cs="Arial"/>
          <w:szCs w:val="22"/>
        </w:rPr>
        <w:t xml:space="preserve"> </w:t>
      </w:r>
      <w:r w:rsidR="000836BB">
        <w:rPr>
          <w:rFonts w:cs="Arial"/>
          <w:szCs w:val="22"/>
          <w:lang w:val="en-GB"/>
        </w:rPr>
        <w:t xml:space="preserve">epidemiological </w:t>
      </w:r>
      <w:r w:rsidRPr="0024063C">
        <w:rPr>
          <w:rFonts w:cs="Arial"/>
          <w:szCs w:val="22"/>
        </w:rPr>
        <w:t>evidence show</w:t>
      </w:r>
      <w:r w:rsidR="00442E25">
        <w:rPr>
          <w:rFonts w:cs="Arial"/>
          <w:szCs w:val="22"/>
          <w:lang w:val="en-GB"/>
        </w:rPr>
        <w:t>ing</w:t>
      </w:r>
      <w:r w:rsidRPr="0024063C">
        <w:rPr>
          <w:rFonts w:cs="Arial"/>
          <w:szCs w:val="22"/>
        </w:rPr>
        <w:t xml:space="preserve"> that median overall survival was below 14</w:t>
      </w:r>
      <w:r w:rsidR="005116D9">
        <w:rPr>
          <w:rFonts w:cs="Arial"/>
          <w:szCs w:val="22"/>
          <w:lang w:val="en-GB"/>
        </w:rPr>
        <w:t> </w:t>
      </w:r>
      <w:r w:rsidRPr="0024063C">
        <w:rPr>
          <w:rFonts w:cs="Arial"/>
          <w:szCs w:val="22"/>
        </w:rPr>
        <w:t>months</w:t>
      </w:r>
      <w:r w:rsidR="000C24EF">
        <w:rPr>
          <w:rFonts w:cs="Arial"/>
          <w:szCs w:val="22"/>
          <w:lang w:val="en-US"/>
        </w:rPr>
        <w:t xml:space="preserve"> in people with relapsed or refractory multiple myeloma who had 3</w:t>
      </w:r>
      <w:r w:rsidR="005116D9">
        <w:rPr>
          <w:rFonts w:cs="Arial"/>
          <w:szCs w:val="22"/>
          <w:lang w:val="en-US"/>
        </w:rPr>
        <w:t> </w:t>
      </w:r>
      <w:r w:rsidR="000C24EF">
        <w:rPr>
          <w:rFonts w:cs="Arial"/>
          <w:szCs w:val="22"/>
          <w:lang w:val="en-US"/>
        </w:rPr>
        <w:t>pr</w:t>
      </w:r>
      <w:r w:rsidR="00442E25">
        <w:rPr>
          <w:rFonts w:cs="Arial"/>
          <w:szCs w:val="22"/>
          <w:lang w:val="en-US"/>
        </w:rPr>
        <w:t>evious</w:t>
      </w:r>
      <w:r w:rsidR="000C24EF">
        <w:rPr>
          <w:rFonts w:cs="Arial"/>
          <w:szCs w:val="22"/>
          <w:lang w:val="en-US"/>
        </w:rPr>
        <w:t xml:space="preserve"> treatments</w:t>
      </w:r>
      <w:r w:rsidRPr="0024063C">
        <w:rPr>
          <w:rFonts w:cs="Arial"/>
          <w:szCs w:val="22"/>
        </w:rPr>
        <w:t>.</w:t>
      </w:r>
      <w:r>
        <w:rPr>
          <w:rFonts w:cs="Arial"/>
          <w:szCs w:val="22"/>
          <w:lang w:val="en-US"/>
        </w:rPr>
        <w:t xml:space="preserve"> </w:t>
      </w:r>
      <w:r w:rsidRPr="0024063C">
        <w:rPr>
          <w:rFonts w:cs="Arial"/>
          <w:szCs w:val="22"/>
        </w:rPr>
        <w:t xml:space="preserve">The clinical experts stated that life expectancy for people </w:t>
      </w:r>
      <w:r w:rsidR="000C24EF">
        <w:rPr>
          <w:rFonts w:cs="Arial"/>
          <w:szCs w:val="22"/>
          <w:lang w:val="en-US"/>
        </w:rPr>
        <w:t xml:space="preserve">in this </w:t>
      </w:r>
      <w:r w:rsidR="000836BB">
        <w:rPr>
          <w:rFonts w:cs="Arial"/>
          <w:szCs w:val="22"/>
          <w:lang w:val="en-US"/>
        </w:rPr>
        <w:t xml:space="preserve">group </w:t>
      </w:r>
      <w:r w:rsidR="00442E25">
        <w:rPr>
          <w:rFonts w:cs="Arial"/>
          <w:szCs w:val="22"/>
          <w:lang w:val="en-US"/>
        </w:rPr>
        <w:t>wa</w:t>
      </w:r>
      <w:r>
        <w:rPr>
          <w:rFonts w:cs="Arial"/>
          <w:szCs w:val="22"/>
          <w:lang w:val="en-US"/>
        </w:rPr>
        <w:t>s less than 2</w:t>
      </w:r>
      <w:r w:rsidR="0052785B">
        <w:rPr>
          <w:rFonts w:cs="Arial"/>
          <w:szCs w:val="22"/>
          <w:lang w:val="en-US"/>
        </w:rPr>
        <w:t> </w:t>
      </w:r>
      <w:r>
        <w:rPr>
          <w:rFonts w:cs="Arial"/>
          <w:szCs w:val="22"/>
          <w:lang w:val="en-US"/>
        </w:rPr>
        <w:t xml:space="preserve">years. </w:t>
      </w:r>
      <w:r w:rsidRPr="0024063C">
        <w:rPr>
          <w:rFonts w:cs="Arial"/>
          <w:szCs w:val="22"/>
          <w:lang w:val="en-US"/>
        </w:rPr>
        <w:t>Therefore, the committee concluded that the short life expectancy criterion was met</w:t>
      </w:r>
      <w:r>
        <w:rPr>
          <w:rFonts w:cs="Arial"/>
          <w:szCs w:val="22"/>
          <w:lang w:val="en-US"/>
        </w:rPr>
        <w:t xml:space="preserve">. </w:t>
      </w:r>
      <w:r w:rsidR="00A1095E">
        <w:rPr>
          <w:rFonts w:cs="Arial"/>
          <w:szCs w:val="22"/>
          <w:lang w:val="en-US"/>
        </w:rPr>
        <w:t>M</w:t>
      </w:r>
      <w:r>
        <w:rPr>
          <w:rFonts w:cs="Arial"/>
          <w:szCs w:val="22"/>
          <w:lang w:val="en-US"/>
        </w:rPr>
        <w:t xml:space="preserve">edian overall survival </w:t>
      </w:r>
      <w:r w:rsidR="00442E25">
        <w:rPr>
          <w:rFonts w:cs="Arial"/>
          <w:szCs w:val="22"/>
          <w:lang w:val="en-US"/>
        </w:rPr>
        <w:t>was</w:t>
      </w:r>
      <w:r>
        <w:rPr>
          <w:rFonts w:cs="Arial"/>
          <w:szCs w:val="22"/>
          <w:lang w:val="en-US"/>
        </w:rPr>
        <w:t xml:space="preserve"> not reached in the </w:t>
      </w:r>
      <w:proofErr w:type="spellStart"/>
      <w:r>
        <w:rPr>
          <w:rFonts w:cs="Arial"/>
          <w:szCs w:val="22"/>
          <w:lang w:val="en-US"/>
        </w:rPr>
        <w:t>isatuximab</w:t>
      </w:r>
      <w:proofErr w:type="spellEnd"/>
      <w:r>
        <w:rPr>
          <w:rFonts w:cs="Arial"/>
          <w:szCs w:val="22"/>
          <w:lang w:val="en-US"/>
        </w:rPr>
        <w:t xml:space="preserve"> plus pomalidomide </w:t>
      </w:r>
      <w:r w:rsidR="0052785B">
        <w:rPr>
          <w:rFonts w:cs="Arial"/>
          <w:szCs w:val="22"/>
          <w:lang w:val="en-US"/>
        </w:rPr>
        <w:t>and</w:t>
      </w:r>
      <w:r>
        <w:rPr>
          <w:rFonts w:cs="Arial"/>
          <w:szCs w:val="22"/>
          <w:lang w:val="en-US"/>
        </w:rPr>
        <w:t xml:space="preserve"> dexamethasone arm</w:t>
      </w:r>
      <w:r w:rsidR="000836BB">
        <w:rPr>
          <w:rFonts w:cs="Arial"/>
          <w:szCs w:val="22"/>
          <w:lang w:val="en-US"/>
        </w:rPr>
        <w:t xml:space="preserve"> of ICARIA</w:t>
      </w:r>
      <w:r w:rsidR="00A1095E">
        <w:rPr>
          <w:rFonts w:cs="Arial"/>
          <w:szCs w:val="22"/>
          <w:lang w:val="en-US"/>
        </w:rPr>
        <w:noBreakHyphen/>
      </w:r>
      <w:r w:rsidR="0052785B">
        <w:rPr>
          <w:rFonts w:cs="Arial"/>
          <w:szCs w:val="22"/>
          <w:lang w:val="en-US"/>
        </w:rPr>
        <w:t>MM</w:t>
      </w:r>
      <w:r w:rsidR="00A1095E">
        <w:rPr>
          <w:rFonts w:cs="Arial"/>
          <w:szCs w:val="22"/>
          <w:lang w:val="en-US"/>
        </w:rPr>
        <w:t>.</w:t>
      </w:r>
      <w:r>
        <w:rPr>
          <w:rFonts w:cs="Arial"/>
          <w:szCs w:val="22"/>
          <w:lang w:val="en-US"/>
        </w:rPr>
        <w:t xml:space="preserve"> </w:t>
      </w:r>
      <w:r w:rsidR="00A1095E">
        <w:rPr>
          <w:rFonts w:cs="Arial"/>
          <w:szCs w:val="22"/>
          <w:lang w:val="en-US"/>
        </w:rPr>
        <w:t xml:space="preserve">But </w:t>
      </w:r>
      <w:r>
        <w:rPr>
          <w:rFonts w:cs="Arial"/>
          <w:szCs w:val="22"/>
          <w:lang w:val="en-US"/>
        </w:rPr>
        <w:t xml:space="preserve">both the Weibull (committee’s preferred </w:t>
      </w:r>
      <w:r w:rsidR="006B2F5D">
        <w:rPr>
          <w:rFonts w:cs="Arial"/>
          <w:szCs w:val="22"/>
          <w:lang w:val="en-US"/>
        </w:rPr>
        <w:t>distribution</w:t>
      </w:r>
      <w:r>
        <w:rPr>
          <w:rFonts w:cs="Arial"/>
          <w:szCs w:val="22"/>
          <w:lang w:val="en-US"/>
        </w:rPr>
        <w:t xml:space="preserve">) and </w:t>
      </w:r>
      <w:r w:rsidR="00A1095E">
        <w:rPr>
          <w:rFonts w:cs="Arial"/>
          <w:szCs w:val="22"/>
          <w:lang w:val="en-US"/>
        </w:rPr>
        <w:t xml:space="preserve">the </w:t>
      </w:r>
      <w:r>
        <w:rPr>
          <w:rFonts w:cs="Arial"/>
          <w:szCs w:val="22"/>
          <w:lang w:val="en-US"/>
        </w:rPr>
        <w:t>exponential model (company</w:t>
      </w:r>
      <w:r w:rsidR="0052785B">
        <w:rPr>
          <w:rFonts w:cs="Arial"/>
          <w:szCs w:val="22"/>
          <w:lang w:val="en-US"/>
        </w:rPr>
        <w:t>’s</w:t>
      </w:r>
      <w:r>
        <w:rPr>
          <w:rFonts w:cs="Arial"/>
          <w:szCs w:val="22"/>
          <w:lang w:val="en-US"/>
        </w:rPr>
        <w:t xml:space="preserve"> base case) estimated that </w:t>
      </w:r>
      <w:r w:rsidR="00442E25">
        <w:rPr>
          <w:rFonts w:cs="Arial"/>
          <w:szCs w:val="22"/>
          <w:lang w:val="en-US"/>
        </w:rPr>
        <w:t>it</w:t>
      </w:r>
      <w:r>
        <w:rPr>
          <w:rFonts w:cs="Arial"/>
          <w:szCs w:val="22"/>
          <w:lang w:val="en-US"/>
        </w:rPr>
        <w:t xml:space="preserve"> extended life by more than 3</w:t>
      </w:r>
      <w:r w:rsidR="0052785B">
        <w:rPr>
          <w:rFonts w:cs="Arial"/>
          <w:szCs w:val="22"/>
          <w:lang w:val="en-US"/>
        </w:rPr>
        <w:t> </w:t>
      </w:r>
      <w:r>
        <w:rPr>
          <w:rFonts w:cs="Arial"/>
          <w:szCs w:val="22"/>
          <w:lang w:val="en-US"/>
        </w:rPr>
        <w:t xml:space="preserve">months compared </w:t>
      </w:r>
      <w:r w:rsidR="0052785B">
        <w:rPr>
          <w:rFonts w:cs="Arial"/>
          <w:szCs w:val="22"/>
          <w:lang w:val="en-US"/>
        </w:rPr>
        <w:t>with</w:t>
      </w:r>
      <w:r>
        <w:rPr>
          <w:rFonts w:cs="Arial"/>
          <w:szCs w:val="22"/>
          <w:lang w:val="en-US"/>
        </w:rPr>
        <w:t xml:space="preserve"> pomalidomide plus dexamethasone</w:t>
      </w:r>
      <w:r w:rsidR="0077139C">
        <w:rPr>
          <w:rFonts w:cs="Arial"/>
          <w:szCs w:val="22"/>
          <w:lang w:val="en-US"/>
        </w:rPr>
        <w:t xml:space="preserve"> in the subgroup</w:t>
      </w:r>
      <w:r w:rsidR="004C1892">
        <w:rPr>
          <w:rFonts w:cs="Arial"/>
          <w:szCs w:val="22"/>
          <w:lang w:val="en-US"/>
        </w:rPr>
        <w:t xml:space="preserve"> who had 3 previous treatments</w:t>
      </w:r>
      <w:r w:rsidR="006B2F5D">
        <w:rPr>
          <w:rFonts w:cs="Arial"/>
          <w:szCs w:val="22"/>
          <w:lang w:val="en-US"/>
        </w:rPr>
        <w:t>.</w:t>
      </w:r>
      <w:r>
        <w:rPr>
          <w:rFonts w:cs="Arial"/>
          <w:szCs w:val="22"/>
          <w:lang w:val="en-US"/>
        </w:rPr>
        <w:t xml:space="preserve"> </w:t>
      </w:r>
      <w:r w:rsidR="006B2F5D">
        <w:rPr>
          <w:rFonts w:cs="Arial"/>
          <w:szCs w:val="22"/>
          <w:lang w:val="en-US"/>
        </w:rPr>
        <w:t>T</w:t>
      </w:r>
      <w:r>
        <w:rPr>
          <w:rFonts w:cs="Arial"/>
          <w:szCs w:val="22"/>
          <w:lang w:val="en-US"/>
        </w:rPr>
        <w:t xml:space="preserve">he committee </w:t>
      </w:r>
      <w:r w:rsidR="000836BB">
        <w:rPr>
          <w:rFonts w:cs="Arial"/>
          <w:szCs w:val="22"/>
          <w:lang w:val="en-US"/>
        </w:rPr>
        <w:t>acknowledged the uncertainty in the life-extending benefits of the treatment</w:t>
      </w:r>
      <w:r w:rsidR="0052785B">
        <w:rPr>
          <w:rFonts w:cs="Arial"/>
          <w:szCs w:val="22"/>
          <w:lang w:val="en-US"/>
        </w:rPr>
        <w:t>. B</w:t>
      </w:r>
      <w:r w:rsidR="000836BB">
        <w:rPr>
          <w:rFonts w:cs="Arial"/>
          <w:szCs w:val="22"/>
          <w:lang w:val="en-US"/>
        </w:rPr>
        <w:t xml:space="preserve">ut, on balance, </w:t>
      </w:r>
      <w:r w:rsidR="0052785B">
        <w:rPr>
          <w:rFonts w:cs="Arial"/>
          <w:szCs w:val="22"/>
          <w:lang w:val="en-US"/>
        </w:rPr>
        <w:t>it</w:t>
      </w:r>
      <w:r w:rsidR="000836BB">
        <w:rPr>
          <w:rFonts w:cs="Arial"/>
          <w:szCs w:val="22"/>
          <w:lang w:val="en-US"/>
        </w:rPr>
        <w:t xml:space="preserve"> </w:t>
      </w:r>
      <w:r>
        <w:rPr>
          <w:rFonts w:cs="Arial"/>
          <w:szCs w:val="22"/>
          <w:lang w:val="en-US"/>
        </w:rPr>
        <w:t xml:space="preserve">concluded that </w:t>
      </w:r>
      <w:proofErr w:type="spellStart"/>
      <w:r w:rsidR="006B2F5D">
        <w:rPr>
          <w:rFonts w:cs="Arial"/>
          <w:szCs w:val="22"/>
          <w:lang w:val="en-US"/>
        </w:rPr>
        <w:t>isatuximab</w:t>
      </w:r>
      <w:proofErr w:type="spellEnd"/>
      <w:r w:rsidR="006B2F5D">
        <w:rPr>
          <w:rFonts w:cs="Arial"/>
          <w:szCs w:val="22"/>
          <w:lang w:val="en-US"/>
        </w:rPr>
        <w:t xml:space="preserve"> plus pomalidomide </w:t>
      </w:r>
      <w:r w:rsidR="0052785B">
        <w:rPr>
          <w:rFonts w:cs="Arial"/>
          <w:szCs w:val="22"/>
          <w:lang w:val="en-US"/>
        </w:rPr>
        <w:t xml:space="preserve">and </w:t>
      </w:r>
      <w:r w:rsidR="006B2F5D">
        <w:rPr>
          <w:rFonts w:cs="Arial"/>
          <w:szCs w:val="22"/>
          <w:lang w:val="en-US"/>
        </w:rPr>
        <w:t xml:space="preserve">dexamethasone </w:t>
      </w:r>
      <w:r w:rsidRPr="00933FD7">
        <w:rPr>
          <w:rFonts w:cs="Arial"/>
          <w:szCs w:val="22"/>
          <w:lang w:val="en-US"/>
        </w:rPr>
        <w:t>extended mean overall survival by over 3</w:t>
      </w:r>
      <w:r w:rsidR="0052785B">
        <w:rPr>
          <w:rFonts w:cs="Arial"/>
          <w:szCs w:val="22"/>
          <w:lang w:val="en-US"/>
        </w:rPr>
        <w:t> </w:t>
      </w:r>
      <w:r w:rsidRPr="00933FD7">
        <w:rPr>
          <w:rFonts w:cs="Arial"/>
          <w:szCs w:val="22"/>
          <w:lang w:val="en-US"/>
        </w:rPr>
        <w:t xml:space="preserve">months </w:t>
      </w:r>
      <w:r>
        <w:rPr>
          <w:rFonts w:cs="Arial"/>
          <w:szCs w:val="22"/>
          <w:lang w:val="en-US"/>
        </w:rPr>
        <w:t xml:space="preserve">compared </w:t>
      </w:r>
      <w:r w:rsidR="0052785B">
        <w:rPr>
          <w:rFonts w:cs="Arial"/>
          <w:szCs w:val="22"/>
          <w:lang w:val="en-US"/>
        </w:rPr>
        <w:t>with</w:t>
      </w:r>
      <w:r>
        <w:rPr>
          <w:rFonts w:cs="Arial"/>
          <w:szCs w:val="22"/>
          <w:lang w:val="en-US"/>
        </w:rPr>
        <w:t xml:space="preserve"> pomalidomide plus dexamethasone. The </w:t>
      </w:r>
      <w:r>
        <w:rPr>
          <w:rFonts w:cs="Arial"/>
          <w:szCs w:val="22"/>
          <w:lang w:val="en-US"/>
        </w:rPr>
        <w:lastRenderedPageBreak/>
        <w:t>committee concluded that</w:t>
      </w:r>
      <w:r w:rsidR="001506A2">
        <w:rPr>
          <w:rFonts w:cs="Arial"/>
          <w:szCs w:val="22"/>
          <w:lang w:val="en-US"/>
        </w:rPr>
        <w:t xml:space="preserve"> </w:t>
      </w:r>
      <w:proofErr w:type="spellStart"/>
      <w:r w:rsidR="001506A2">
        <w:rPr>
          <w:rFonts w:cs="Arial"/>
          <w:szCs w:val="22"/>
          <w:lang w:val="en-US"/>
        </w:rPr>
        <w:t>isatuximab</w:t>
      </w:r>
      <w:proofErr w:type="spellEnd"/>
      <w:r w:rsidR="001506A2">
        <w:rPr>
          <w:rFonts w:cs="Arial"/>
          <w:szCs w:val="22"/>
          <w:lang w:val="en-US"/>
        </w:rPr>
        <w:t xml:space="preserve"> plus pomalidomide </w:t>
      </w:r>
      <w:r w:rsidR="0052785B">
        <w:rPr>
          <w:rFonts w:cs="Arial"/>
          <w:szCs w:val="22"/>
          <w:lang w:val="en-US"/>
        </w:rPr>
        <w:t>and</w:t>
      </w:r>
      <w:r w:rsidR="001506A2">
        <w:rPr>
          <w:rFonts w:cs="Arial"/>
          <w:szCs w:val="22"/>
          <w:lang w:val="en-US"/>
        </w:rPr>
        <w:t xml:space="preserve"> dexamethasone</w:t>
      </w:r>
      <w:r w:rsidR="009325D6">
        <w:rPr>
          <w:rFonts w:cs="Arial"/>
          <w:szCs w:val="22"/>
          <w:lang w:val="en-US"/>
        </w:rPr>
        <w:t>, after 3 previous treatments,</w:t>
      </w:r>
      <w:r>
        <w:rPr>
          <w:rFonts w:cs="Arial"/>
          <w:szCs w:val="22"/>
          <w:lang w:val="en-US"/>
        </w:rPr>
        <w:t xml:space="preserve"> </w:t>
      </w:r>
      <w:r w:rsidRPr="002B5C68">
        <w:rPr>
          <w:lang w:val="en-GB"/>
        </w:rPr>
        <w:t xml:space="preserve">met the criteria to be considered </w:t>
      </w:r>
      <w:r w:rsidR="000836BB">
        <w:rPr>
          <w:lang w:val="en-GB"/>
        </w:rPr>
        <w:t>a</w:t>
      </w:r>
      <w:r w:rsidRPr="002B5C68">
        <w:rPr>
          <w:lang w:val="en-GB"/>
        </w:rPr>
        <w:t xml:space="preserve"> life-extending</w:t>
      </w:r>
      <w:r w:rsidR="000E0829">
        <w:rPr>
          <w:lang w:val="en-GB"/>
        </w:rPr>
        <w:t xml:space="preserve">, end-of-life </w:t>
      </w:r>
      <w:r w:rsidRPr="002B5C68">
        <w:rPr>
          <w:lang w:val="en-GB"/>
        </w:rPr>
        <w:t>treatment</w:t>
      </w:r>
      <w:r w:rsidR="000E0829">
        <w:rPr>
          <w:lang w:val="en-GB"/>
        </w:rPr>
        <w:t>.</w:t>
      </w:r>
    </w:p>
    <w:p w14:paraId="2A055B3F" w14:textId="09816B73" w:rsidR="004B7D57" w:rsidRDefault="00764242" w:rsidP="00764242">
      <w:pPr>
        <w:pStyle w:val="Heading2"/>
      </w:pPr>
      <w:r>
        <w:t>Cost-effectiveness results</w:t>
      </w:r>
    </w:p>
    <w:p w14:paraId="751FEC28" w14:textId="011F2FAD" w:rsidR="00B82A82" w:rsidRDefault="007F57F9" w:rsidP="00B82A82">
      <w:pPr>
        <w:pStyle w:val="Heading3"/>
      </w:pPr>
      <w:bookmarkStart w:id="4" w:name="_Hlk24556768"/>
      <w:r>
        <w:t>No analyses reflect the committee’s preferred assumptions</w:t>
      </w:r>
    </w:p>
    <w:p w14:paraId="1AA6F310" w14:textId="6ECA08FB" w:rsidR="00E17F8B" w:rsidRPr="00E17F8B" w:rsidRDefault="007F57F9" w:rsidP="00F74C3D">
      <w:pPr>
        <w:pStyle w:val="Numberedlevel2text"/>
      </w:pPr>
      <w:r>
        <w:rPr>
          <w:lang w:val="en-GB"/>
        </w:rPr>
        <w:t xml:space="preserve">Because of confidential commercial arrangements for </w:t>
      </w:r>
      <w:proofErr w:type="spellStart"/>
      <w:r>
        <w:rPr>
          <w:lang w:val="en-GB"/>
        </w:rPr>
        <w:t>isatuximab</w:t>
      </w:r>
      <w:proofErr w:type="spellEnd"/>
      <w:r>
        <w:rPr>
          <w:lang w:val="en-GB"/>
        </w:rPr>
        <w:t xml:space="preserve">, pomalidomide and </w:t>
      </w:r>
      <w:r w:rsidR="000836BB">
        <w:rPr>
          <w:lang w:val="en-GB"/>
        </w:rPr>
        <w:t xml:space="preserve">the </w:t>
      </w:r>
      <w:r>
        <w:rPr>
          <w:lang w:val="en-GB"/>
        </w:rPr>
        <w:t xml:space="preserve">comparators, none of the cost-effectiveness results </w:t>
      </w:r>
      <w:r w:rsidR="0052785B">
        <w:rPr>
          <w:lang w:val="en-GB"/>
        </w:rPr>
        <w:t>are</w:t>
      </w:r>
      <w:r>
        <w:rPr>
          <w:lang w:val="en-GB"/>
        </w:rPr>
        <w:t xml:space="preserve"> reported here. However, none of the company’s or the ERG’s analyses reflected the committee’s preferences. </w:t>
      </w:r>
      <w:r w:rsidR="00E17F8B">
        <w:rPr>
          <w:lang w:val="en-US"/>
        </w:rPr>
        <w:t>The committee</w:t>
      </w:r>
      <w:r>
        <w:rPr>
          <w:lang w:val="en-US"/>
        </w:rPr>
        <w:t xml:space="preserve"> would have preferred to see analyses that:</w:t>
      </w:r>
    </w:p>
    <w:p w14:paraId="1B017AF8" w14:textId="19249D71" w:rsidR="00E17F8B" w:rsidRDefault="0052785B" w:rsidP="00E17F8B">
      <w:pPr>
        <w:pStyle w:val="Bulletindent1"/>
      </w:pPr>
      <w:r>
        <w:t>u</w:t>
      </w:r>
      <w:r w:rsidR="00E17F8B">
        <w:t>s</w:t>
      </w:r>
      <w:r w:rsidR="0028393B">
        <w:t>e</w:t>
      </w:r>
      <w:r w:rsidR="005471E8">
        <w:t>d</w:t>
      </w:r>
      <w:r w:rsidR="00E17F8B">
        <w:t xml:space="preserve"> a Weibull extrapolation for estimating overall survival (see section</w:t>
      </w:r>
      <w:r>
        <w:t> </w:t>
      </w:r>
      <w:r w:rsidR="00D83900">
        <w:t>3.1</w:t>
      </w:r>
      <w:r w:rsidR="00970635">
        <w:t>1</w:t>
      </w:r>
      <w:r w:rsidR="00E17F8B">
        <w:t>)</w:t>
      </w:r>
    </w:p>
    <w:p w14:paraId="449AC105" w14:textId="487F95F4" w:rsidR="00E17F8B" w:rsidRDefault="0052785B" w:rsidP="00F959E9">
      <w:pPr>
        <w:pStyle w:val="Bulletindent1"/>
      </w:pPr>
      <w:r>
        <w:t>a</w:t>
      </w:r>
      <w:r w:rsidR="00E17F8B">
        <w:t>djust</w:t>
      </w:r>
      <w:r w:rsidR="005471E8">
        <w:t>ed</w:t>
      </w:r>
      <w:r w:rsidR="00E17F8B">
        <w:t xml:space="preserve"> for subsequent trial treatments not </w:t>
      </w:r>
      <w:r>
        <w:t>used</w:t>
      </w:r>
      <w:r w:rsidR="00E17F8B">
        <w:t xml:space="preserve"> in NHS clinical practice</w:t>
      </w:r>
      <w:r w:rsidR="004B6FDF">
        <w:t>,</w:t>
      </w:r>
      <w:r w:rsidR="0028393B">
        <w:t xml:space="preserve"> </w:t>
      </w:r>
      <w:r>
        <w:t>with</w:t>
      </w:r>
      <w:r w:rsidR="0028393B">
        <w:t xml:space="preserve"> methods fully reported</w:t>
      </w:r>
      <w:r w:rsidR="00E17F8B">
        <w:t xml:space="preserve"> (see section</w:t>
      </w:r>
      <w:r>
        <w:t>s </w:t>
      </w:r>
      <w:r w:rsidR="00D83900">
        <w:t>3.</w:t>
      </w:r>
      <w:r w:rsidR="00970635">
        <w:t>9 and 3.12</w:t>
      </w:r>
      <w:r w:rsidR="00E17F8B">
        <w:t>)</w:t>
      </w:r>
    </w:p>
    <w:p w14:paraId="67B12DF3" w14:textId="5FC3082C" w:rsidR="00E17F8B" w:rsidRDefault="0052785B" w:rsidP="00F959E9">
      <w:pPr>
        <w:pStyle w:val="Bulletindent1"/>
      </w:pPr>
      <w:r>
        <w:t>a</w:t>
      </w:r>
      <w:r w:rsidR="000836BB">
        <w:t>ppl</w:t>
      </w:r>
      <w:r w:rsidR="005471E8">
        <w:t>ied</w:t>
      </w:r>
      <w:r w:rsidR="000836BB">
        <w:t xml:space="preserve"> the </w:t>
      </w:r>
      <w:r w:rsidR="002C4422">
        <w:t>drug wastage and relative dose intensity assumptions</w:t>
      </w:r>
      <w:r w:rsidR="00665407">
        <w:t xml:space="preserve"> </w:t>
      </w:r>
      <w:r w:rsidR="000836BB">
        <w:t xml:space="preserve">from the company’s base case </w:t>
      </w:r>
      <w:r w:rsidR="002C4422">
        <w:t>(see section</w:t>
      </w:r>
      <w:r>
        <w:t> </w:t>
      </w:r>
      <w:r w:rsidR="00D83900">
        <w:t>3.1</w:t>
      </w:r>
      <w:r w:rsidR="00970635">
        <w:t>5</w:t>
      </w:r>
      <w:r w:rsidR="002C4422">
        <w:t>)</w:t>
      </w:r>
    </w:p>
    <w:p w14:paraId="41DFBEAA" w14:textId="1A831745" w:rsidR="002C4422" w:rsidRDefault="0052785B" w:rsidP="00F959E9">
      <w:pPr>
        <w:pStyle w:val="Bulletindent1"/>
      </w:pPr>
      <w:r>
        <w:t>i</w:t>
      </w:r>
      <w:r w:rsidR="001126A1">
        <w:t>nclude</w:t>
      </w:r>
      <w:r w:rsidR="005471E8">
        <w:t>d</w:t>
      </w:r>
      <w:r w:rsidR="001126A1">
        <w:t xml:space="preserve"> a waning of the </w:t>
      </w:r>
      <w:r w:rsidR="000836BB">
        <w:t xml:space="preserve">relative </w:t>
      </w:r>
      <w:r>
        <w:t xml:space="preserve">treatment </w:t>
      </w:r>
      <w:r w:rsidR="001126A1">
        <w:t xml:space="preserve">effect for </w:t>
      </w:r>
      <w:proofErr w:type="spellStart"/>
      <w:r w:rsidR="001126A1">
        <w:t>isatuximab</w:t>
      </w:r>
      <w:proofErr w:type="spellEnd"/>
      <w:r w:rsidR="001126A1">
        <w:t xml:space="preserve"> plus pomalidomide </w:t>
      </w:r>
      <w:r w:rsidR="004B6FDF">
        <w:t>and</w:t>
      </w:r>
      <w:r w:rsidR="001126A1">
        <w:t xml:space="preserve"> dexamethasone</w:t>
      </w:r>
      <w:r w:rsidR="009165FE">
        <w:t xml:space="preserve"> </w:t>
      </w:r>
      <w:r w:rsidR="000836BB">
        <w:t xml:space="preserve">compared with pomalidomide plus dexamethasone </w:t>
      </w:r>
      <w:r w:rsidR="009165FE">
        <w:t>(see section</w:t>
      </w:r>
      <w:r w:rsidR="004B6FDF">
        <w:t> </w:t>
      </w:r>
      <w:r w:rsidR="00970635">
        <w:t>3.16</w:t>
      </w:r>
      <w:r w:rsidR="009165FE">
        <w:t>).</w:t>
      </w:r>
    </w:p>
    <w:p w14:paraId="5CE1BDB2" w14:textId="2D5F2850" w:rsidR="00B82A82" w:rsidRDefault="00764242" w:rsidP="00B82A82">
      <w:pPr>
        <w:pStyle w:val="Heading3"/>
      </w:pPr>
      <w:proofErr w:type="spellStart"/>
      <w:r>
        <w:t>Isatuximab</w:t>
      </w:r>
      <w:proofErr w:type="spellEnd"/>
      <w:r>
        <w:t xml:space="preserve"> plus pomalidomide </w:t>
      </w:r>
      <w:r w:rsidR="004B6FDF">
        <w:t>and</w:t>
      </w:r>
      <w:r>
        <w:t xml:space="preserve"> dexamethasone is not recommended </w:t>
      </w:r>
      <w:r w:rsidR="00F63210">
        <w:t>in the</w:t>
      </w:r>
      <w:r>
        <w:t xml:space="preserve"> NHS</w:t>
      </w:r>
    </w:p>
    <w:p w14:paraId="5B3747B4" w14:textId="2928DDC9" w:rsidR="00B82A82" w:rsidRDefault="00764242" w:rsidP="00764242">
      <w:pPr>
        <w:pStyle w:val="Numberedlevel2text"/>
      </w:pPr>
      <w:r w:rsidRPr="00764242">
        <w:t>The committee con</w:t>
      </w:r>
      <w:r w:rsidR="004B6FDF">
        <w:rPr>
          <w:lang w:val="en-GB"/>
        </w:rPr>
        <w:t>sidered</w:t>
      </w:r>
      <w:r w:rsidRPr="00764242">
        <w:t xml:space="preserve"> that the most plausible ICER was above the range NICE normally considers to be a cost-effective use of NHS resources for a life-extending treatment at the end of life. It therefore concluded </w:t>
      </w:r>
      <w:r w:rsidR="00F63210">
        <w:rPr>
          <w:lang w:val="en-GB"/>
        </w:rPr>
        <w:t xml:space="preserve">that </w:t>
      </w:r>
      <w:r w:rsidRPr="00764242">
        <w:t xml:space="preserve">it would not recommend </w:t>
      </w:r>
      <w:proofErr w:type="spellStart"/>
      <w:r w:rsidR="006B618D">
        <w:rPr>
          <w:lang w:val="en-US"/>
        </w:rPr>
        <w:t>isatuximab</w:t>
      </w:r>
      <w:proofErr w:type="spellEnd"/>
      <w:r w:rsidR="006B618D">
        <w:rPr>
          <w:lang w:val="en-US"/>
        </w:rPr>
        <w:t xml:space="preserve"> plus pomalidomide </w:t>
      </w:r>
      <w:r w:rsidR="00411342">
        <w:rPr>
          <w:lang w:val="en-US"/>
        </w:rPr>
        <w:t>and</w:t>
      </w:r>
      <w:r w:rsidR="006B618D">
        <w:rPr>
          <w:lang w:val="en-US"/>
        </w:rPr>
        <w:t xml:space="preserve"> dexamethasone</w:t>
      </w:r>
      <w:r w:rsidRPr="00764242">
        <w:t xml:space="preserve"> for relapsed </w:t>
      </w:r>
      <w:r w:rsidR="006B618D">
        <w:rPr>
          <w:lang w:val="en-US"/>
        </w:rPr>
        <w:t>and</w:t>
      </w:r>
      <w:r w:rsidRPr="00764242">
        <w:t xml:space="preserve"> refractory</w:t>
      </w:r>
      <w:r w:rsidR="006B618D">
        <w:rPr>
          <w:lang w:val="en-US"/>
        </w:rPr>
        <w:t xml:space="preserve"> multiple myeloma</w:t>
      </w:r>
      <w:r w:rsidRPr="00764242">
        <w:t>.</w:t>
      </w:r>
    </w:p>
    <w:bookmarkEnd w:id="4"/>
    <w:p w14:paraId="7B69F005" w14:textId="28DCBCD3" w:rsidR="00643582" w:rsidRDefault="00F01EA1" w:rsidP="00643582">
      <w:pPr>
        <w:pStyle w:val="Heading2"/>
      </w:pPr>
      <w:r>
        <w:lastRenderedPageBreak/>
        <w:t>Cancer Drugs Fund</w:t>
      </w:r>
    </w:p>
    <w:p w14:paraId="2A29D725" w14:textId="190C391E" w:rsidR="00643582" w:rsidRDefault="00A5410F" w:rsidP="0073007E">
      <w:pPr>
        <w:pStyle w:val="Heading3"/>
      </w:pPr>
      <w:proofErr w:type="spellStart"/>
      <w:r>
        <w:t>Isatuximab</w:t>
      </w:r>
      <w:proofErr w:type="spellEnd"/>
      <w:r>
        <w:t xml:space="preserve"> plus pomalidomide </w:t>
      </w:r>
      <w:r w:rsidR="00DC686B">
        <w:t>and</w:t>
      </w:r>
      <w:r>
        <w:t xml:space="preserve"> dexamethasone</w:t>
      </w:r>
      <w:r w:rsidR="00210B36">
        <w:t xml:space="preserve"> </w:t>
      </w:r>
      <w:r w:rsidRPr="002B5C68">
        <w:t>does not meet the Cancer Drugs Fund</w:t>
      </w:r>
      <w:r w:rsidR="00375297">
        <w:t xml:space="preserve"> criteria</w:t>
      </w:r>
    </w:p>
    <w:p w14:paraId="222F6C80" w14:textId="5E85CCE8" w:rsidR="00643582" w:rsidRPr="00386A4E" w:rsidRDefault="00643582" w:rsidP="00F74C3D">
      <w:pPr>
        <w:pStyle w:val="Numberedlevel2text"/>
      </w:pPr>
      <w:r w:rsidRPr="00386A4E">
        <w:t xml:space="preserve">Having concluded that </w:t>
      </w:r>
      <w:proofErr w:type="spellStart"/>
      <w:r w:rsidR="00A642BA">
        <w:t>isatuximab</w:t>
      </w:r>
      <w:proofErr w:type="spellEnd"/>
      <w:r w:rsidR="00A642BA">
        <w:t xml:space="preserve"> plus pomalidomide </w:t>
      </w:r>
      <w:r w:rsidR="00411342">
        <w:rPr>
          <w:lang w:val="en-GB"/>
        </w:rPr>
        <w:t>and</w:t>
      </w:r>
      <w:r w:rsidR="00A642BA">
        <w:t xml:space="preserve"> dexamethasone</w:t>
      </w:r>
      <w:r w:rsidRPr="00386A4E">
        <w:t xml:space="preserve"> </w:t>
      </w:r>
      <w:r w:rsidR="00412145">
        <w:rPr>
          <w:lang w:val="en-GB"/>
        </w:rPr>
        <w:t xml:space="preserve">could not be recommended </w:t>
      </w:r>
      <w:r w:rsidRPr="00386A4E">
        <w:t xml:space="preserve">for routine use, the committee then considered if it could </w:t>
      </w:r>
      <w:r w:rsidR="00412145">
        <w:rPr>
          <w:lang w:val="en-GB"/>
        </w:rPr>
        <w:t xml:space="preserve">be </w:t>
      </w:r>
      <w:r w:rsidRPr="00386A4E">
        <w:t xml:space="preserve">recommended </w:t>
      </w:r>
      <w:r w:rsidR="00412145">
        <w:rPr>
          <w:lang w:val="en-GB"/>
        </w:rPr>
        <w:t xml:space="preserve">for treating multiple myeloma </w:t>
      </w:r>
      <w:r w:rsidRPr="00386A4E">
        <w:t xml:space="preserve">within the Cancer Drugs Fund. The committee discussed the arrangements for the Cancer Drugs Fund agreed by NICE and NHS England in 2016, noting </w:t>
      </w:r>
      <w:hyperlink r:id="rId12" w:history="1">
        <w:r w:rsidR="000E6F19" w:rsidRPr="00D019BA">
          <w:rPr>
            <w:rStyle w:val="Hyperlink"/>
            <w:lang w:val="en-GB"/>
          </w:rPr>
          <w:t>NICE’s Cancer Drugs Fund methods guide (addendum)</w:t>
        </w:r>
      </w:hyperlink>
      <w:r w:rsidR="006A701B">
        <w:rPr>
          <w:lang w:val="en-US"/>
        </w:rPr>
        <w:t>. It recalled</w:t>
      </w:r>
      <w:r w:rsidR="00F63210">
        <w:rPr>
          <w:lang w:val="en-US"/>
        </w:rPr>
        <w:t>:</w:t>
      </w:r>
    </w:p>
    <w:p w14:paraId="10623DF9" w14:textId="775D2AEF" w:rsidR="00643582" w:rsidRPr="00210B36" w:rsidRDefault="00210B36" w:rsidP="00643582">
      <w:pPr>
        <w:pStyle w:val="Bulletindent1"/>
      </w:pPr>
      <w:bookmarkStart w:id="5" w:name="_Hlk40355131"/>
      <w:r w:rsidRPr="00210B36">
        <w:t>The</w:t>
      </w:r>
      <w:r w:rsidR="00035AE4">
        <w:t xml:space="preserve"> </w:t>
      </w:r>
      <w:r w:rsidR="00643582" w:rsidRPr="00210B36">
        <w:t xml:space="preserve">company expressed an interest in </w:t>
      </w:r>
      <w:proofErr w:type="spellStart"/>
      <w:r w:rsidR="00B41199">
        <w:t>isatuximab</w:t>
      </w:r>
      <w:proofErr w:type="spellEnd"/>
      <w:r w:rsidR="00B41199">
        <w:t xml:space="preserve"> plus pomalidomide </w:t>
      </w:r>
      <w:r w:rsidR="00411342">
        <w:t>and</w:t>
      </w:r>
      <w:r w:rsidR="00B41199">
        <w:t xml:space="preserve"> dexamethasone</w:t>
      </w:r>
      <w:r w:rsidR="00643582" w:rsidRPr="00210B36">
        <w:t xml:space="preserve"> being considered for the Cancer Drugs Fund.</w:t>
      </w:r>
    </w:p>
    <w:bookmarkEnd w:id="5"/>
    <w:p w14:paraId="2104BA94" w14:textId="40A8157B" w:rsidR="00A5410F" w:rsidRPr="00FB7006" w:rsidRDefault="00316314" w:rsidP="00A5410F">
      <w:pPr>
        <w:pStyle w:val="Bulletindent1"/>
      </w:pPr>
      <w:r w:rsidRPr="00FB7006">
        <w:t xml:space="preserve">Data from ICARIA-MM were immature </w:t>
      </w:r>
      <w:r w:rsidR="00AD5B24">
        <w:t xml:space="preserve">(data cut was October 2018) </w:t>
      </w:r>
      <w:r w:rsidRPr="00FB7006">
        <w:t>and median overall survival was not reached in the</w:t>
      </w:r>
      <w:r w:rsidR="00B41199" w:rsidRPr="00FB7006">
        <w:t xml:space="preserve"> </w:t>
      </w:r>
      <w:proofErr w:type="spellStart"/>
      <w:r w:rsidR="00B41199" w:rsidRPr="00FB7006">
        <w:t>isatuximab</w:t>
      </w:r>
      <w:proofErr w:type="spellEnd"/>
      <w:r w:rsidR="00B41199" w:rsidRPr="00FB7006">
        <w:t xml:space="preserve"> plus pomalidomide </w:t>
      </w:r>
      <w:r w:rsidR="00411342">
        <w:t>and</w:t>
      </w:r>
      <w:r w:rsidR="00B41199" w:rsidRPr="00FB7006">
        <w:t xml:space="preserve"> dexamethasone arm.</w:t>
      </w:r>
    </w:p>
    <w:p w14:paraId="32B2E680" w14:textId="75A59EBD" w:rsidR="00643582" w:rsidRPr="00FB7006" w:rsidRDefault="00FB7006" w:rsidP="0085767D">
      <w:pPr>
        <w:pStyle w:val="Bulletindent1"/>
      </w:pPr>
      <w:r w:rsidRPr="00FB7006">
        <w:t xml:space="preserve">ICARIA-MM </w:t>
      </w:r>
      <w:r w:rsidR="00335E25">
        <w:t xml:space="preserve">is due to </w:t>
      </w:r>
      <w:r w:rsidR="00A716A1">
        <w:t>finish</w:t>
      </w:r>
      <w:r w:rsidR="00335E25">
        <w:t xml:space="preserve"> in March 2021</w:t>
      </w:r>
      <w:r w:rsidRPr="00FB7006">
        <w:t xml:space="preserve">. </w:t>
      </w:r>
      <w:r w:rsidR="00335E25">
        <w:t>Further data from th</w:t>
      </w:r>
      <w:r w:rsidR="00A716A1">
        <w:t>is</w:t>
      </w:r>
      <w:r w:rsidR="00335E25">
        <w:t xml:space="preserve"> trial</w:t>
      </w:r>
      <w:r w:rsidRPr="00FB7006">
        <w:t xml:space="preserve"> could help reduce uncertainties in the </w:t>
      </w:r>
      <w:r w:rsidR="00F64CB4" w:rsidRPr="00FB7006">
        <w:t>long-term</w:t>
      </w:r>
      <w:r w:rsidRPr="00FB7006">
        <w:t xml:space="preserve"> progression-free and overall survival </w:t>
      </w:r>
      <w:r w:rsidR="00682374">
        <w:t xml:space="preserve">and </w:t>
      </w:r>
      <w:r w:rsidR="002936FD">
        <w:t xml:space="preserve">the </w:t>
      </w:r>
      <w:r w:rsidR="00682374">
        <w:t xml:space="preserve">time </w:t>
      </w:r>
      <w:r w:rsidR="004D7BB5">
        <w:t>on</w:t>
      </w:r>
      <w:r w:rsidR="00682374">
        <w:t xml:space="preserve"> treatment </w:t>
      </w:r>
      <w:r w:rsidR="00682374" w:rsidRPr="00FB7006">
        <w:t>estimates</w:t>
      </w:r>
      <w:r w:rsidR="00173A01">
        <w:t>. The committee w</w:t>
      </w:r>
      <w:r w:rsidR="002936FD">
        <w:t>as</w:t>
      </w:r>
      <w:r w:rsidR="00173A01">
        <w:t xml:space="preserve"> aware that overall survival</w:t>
      </w:r>
      <w:r w:rsidR="00DC2D81">
        <w:t xml:space="preserve"> and time </w:t>
      </w:r>
      <w:r w:rsidR="004D7BB5">
        <w:t>on</w:t>
      </w:r>
      <w:r w:rsidR="00DC2D81">
        <w:t xml:space="preserve"> treatment </w:t>
      </w:r>
      <w:r w:rsidR="008647F9">
        <w:t xml:space="preserve">estimates </w:t>
      </w:r>
      <w:r w:rsidR="002936FD">
        <w:t>were</w:t>
      </w:r>
      <w:r w:rsidR="00173A01">
        <w:t xml:space="preserve"> key driver</w:t>
      </w:r>
      <w:r w:rsidR="00DC2D81">
        <w:t>s</w:t>
      </w:r>
      <w:r w:rsidR="00173A01">
        <w:t xml:space="preserve"> of </w:t>
      </w:r>
      <w:r w:rsidR="002936FD">
        <w:t xml:space="preserve">the </w:t>
      </w:r>
      <w:r w:rsidR="00173A01">
        <w:t xml:space="preserve">cost-effectiveness </w:t>
      </w:r>
      <w:r w:rsidR="001552C3">
        <w:t>results</w:t>
      </w:r>
      <w:r w:rsidR="00173A01">
        <w:t xml:space="preserve"> (see section</w:t>
      </w:r>
      <w:r w:rsidR="00DC2D81">
        <w:t>s</w:t>
      </w:r>
      <w:r w:rsidR="002936FD">
        <w:t> </w:t>
      </w:r>
      <w:r w:rsidR="00173A01">
        <w:t>3.11</w:t>
      </w:r>
      <w:r w:rsidR="00DC2D81">
        <w:t xml:space="preserve"> and 3.14</w:t>
      </w:r>
      <w:r w:rsidR="00173A01">
        <w:t>).</w:t>
      </w:r>
    </w:p>
    <w:p w14:paraId="7B207E0A" w14:textId="75DA9F8D" w:rsidR="00035AE4" w:rsidRDefault="00915B3F" w:rsidP="00FB7006">
      <w:pPr>
        <w:pStyle w:val="Bulletindent1"/>
      </w:pPr>
      <w:r>
        <w:t>D</w:t>
      </w:r>
      <w:r w:rsidR="00643582" w:rsidRPr="00F01EA1">
        <w:t xml:space="preserve">ata collection </w:t>
      </w:r>
      <w:r w:rsidR="000C472D">
        <w:t>through</w:t>
      </w:r>
      <w:r w:rsidR="00643582" w:rsidRPr="00F01EA1">
        <w:t xml:space="preserve"> the Systemic Anti-Cancer Therapy dataset </w:t>
      </w:r>
      <w:r w:rsidR="00F01EA1">
        <w:t xml:space="preserve">could </w:t>
      </w:r>
      <w:r w:rsidR="00316314">
        <w:t xml:space="preserve">be used to collect evidence on clinical outcomes for people with multiple myeloma </w:t>
      </w:r>
      <w:r w:rsidR="008E2B6E">
        <w:t>who have had 3 previous treatments</w:t>
      </w:r>
      <w:r w:rsidR="00316314">
        <w:t xml:space="preserve">. It </w:t>
      </w:r>
      <w:r w:rsidR="0095112B">
        <w:t xml:space="preserve">may </w:t>
      </w:r>
      <w:r w:rsidR="00316314">
        <w:t xml:space="preserve">also </w:t>
      </w:r>
      <w:r w:rsidR="0095112B">
        <w:t xml:space="preserve">be able to </w:t>
      </w:r>
      <w:r w:rsidR="00316314">
        <w:t>provide information on the proportion</w:t>
      </w:r>
      <w:r w:rsidR="00A716A1">
        <w:t xml:space="preserve"> of people</w:t>
      </w:r>
      <w:r w:rsidR="00316314">
        <w:t xml:space="preserve"> </w:t>
      </w:r>
      <w:r w:rsidR="00A716A1">
        <w:t>having</w:t>
      </w:r>
      <w:r w:rsidR="00316314">
        <w:t xml:space="preserve"> </w:t>
      </w:r>
      <w:r w:rsidR="00A716A1">
        <w:t>fifth-</w:t>
      </w:r>
      <w:r w:rsidR="00316314">
        <w:t>lin</w:t>
      </w:r>
      <w:r w:rsidR="00F64CB4">
        <w:t>e</w:t>
      </w:r>
      <w:r w:rsidR="00316314">
        <w:t xml:space="preserve"> treatment </w:t>
      </w:r>
      <w:r w:rsidR="00A716A1">
        <w:t xml:space="preserve">after </w:t>
      </w:r>
      <w:r w:rsidR="00316314">
        <w:t>progression</w:t>
      </w:r>
      <w:r w:rsidR="0038087C">
        <w:t xml:space="preserve"> and the treatments </w:t>
      </w:r>
      <w:r w:rsidR="00A716A1">
        <w:t>used</w:t>
      </w:r>
      <w:r w:rsidR="00A642BA">
        <w:t>.</w:t>
      </w:r>
      <w:r w:rsidR="00823E34">
        <w:t xml:space="preserve"> However, there </w:t>
      </w:r>
      <w:r w:rsidR="0037270B">
        <w:t xml:space="preserve">may be </w:t>
      </w:r>
      <w:r w:rsidR="002936FD">
        <w:t>no</w:t>
      </w:r>
      <w:r w:rsidR="008E2B6E">
        <w:t>t</w:t>
      </w:r>
      <w:r w:rsidR="002936FD">
        <w:t xml:space="preserve"> enough </w:t>
      </w:r>
      <w:r w:rsidR="00823E34">
        <w:t xml:space="preserve">time for these data to be collected before </w:t>
      </w:r>
      <w:r w:rsidR="00823E34" w:rsidRPr="00FB7006">
        <w:t>ICARIA</w:t>
      </w:r>
      <w:r w:rsidR="00375297">
        <w:noBreakHyphen/>
      </w:r>
      <w:r w:rsidR="00823E34" w:rsidRPr="00FB7006">
        <w:t>MM</w:t>
      </w:r>
      <w:r w:rsidR="00823E34">
        <w:t xml:space="preserve"> ends.</w:t>
      </w:r>
    </w:p>
    <w:p w14:paraId="33623714" w14:textId="5139CFA3" w:rsidR="00643582" w:rsidRDefault="00A716A1" w:rsidP="00FB7006">
      <w:pPr>
        <w:pStyle w:val="Bulletindent1"/>
      </w:pPr>
      <w:r>
        <w:t>T</w:t>
      </w:r>
      <w:r w:rsidR="00035AE4">
        <w:t>he C</w:t>
      </w:r>
      <w:r w:rsidR="00AD02BC">
        <w:t xml:space="preserve">ancer </w:t>
      </w:r>
      <w:r w:rsidR="00035AE4">
        <w:t>D</w:t>
      </w:r>
      <w:r w:rsidR="00AD02BC">
        <w:t xml:space="preserve">rugs </w:t>
      </w:r>
      <w:r w:rsidR="00035AE4">
        <w:t>F</w:t>
      </w:r>
      <w:r w:rsidR="00AD02BC">
        <w:t>und</w:t>
      </w:r>
      <w:r>
        <w:t xml:space="preserve"> clinical lead stated that</w:t>
      </w:r>
      <w:r w:rsidR="00AD02BC">
        <w:t xml:space="preserve"> because daratumumab</w:t>
      </w:r>
      <w:r w:rsidR="00EC208C">
        <w:t xml:space="preserve">, </w:t>
      </w:r>
      <w:r>
        <w:t xml:space="preserve">an </w:t>
      </w:r>
      <w:r w:rsidR="00C9553F" w:rsidRPr="00CB196E">
        <w:t>anti-CD38 monoc</w:t>
      </w:r>
      <w:r>
        <w:t>l</w:t>
      </w:r>
      <w:r w:rsidR="00C9553F" w:rsidRPr="00CB196E">
        <w:t>onal antibod</w:t>
      </w:r>
      <w:r w:rsidR="00C9553F">
        <w:t>y</w:t>
      </w:r>
      <w:r w:rsidR="00EC208C">
        <w:t xml:space="preserve">, </w:t>
      </w:r>
      <w:r w:rsidR="00AD02BC">
        <w:t xml:space="preserve">is used </w:t>
      </w:r>
      <w:r w:rsidR="007E11EF">
        <w:t xml:space="preserve">for </w:t>
      </w:r>
      <w:r w:rsidR="00EC208C">
        <w:t>second</w:t>
      </w:r>
      <w:r w:rsidR="007E11EF">
        <w:t>-</w:t>
      </w:r>
      <w:r w:rsidR="00EC208C">
        <w:t xml:space="preserve">line </w:t>
      </w:r>
      <w:r w:rsidR="00AD02BC">
        <w:t xml:space="preserve">treatment, there </w:t>
      </w:r>
      <w:r w:rsidR="00EC208C">
        <w:t xml:space="preserve">are fewer </w:t>
      </w:r>
      <w:r w:rsidR="00511F6A">
        <w:t xml:space="preserve">people eligible for </w:t>
      </w:r>
      <w:proofErr w:type="gramStart"/>
      <w:r>
        <w:t>fourth-line</w:t>
      </w:r>
      <w:proofErr w:type="gramEnd"/>
      <w:r>
        <w:t xml:space="preserve"> </w:t>
      </w:r>
      <w:proofErr w:type="spellStart"/>
      <w:r w:rsidR="00BE68B7">
        <w:t>isatuximab</w:t>
      </w:r>
      <w:proofErr w:type="spellEnd"/>
      <w:r w:rsidR="00EC208C">
        <w:t>,</w:t>
      </w:r>
      <w:r>
        <w:t xml:space="preserve"> </w:t>
      </w:r>
      <w:r>
        <w:lastRenderedPageBreak/>
        <w:t>an</w:t>
      </w:r>
      <w:r w:rsidR="003A79E1">
        <w:t>other</w:t>
      </w:r>
      <w:r>
        <w:t xml:space="preserve"> </w:t>
      </w:r>
      <w:r w:rsidR="00C9553F" w:rsidRPr="00CB196E">
        <w:t>anti-CD38 monoclonal antibod</w:t>
      </w:r>
      <w:r w:rsidR="00C9553F">
        <w:t>y</w:t>
      </w:r>
      <w:r w:rsidR="00782A84">
        <w:t xml:space="preserve"> treatment</w:t>
      </w:r>
      <w:r w:rsidR="00BE68B7">
        <w:t>.</w:t>
      </w:r>
      <w:r w:rsidR="00823E34">
        <w:t xml:space="preserve"> This would limit </w:t>
      </w:r>
      <w:r w:rsidR="00AD1CD8">
        <w:t xml:space="preserve">the amount of data that would be collected for </w:t>
      </w:r>
      <w:proofErr w:type="spellStart"/>
      <w:r w:rsidR="00AD1CD8">
        <w:t>isatuximab</w:t>
      </w:r>
      <w:proofErr w:type="spellEnd"/>
      <w:r w:rsidR="00AD1CD8">
        <w:t xml:space="preserve"> in clinical practice. </w:t>
      </w:r>
    </w:p>
    <w:p w14:paraId="461BCD3C" w14:textId="075393A7" w:rsidR="00FB7006" w:rsidRDefault="00A87C6F" w:rsidP="00F64CB4">
      <w:pPr>
        <w:pStyle w:val="Bulletindent2"/>
        <w:numPr>
          <w:ilvl w:val="0"/>
          <w:numId w:val="4"/>
        </w:numPr>
      </w:pPr>
      <w:r>
        <w:t xml:space="preserve">It is </w:t>
      </w:r>
      <w:r w:rsidR="00EC208C">
        <w:t xml:space="preserve">likely that the </w:t>
      </w:r>
      <w:r w:rsidR="00A716A1">
        <w:t xml:space="preserve">cost-effectiveness </w:t>
      </w:r>
      <w:r w:rsidR="00EC208C">
        <w:t xml:space="preserve">estimates </w:t>
      </w:r>
      <w:r w:rsidR="00A716A1">
        <w:t>for</w:t>
      </w:r>
      <w:r w:rsidR="00EC208C">
        <w:t xml:space="preserve"> </w:t>
      </w:r>
      <w:proofErr w:type="spellStart"/>
      <w:r>
        <w:t>isatuximab</w:t>
      </w:r>
      <w:proofErr w:type="spellEnd"/>
      <w:r>
        <w:t xml:space="preserve"> plus pomalidomide </w:t>
      </w:r>
      <w:r w:rsidR="00A716A1">
        <w:t>and</w:t>
      </w:r>
      <w:r>
        <w:t xml:space="preserve"> dexamethasone </w:t>
      </w:r>
      <w:r w:rsidR="00EC208C">
        <w:t xml:space="preserve">would worsen </w:t>
      </w:r>
      <w:r w:rsidR="007F4263">
        <w:t>if</w:t>
      </w:r>
      <w:r>
        <w:t xml:space="preserve"> </w:t>
      </w:r>
      <w:proofErr w:type="gramStart"/>
      <w:r>
        <w:t>all of</w:t>
      </w:r>
      <w:proofErr w:type="gramEnd"/>
      <w:r>
        <w:t xml:space="preserve"> the committee’s preferences</w:t>
      </w:r>
      <w:r w:rsidR="007F4263">
        <w:t xml:space="preserve"> were included</w:t>
      </w:r>
      <w:r>
        <w:t>.</w:t>
      </w:r>
    </w:p>
    <w:p w14:paraId="0673F604" w14:textId="251CCE5B" w:rsidR="00EC208C" w:rsidRDefault="00EC208C" w:rsidP="000E4097">
      <w:pPr>
        <w:pStyle w:val="Bulletindent1last"/>
      </w:pPr>
      <w:r>
        <w:t xml:space="preserve">The </w:t>
      </w:r>
      <w:r w:rsidR="004D6C5D">
        <w:t xml:space="preserve">company’s </w:t>
      </w:r>
      <w:r>
        <w:t xml:space="preserve">price for </w:t>
      </w:r>
      <w:proofErr w:type="spellStart"/>
      <w:r>
        <w:t>isatuximab</w:t>
      </w:r>
      <w:proofErr w:type="spellEnd"/>
      <w:r>
        <w:t xml:space="preserve"> plus pomalidomide </w:t>
      </w:r>
      <w:r w:rsidR="00A716A1">
        <w:t>and</w:t>
      </w:r>
      <w:r>
        <w:t xml:space="preserve"> dexamethasone </w:t>
      </w:r>
      <w:r w:rsidR="00A716A1">
        <w:t>means that it does not</w:t>
      </w:r>
      <w:r>
        <w:t xml:space="preserve"> hav</w:t>
      </w:r>
      <w:r w:rsidR="00A716A1">
        <w:t>e</w:t>
      </w:r>
      <w:r>
        <w:t xml:space="preserve"> plausible potential to be cost effective at the current price.</w:t>
      </w:r>
    </w:p>
    <w:p w14:paraId="2EAF76BF" w14:textId="4335CA7F" w:rsidR="00643582" w:rsidRDefault="00643582" w:rsidP="00643582">
      <w:pPr>
        <w:pStyle w:val="NICEnormalindented"/>
      </w:pPr>
      <w:r>
        <w:t xml:space="preserve">The committee </w:t>
      </w:r>
      <w:r w:rsidR="00093415">
        <w:t>concluded</w:t>
      </w:r>
      <w:r>
        <w:t xml:space="preserve"> that </w:t>
      </w:r>
      <w:r w:rsidR="00316314">
        <w:t xml:space="preserve">although further data collected </w:t>
      </w:r>
      <w:r w:rsidR="0026157F">
        <w:t>in</w:t>
      </w:r>
      <w:r w:rsidR="00316314">
        <w:t xml:space="preserve"> the Cancer Drugs Fund </w:t>
      </w:r>
      <w:r w:rsidR="002B6225">
        <w:t>may</w:t>
      </w:r>
      <w:r w:rsidR="00316314">
        <w:t xml:space="preserve"> re</w:t>
      </w:r>
      <w:r w:rsidR="00BE60A3">
        <w:t>duce</w:t>
      </w:r>
      <w:r w:rsidR="00316314">
        <w:t xml:space="preserve"> </w:t>
      </w:r>
      <w:r w:rsidR="00BE60A3">
        <w:t>uncertainties in the evidence</w:t>
      </w:r>
      <w:r w:rsidR="00456369">
        <w:t xml:space="preserve">, </w:t>
      </w:r>
      <w:proofErr w:type="spellStart"/>
      <w:r w:rsidR="00A642BA">
        <w:t>isatuximab</w:t>
      </w:r>
      <w:proofErr w:type="spellEnd"/>
      <w:r w:rsidR="00A642BA">
        <w:t xml:space="preserve"> plus pomalidomide </w:t>
      </w:r>
      <w:r w:rsidR="00093415">
        <w:t>and</w:t>
      </w:r>
      <w:r w:rsidR="00A642BA">
        <w:t xml:space="preserve"> dexamethasone did not</w:t>
      </w:r>
      <w:r w:rsidR="00316314">
        <w:t xml:space="preserve"> </w:t>
      </w:r>
      <w:r w:rsidR="00AA7E33">
        <w:t>me</w:t>
      </w:r>
      <w:r w:rsidR="00A642BA">
        <w:t>e</w:t>
      </w:r>
      <w:r w:rsidR="00AA7E33">
        <w:t>t</w:t>
      </w:r>
      <w:r>
        <w:t xml:space="preserve"> the criteria to be considered for inclusion in the Cancer Drugs Fund.</w:t>
      </w:r>
    </w:p>
    <w:p w14:paraId="11CDD2A3" w14:textId="6B851884" w:rsidR="003F5BC0" w:rsidRDefault="003F5BC0" w:rsidP="003F5BC0">
      <w:pPr>
        <w:pStyle w:val="Heading2"/>
      </w:pPr>
      <w:r>
        <w:t>Innovation</w:t>
      </w:r>
    </w:p>
    <w:p w14:paraId="6C0A65EE" w14:textId="01A64CBF" w:rsidR="003F5BC0" w:rsidRDefault="003F5BC0" w:rsidP="003F5BC0">
      <w:pPr>
        <w:pStyle w:val="Heading3"/>
      </w:pPr>
      <w:r>
        <w:t xml:space="preserve">The model adequately captures the benefits of </w:t>
      </w:r>
      <w:proofErr w:type="spellStart"/>
      <w:r>
        <w:t>isatuximab</w:t>
      </w:r>
      <w:proofErr w:type="spellEnd"/>
      <w:r>
        <w:t xml:space="preserve"> plus pomalidomide </w:t>
      </w:r>
      <w:r w:rsidR="00093415">
        <w:t>and</w:t>
      </w:r>
      <w:r>
        <w:t xml:space="preserve"> dexamethasone</w:t>
      </w:r>
    </w:p>
    <w:p w14:paraId="4D70ACAE" w14:textId="3A1BF2F2" w:rsidR="003F5BC0" w:rsidRDefault="00296167" w:rsidP="00CB196E">
      <w:pPr>
        <w:pStyle w:val="Numberedlevel2text"/>
      </w:pPr>
      <w:r w:rsidRPr="00FF71A1">
        <w:t>The company consider</w:t>
      </w:r>
      <w:r w:rsidR="00093415">
        <w:rPr>
          <w:lang w:val="en-GB"/>
        </w:rPr>
        <w:t>ed</w:t>
      </w:r>
      <w:r w:rsidR="00C9553F">
        <w:rPr>
          <w:lang w:val="en-GB"/>
        </w:rPr>
        <w:t xml:space="preserve"> </w:t>
      </w:r>
      <w:proofErr w:type="spellStart"/>
      <w:r w:rsidRPr="00FF71A1">
        <w:t>isatuximab</w:t>
      </w:r>
      <w:proofErr w:type="spellEnd"/>
      <w:r w:rsidRPr="00FF71A1">
        <w:t xml:space="preserve"> plus pomalidomide </w:t>
      </w:r>
      <w:r w:rsidR="00093415">
        <w:rPr>
          <w:lang w:val="en-GB"/>
        </w:rPr>
        <w:t>and</w:t>
      </w:r>
      <w:r w:rsidRPr="00FF71A1">
        <w:t xml:space="preserve"> dexamethasone </w:t>
      </w:r>
      <w:r w:rsidR="00FB5CFC">
        <w:rPr>
          <w:lang w:val="en-GB"/>
        </w:rPr>
        <w:t>to be</w:t>
      </w:r>
      <w:r w:rsidRPr="00FF71A1">
        <w:t xml:space="preserve"> innovative. </w:t>
      </w:r>
      <w:r w:rsidR="00FB5CFC">
        <w:rPr>
          <w:lang w:val="en-GB"/>
        </w:rPr>
        <w:t>This is because i</w:t>
      </w:r>
      <w:r w:rsidR="00C9553F">
        <w:rPr>
          <w:lang w:val="en-GB"/>
        </w:rPr>
        <w:t>t</w:t>
      </w:r>
      <w:r w:rsidR="00C9553F" w:rsidRPr="00FF71A1">
        <w:t xml:space="preserve"> </w:t>
      </w:r>
      <w:r w:rsidRPr="00FF71A1">
        <w:t xml:space="preserve">is the first treatment option for relapsed and refractory multiple myeloma </w:t>
      </w:r>
      <w:r w:rsidR="00FB5CFC">
        <w:rPr>
          <w:lang w:val="en-GB"/>
        </w:rPr>
        <w:t>to</w:t>
      </w:r>
      <w:r w:rsidRPr="00FF71A1">
        <w:t xml:space="preserve"> combin</w:t>
      </w:r>
      <w:r w:rsidR="00C9553F">
        <w:rPr>
          <w:lang w:val="en-GB"/>
        </w:rPr>
        <w:t>e</w:t>
      </w:r>
      <w:r w:rsidRPr="00FF71A1">
        <w:t xml:space="preserve"> an anti-CD38 </w:t>
      </w:r>
      <w:r w:rsidR="00782C86">
        <w:rPr>
          <w:lang w:val="en-GB"/>
        </w:rPr>
        <w:t xml:space="preserve">monoclonal </w:t>
      </w:r>
      <w:r w:rsidRPr="00FF71A1">
        <w:t>antibody and an</w:t>
      </w:r>
      <w:r w:rsidR="00093415">
        <w:rPr>
          <w:lang w:val="en-GB"/>
        </w:rPr>
        <w:t xml:space="preserve"> </w:t>
      </w:r>
      <w:r w:rsidRPr="00FF71A1">
        <w:t xml:space="preserve">immunomodulatory agent. </w:t>
      </w:r>
      <w:r w:rsidR="00FB5CFC">
        <w:rPr>
          <w:lang w:val="en-GB"/>
        </w:rPr>
        <w:t>The company</w:t>
      </w:r>
      <w:r w:rsidR="00C9553F" w:rsidRPr="00FF71A1">
        <w:t xml:space="preserve"> </w:t>
      </w:r>
      <w:r w:rsidRPr="00FF71A1">
        <w:t>also</w:t>
      </w:r>
      <w:r w:rsidRPr="00CB196E">
        <w:t xml:space="preserve"> highlighted that </w:t>
      </w:r>
      <w:r w:rsidR="00C9553F">
        <w:rPr>
          <w:lang w:val="en-GB"/>
        </w:rPr>
        <w:t>the treatment</w:t>
      </w:r>
      <w:r w:rsidRPr="00CB196E">
        <w:t xml:space="preserve"> </w:t>
      </w:r>
      <w:r w:rsidR="00093415">
        <w:rPr>
          <w:lang w:val="en-GB"/>
        </w:rPr>
        <w:t>shows</w:t>
      </w:r>
      <w:r w:rsidRPr="00CB196E">
        <w:t xml:space="preserve"> benefit in a population</w:t>
      </w:r>
      <w:r w:rsidR="00093415">
        <w:rPr>
          <w:lang w:val="en-GB"/>
        </w:rPr>
        <w:t xml:space="preserve"> who have had many previous treatments</w:t>
      </w:r>
      <w:r w:rsidRPr="00CB196E">
        <w:t xml:space="preserve">. The </w:t>
      </w:r>
      <w:r w:rsidR="00C9553F">
        <w:t>Cancer Drugs Fund</w:t>
      </w:r>
      <w:r w:rsidR="00C9553F" w:rsidRPr="00CB196E">
        <w:t xml:space="preserve"> </w:t>
      </w:r>
      <w:r w:rsidR="00093415" w:rsidRPr="00CB196E">
        <w:t>clinical lead</w:t>
      </w:r>
      <w:r w:rsidR="00093415">
        <w:rPr>
          <w:lang w:val="en-GB"/>
        </w:rPr>
        <w:t xml:space="preserve"> </w:t>
      </w:r>
      <w:r w:rsidRPr="00CB196E">
        <w:t>stated that there are currently no anti-CD38 antibod</w:t>
      </w:r>
      <w:r w:rsidR="006A57B3">
        <w:rPr>
          <w:lang w:val="en-GB"/>
        </w:rPr>
        <w:t>y treatment</w:t>
      </w:r>
      <w:proofErr w:type="spellStart"/>
      <w:r w:rsidRPr="00CB196E">
        <w:t>s</w:t>
      </w:r>
      <w:proofErr w:type="spellEnd"/>
      <w:r w:rsidRPr="00CB196E">
        <w:t xml:space="preserve"> recommended for </w:t>
      </w:r>
      <w:r w:rsidR="00093415">
        <w:rPr>
          <w:lang w:val="en-GB"/>
        </w:rPr>
        <w:t xml:space="preserve">NHS </w:t>
      </w:r>
      <w:r w:rsidRPr="00CB196E">
        <w:t xml:space="preserve">routine commissioning to treat multiple myeloma. </w:t>
      </w:r>
      <w:r w:rsidR="00282909">
        <w:rPr>
          <w:lang w:val="en-GB"/>
        </w:rPr>
        <w:t>H</w:t>
      </w:r>
      <w:r w:rsidR="00FB5CFC">
        <w:rPr>
          <w:lang w:val="en-GB"/>
        </w:rPr>
        <w:t>e</w:t>
      </w:r>
      <w:r w:rsidR="00282909">
        <w:rPr>
          <w:lang w:val="en-GB"/>
        </w:rPr>
        <w:t xml:space="preserve"> </w:t>
      </w:r>
      <w:r w:rsidRPr="00FF71A1">
        <w:t>also noted that the compa</w:t>
      </w:r>
      <w:r w:rsidRPr="00CB196E">
        <w:t>ny support</w:t>
      </w:r>
      <w:r w:rsidR="00FB5CFC">
        <w:rPr>
          <w:lang w:val="en-GB"/>
        </w:rPr>
        <w:t>ed</w:t>
      </w:r>
      <w:r w:rsidRPr="00CB196E">
        <w:t xml:space="preserve"> a </w:t>
      </w:r>
      <w:r w:rsidR="00C9553F">
        <w:rPr>
          <w:lang w:val="en-GB"/>
        </w:rPr>
        <w:t xml:space="preserve">recommendation </w:t>
      </w:r>
      <w:r w:rsidR="00E932F1">
        <w:rPr>
          <w:lang w:val="en-GB"/>
        </w:rPr>
        <w:t>in</w:t>
      </w:r>
      <w:r w:rsidR="00C9553F">
        <w:rPr>
          <w:lang w:val="en-GB"/>
        </w:rPr>
        <w:t xml:space="preserve"> the </w:t>
      </w:r>
      <w:r w:rsidR="00C9553F">
        <w:t>Cancer Drugs Fund</w:t>
      </w:r>
      <w:r w:rsidR="00782A84">
        <w:rPr>
          <w:lang w:val="en-GB"/>
        </w:rPr>
        <w:t>.</w:t>
      </w:r>
      <w:r w:rsidR="00C9553F" w:rsidRPr="00CB196E">
        <w:t xml:space="preserve"> </w:t>
      </w:r>
      <w:r w:rsidR="00782A84">
        <w:rPr>
          <w:lang w:val="en-GB"/>
        </w:rPr>
        <w:t>B</w:t>
      </w:r>
      <w:r w:rsidR="00FB5CFC">
        <w:rPr>
          <w:lang w:val="en-GB"/>
        </w:rPr>
        <w:t>ut</w:t>
      </w:r>
      <w:r w:rsidR="00C9553F">
        <w:rPr>
          <w:lang w:val="en-GB"/>
        </w:rPr>
        <w:t xml:space="preserve"> the </w:t>
      </w:r>
      <w:r w:rsidR="00C9553F">
        <w:t>Cancer Drugs Fund</w:t>
      </w:r>
      <w:r w:rsidR="00C9553F">
        <w:rPr>
          <w:lang w:val="en-GB"/>
        </w:rPr>
        <w:t xml:space="preserve"> already offers</w:t>
      </w:r>
      <w:r w:rsidRPr="00CB196E">
        <w:t xml:space="preserve"> access to</w:t>
      </w:r>
      <w:r w:rsidR="00FB5CFC">
        <w:rPr>
          <w:lang w:val="en-GB"/>
        </w:rPr>
        <w:t xml:space="preserve"> </w:t>
      </w:r>
      <w:r w:rsidRPr="00CB196E">
        <w:t>anti-CD38 antibody treatment at second line</w:t>
      </w:r>
      <w:r w:rsidR="00C9553F">
        <w:rPr>
          <w:lang w:val="en-GB"/>
        </w:rPr>
        <w:t xml:space="preserve"> </w:t>
      </w:r>
      <w:r w:rsidR="00782A84">
        <w:rPr>
          <w:lang w:val="en-GB"/>
        </w:rPr>
        <w:t>(</w:t>
      </w:r>
      <w:r w:rsidRPr="00CB196E">
        <w:t xml:space="preserve">daratumumab plus bortezomib </w:t>
      </w:r>
      <w:r w:rsidR="00FB5CFC">
        <w:rPr>
          <w:lang w:val="en-GB"/>
        </w:rPr>
        <w:t>and</w:t>
      </w:r>
      <w:r w:rsidRPr="00CB196E">
        <w:t xml:space="preserve"> dexamethasone</w:t>
      </w:r>
      <w:r w:rsidR="00782A84">
        <w:rPr>
          <w:lang w:val="en-GB"/>
        </w:rPr>
        <w:t>)</w:t>
      </w:r>
      <w:r w:rsidRPr="00CB196E">
        <w:t xml:space="preserve"> and at fourth line</w:t>
      </w:r>
      <w:r w:rsidR="00C9553F">
        <w:rPr>
          <w:lang w:val="en-GB"/>
        </w:rPr>
        <w:t xml:space="preserve"> </w:t>
      </w:r>
      <w:r w:rsidR="00782A84">
        <w:rPr>
          <w:lang w:val="en-GB"/>
        </w:rPr>
        <w:t>(</w:t>
      </w:r>
      <w:r w:rsidRPr="00CB196E">
        <w:t>daratumumab alone</w:t>
      </w:r>
      <w:r w:rsidR="00782A84">
        <w:rPr>
          <w:lang w:val="en-GB"/>
        </w:rPr>
        <w:t>)</w:t>
      </w:r>
      <w:r w:rsidRPr="00CB196E">
        <w:t xml:space="preserve">. </w:t>
      </w:r>
      <w:r w:rsidR="00D137D5">
        <w:rPr>
          <w:lang w:val="en-GB"/>
        </w:rPr>
        <w:t xml:space="preserve">The committee considered that the model captured all </w:t>
      </w:r>
      <w:r w:rsidR="000C472D">
        <w:rPr>
          <w:lang w:val="en-GB"/>
        </w:rPr>
        <w:t>health-related quality</w:t>
      </w:r>
      <w:r w:rsidR="00782A84">
        <w:rPr>
          <w:lang w:val="en-GB"/>
        </w:rPr>
        <w:t>-</w:t>
      </w:r>
      <w:r w:rsidR="000C472D">
        <w:rPr>
          <w:lang w:val="en-GB"/>
        </w:rPr>
        <w:t>of</w:t>
      </w:r>
      <w:r w:rsidR="00782A84">
        <w:rPr>
          <w:lang w:val="en-GB"/>
        </w:rPr>
        <w:t>-</w:t>
      </w:r>
      <w:r w:rsidR="000C472D">
        <w:rPr>
          <w:lang w:val="en-GB"/>
        </w:rPr>
        <w:t xml:space="preserve">life </w:t>
      </w:r>
      <w:r w:rsidR="00D137D5">
        <w:rPr>
          <w:lang w:val="en-GB"/>
        </w:rPr>
        <w:t xml:space="preserve">benefits. </w:t>
      </w:r>
      <w:r w:rsidR="00FB5CFC">
        <w:rPr>
          <w:lang w:val="en-GB"/>
        </w:rPr>
        <w:t>It</w:t>
      </w:r>
      <w:r w:rsidRPr="00CB196E">
        <w:t xml:space="preserve"> concluded that it had not been presented with </w:t>
      </w:r>
      <w:r w:rsidRPr="00CB196E">
        <w:lastRenderedPageBreak/>
        <w:t xml:space="preserve">any evidence of </w:t>
      </w:r>
      <w:r w:rsidR="00E50F60" w:rsidRPr="00CB196E">
        <w:t xml:space="preserve">additional </w:t>
      </w:r>
      <w:r w:rsidRPr="00CB196E">
        <w:t xml:space="preserve">benefits </w:t>
      </w:r>
      <w:r w:rsidR="000D2A4C">
        <w:rPr>
          <w:lang w:val="en-GB"/>
        </w:rPr>
        <w:t xml:space="preserve">from treatment with </w:t>
      </w:r>
      <w:proofErr w:type="spellStart"/>
      <w:r w:rsidR="000D2A4C">
        <w:t>isatuximab</w:t>
      </w:r>
      <w:proofErr w:type="spellEnd"/>
      <w:r w:rsidR="000D2A4C">
        <w:t xml:space="preserve"> plus pomalidomide </w:t>
      </w:r>
      <w:r w:rsidR="00FB5CFC">
        <w:rPr>
          <w:lang w:val="en-GB"/>
        </w:rPr>
        <w:t>and</w:t>
      </w:r>
      <w:r w:rsidR="000D2A4C">
        <w:t xml:space="preserve"> dexamethasone</w:t>
      </w:r>
      <w:r w:rsidRPr="00CB196E">
        <w:t>.</w:t>
      </w:r>
    </w:p>
    <w:p w14:paraId="5D6878F5" w14:textId="2EBE1122" w:rsidR="00643582" w:rsidRPr="00735682" w:rsidRDefault="00057E9F" w:rsidP="000D64A9">
      <w:pPr>
        <w:pStyle w:val="Heading2"/>
      </w:pPr>
      <w:r>
        <w:t xml:space="preserve">Other </w:t>
      </w:r>
      <w:r w:rsidR="00412145">
        <w:t>f</w:t>
      </w:r>
      <w:r>
        <w:t>actors</w:t>
      </w:r>
    </w:p>
    <w:p w14:paraId="5740D73C" w14:textId="43C86336" w:rsidR="00643582" w:rsidRPr="00AE3728" w:rsidRDefault="00F01EA1" w:rsidP="00F74C3D">
      <w:pPr>
        <w:pStyle w:val="Numberedlevel2text"/>
      </w:pPr>
      <w:r w:rsidRPr="00F01EA1">
        <w:t>No equality</w:t>
      </w:r>
      <w:r>
        <w:rPr>
          <w:lang w:val="en-US"/>
        </w:rPr>
        <w:t xml:space="preserve"> or </w:t>
      </w:r>
      <w:r w:rsidRPr="00F01EA1">
        <w:t>social value judgement</w:t>
      </w:r>
      <w:r w:rsidR="006A701B">
        <w:rPr>
          <w:lang w:val="en-US"/>
        </w:rPr>
        <w:t xml:space="preserve"> </w:t>
      </w:r>
      <w:r w:rsidRPr="00F01EA1">
        <w:t>issues were identified.</w:t>
      </w:r>
    </w:p>
    <w:p w14:paraId="389BC3BB" w14:textId="31850AF7" w:rsidR="000F48EC" w:rsidRPr="000F48EC" w:rsidRDefault="00452422" w:rsidP="002E73E7">
      <w:pPr>
        <w:pStyle w:val="Numberedheading1"/>
      </w:pPr>
      <w:r>
        <w:t>Re</w:t>
      </w:r>
      <w:r w:rsidR="000F48EC" w:rsidRPr="000F48EC">
        <w:t>view of guidance</w:t>
      </w:r>
    </w:p>
    <w:p w14:paraId="4E61569C" w14:textId="4CA41FF0" w:rsidR="001823EB" w:rsidRDefault="001823EB" w:rsidP="001D0DD4">
      <w:pPr>
        <w:pStyle w:val="Numberedlevel2text"/>
      </w:pPr>
      <w:r w:rsidRPr="00044CC7">
        <w:t xml:space="preserve">NICE proposes that the guidance on this technology is considered for review by the </w:t>
      </w:r>
      <w:r>
        <w:rPr>
          <w:lang w:val="en-GB"/>
        </w:rPr>
        <w:t>g</w:t>
      </w:r>
      <w:proofErr w:type="spellStart"/>
      <w:r w:rsidRPr="00044CC7">
        <w:t>uidance</w:t>
      </w:r>
      <w:proofErr w:type="spellEnd"/>
      <w:r w:rsidRPr="00044CC7">
        <w:t xml:space="preserve"> </w:t>
      </w:r>
      <w:r w:rsidR="004A40CC" w:rsidRPr="00044CC7">
        <w:t>executive</w:t>
      </w:r>
      <w:r>
        <w:rPr>
          <w:lang w:val="en-GB"/>
        </w:rPr>
        <w:t xml:space="preserve"> 3 years after publication of the guidance</w:t>
      </w:r>
      <w:r w:rsidRPr="00044CC7">
        <w:t xml:space="preserve">. NICE welcomes comment on this proposed date. The </w:t>
      </w:r>
      <w:r>
        <w:rPr>
          <w:lang w:val="en-GB"/>
        </w:rPr>
        <w:t>g</w:t>
      </w:r>
      <w:proofErr w:type="spellStart"/>
      <w:r w:rsidRPr="00044CC7">
        <w:t>uidance</w:t>
      </w:r>
      <w:proofErr w:type="spellEnd"/>
      <w:r w:rsidRPr="00044CC7">
        <w:t xml:space="preserve"> </w:t>
      </w:r>
      <w:r>
        <w:rPr>
          <w:lang w:val="en-GB"/>
        </w:rPr>
        <w:t>e</w:t>
      </w:r>
      <w:proofErr w:type="spellStart"/>
      <w:r w:rsidRPr="00044CC7">
        <w:t>xecutive</w:t>
      </w:r>
      <w:proofErr w:type="spellEnd"/>
      <w:r w:rsidRPr="00044CC7">
        <w:t xml:space="preserve"> will decide whether the technology should be reviewed based on information gathered by NICE, and in consul</w:t>
      </w:r>
      <w:r w:rsidR="000D2A4C">
        <w:rPr>
          <w:lang w:val="en-GB"/>
        </w:rPr>
        <w:t>ta</w:t>
      </w:r>
      <w:proofErr w:type="spellStart"/>
      <w:r w:rsidRPr="00044CC7">
        <w:t>tion</w:t>
      </w:r>
      <w:proofErr w:type="spellEnd"/>
      <w:r w:rsidRPr="00044CC7">
        <w:t xml:space="preserve"> with consultees and commentators.</w:t>
      </w:r>
    </w:p>
    <w:p w14:paraId="6A765E04" w14:textId="37075A41" w:rsidR="004845D0" w:rsidRDefault="00BA200E" w:rsidP="00ED5F88">
      <w:pPr>
        <w:pStyle w:val="NICEnormal"/>
      </w:pPr>
      <w:r>
        <w:t xml:space="preserve">Amanda Adler </w:t>
      </w:r>
      <w:r w:rsidR="004845D0">
        <w:br/>
      </w:r>
      <w:r w:rsidR="004845D0" w:rsidRPr="000F2D8A">
        <w:t xml:space="preserve">Chair, </w:t>
      </w:r>
      <w:r w:rsidR="00412145">
        <w:t>a</w:t>
      </w:r>
      <w:r w:rsidR="004845D0" w:rsidRPr="000F2D8A">
        <w:t xml:space="preserve">ppraisal </w:t>
      </w:r>
      <w:r w:rsidR="00412145">
        <w:t>c</w:t>
      </w:r>
      <w:r w:rsidR="004845D0" w:rsidRPr="000F2D8A">
        <w:t>ommittee</w:t>
      </w:r>
      <w:r>
        <w:t xml:space="preserve"> B</w:t>
      </w:r>
      <w:r w:rsidR="004845D0">
        <w:br/>
      </w:r>
      <w:r w:rsidR="001D4C51">
        <w:t>May 2020</w:t>
      </w:r>
    </w:p>
    <w:p w14:paraId="5A01BC0F" w14:textId="77777777" w:rsidR="00B16431" w:rsidRPr="007D7F83" w:rsidRDefault="00B16431" w:rsidP="00F74C3D">
      <w:pPr>
        <w:pStyle w:val="Numberedheading1"/>
      </w:pPr>
      <w:r w:rsidRPr="007D7F83">
        <w:t xml:space="preserve">Appraisal </w:t>
      </w:r>
      <w:r w:rsidR="00343B53">
        <w:t>c</w:t>
      </w:r>
      <w:r w:rsidRPr="007D7F83">
        <w:t>ommittee members and NICE project team</w:t>
      </w:r>
    </w:p>
    <w:p w14:paraId="0F9867EA" w14:textId="77777777" w:rsidR="00B16431" w:rsidRPr="007D7F83" w:rsidRDefault="00B16431" w:rsidP="00B16431">
      <w:pPr>
        <w:pStyle w:val="Heading2"/>
      </w:pPr>
      <w:r w:rsidRPr="007D7F83">
        <w:t xml:space="preserve">Appraisal </w:t>
      </w:r>
      <w:r w:rsidR="00343B53">
        <w:t>c</w:t>
      </w:r>
      <w:r w:rsidRPr="007D7F83">
        <w:t>ommittee members</w:t>
      </w:r>
    </w:p>
    <w:p w14:paraId="64D73507" w14:textId="301E4196" w:rsidR="002F2583" w:rsidRPr="00742089" w:rsidRDefault="002F2583" w:rsidP="002F2583">
      <w:pPr>
        <w:pStyle w:val="NICEnormal"/>
        <w:rPr>
          <w:rFonts w:eastAsia="Calibri"/>
        </w:rPr>
      </w:pPr>
      <w:r>
        <w:t xml:space="preserve">The 4 technology appraisal committees are standing advisory committees of NICE. This topic was considered by </w:t>
      </w:r>
      <w:hyperlink r:id="rId13" w:history="1">
        <w:r w:rsidR="000D64A9">
          <w:rPr>
            <w:rStyle w:val="Hyperlink"/>
            <w:rFonts w:eastAsia="Calibri"/>
          </w:rPr>
          <w:t>committee B</w:t>
        </w:r>
      </w:hyperlink>
      <w:r>
        <w:t>.</w:t>
      </w:r>
    </w:p>
    <w:p w14:paraId="2F1A3026" w14:textId="13C6E665" w:rsidR="002F2583" w:rsidRDefault="002F2583" w:rsidP="002F2583">
      <w:pPr>
        <w:pStyle w:val="NICEnormal"/>
      </w:pPr>
      <w:r>
        <w:t>Committee members are asked to declare any interests in the technology to be appraised. If it is considered there is a conflict of interest, the member is excluded from participating further in that appraisal.</w:t>
      </w:r>
    </w:p>
    <w:p w14:paraId="1AB5FD25" w14:textId="77777777" w:rsidR="002F2583" w:rsidRDefault="002F2583" w:rsidP="002F2583">
      <w:pPr>
        <w:pStyle w:val="NICEnormal"/>
      </w:pPr>
      <w:r>
        <w:t xml:space="preserve">The </w:t>
      </w:r>
      <w:hyperlink r:id="rId14" w:history="1">
        <w:r w:rsidRPr="007620C2">
          <w:rPr>
            <w:rStyle w:val="Hyperlink"/>
            <w:rFonts w:eastAsia="Calibri"/>
          </w:rPr>
          <w:t>minutes</w:t>
        </w:r>
        <w:r w:rsidRPr="007620C2">
          <w:rPr>
            <w:rStyle w:val="Hyperlink"/>
          </w:rPr>
          <w:t xml:space="preserve"> of each appraisal committee meeting</w:t>
        </w:r>
      </w:hyperlink>
      <w:r>
        <w:t>, which include the names of the members who attended and their declarations of interests, are posted on the NICE website.</w:t>
      </w:r>
    </w:p>
    <w:p w14:paraId="6AD6F6C8" w14:textId="77777777" w:rsidR="00B16431" w:rsidRPr="007D7F83" w:rsidRDefault="00B16431" w:rsidP="00B16431">
      <w:pPr>
        <w:pStyle w:val="Heading2"/>
      </w:pPr>
      <w:r w:rsidRPr="007D7F83">
        <w:lastRenderedPageBreak/>
        <w:t>NICE project team</w:t>
      </w:r>
    </w:p>
    <w:p w14:paraId="53C652F6" w14:textId="50816E6E" w:rsidR="00B16431" w:rsidRPr="000F2D8A" w:rsidRDefault="00B16431" w:rsidP="00B16431">
      <w:pPr>
        <w:pStyle w:val="NICEnormal"/>
      </w:pPr>
      <w:r w:rsidRPr="0058413D">
        <w:t xml:space="preserve">Each technology appraisal is assigned to a team consisting of </w:t>
      </w:r>
      <w:r>
        <w:t>1</w:t>
      </w:r>
      <w:r w:rsidRPr="0058413D">
        <w:t xml:space="preserve"> or more health technology analysts (who act as technical leads for the appraisal), a technical adviser and a project manager.</w:t>
      </w:r>
    </w:p>
    <w:p w14:paraId="7A698E64" w14:textId="0FF2F3C1" w:rsidR="00B16431" w:rsidRPr="000F2D8A" w:rsidRDefault="001D4C51" w:rsidP="00B16431">
      <w:pPr>
        <w:pStyle w:val="NICEnormal"/>
      </w:pPr>
      <w:bookmarkStart w:id="6" w:name="Text45"/>
      <w:r>
        <w:rPr>
          <w:b/>
        </w:rPr>
        <w:t>Alan Moore</w:t>
      </w:r>
      <w:r w:rsidR="00B16431">
        <w:br/>
      </w:r>
      <w:r w:rsidR="00B16431" w:rsidRPr="000F2D8A">
        <w:t xml:space="preserve">Technical </w:t>
      </w:r>
      <w:r w:rsidR="00E65C76">
        <w:t>l</w:t>
      </w:r>
      <w:r w:rsidR="00B16431" w:rsidRPr="000F2D8A">
        <w:t>ead</w:t>
      </w:r>
    </w:p>
    <w:p w14:paraId="3E88892A" w14:textId="3E6718AD" w:rsidR="00B16431" w:rsidRPr="000F2D8A" w:rsidRDefault="001D4C51" w:rsidP="00B16431">
      <w:pPr>
        <w:pStyle w:val="NICEnormal"/>
      </w:pPr>
      <w:r>
        <w:rPr>
          <w:b/>
        </w:rPr>
        <w:t>Emily Eaton Turner</w:t>
      </w:r>
      <w:r w:rsidR="00B16431">
        <w:br/>
      </w:r>
      <w:r w:rsidR="00B16431" w:rsidRPr="00AF59A2">
        <w:t xml:space="preserve">Technical </w:t>
      </w:r>
      <w:r w:rsidR="00E65C76">
        <w:t>a</w:t>
      </w:r>
      <w:r w:rsidR="00B16431" w:rsidRPr="00AF59A2">
        <w:t>dviser</w:t>
      </w:r>
    </w:p>
    <w:p w14:paraId="1702ED66" w14:textId="3EF9ED7E" w:rsidR="00B16431" w:rsidRPr="000F2D8A" w:rsidRDefault="001D4C51" w:rsidP="005D3FD9">
      <w:pPr>
        <w:pStyle w:val="NICEnormal"/>
      </w:pPr>
      <w:r>
        <w:rPr>
          <w:b/>
        </w:rPr>
        <w:t xml:space="preserve">Jeremy Powell </w:t>
      </w:r>
      <w:r w:rsidR="00B16431">
        <w:br/>
      </w:r>
      <w:r w:rsidR="00B16431" w:rsidRPr="000F2D8A">
        <w:t xml:space="preserve">Project </w:t>
      </w:r>
      <w:r w:rsidR="00E65C76">
        <w:t>m</w:t>
      </w:r>
      <w:r w:rsidR="00B16431" w:rsidRPr="000F2D8A">
        <w:t>anager</w:t>
      </w:r>
      <w:bookmarkEnd w:id="6"/>
    </w:p>
    <w:p w14:paraId="665A0D10" w14:textId="77777777" w:rsidR="006E7647" w:rsidRPr="000F48EC" w:rsidRDefault="006E7647" w:rsidP="00F05E37">
      <w:pPr>
        <w:pStyle w:val="NICEnormal"/>
      </w:pPr>
      <w:r>
        <w:t xml:space="preserve">ISBN: </w:t>
      </w:r>
      <w:r w:rsidRPr="004D7C92">
        <w:rPr>
          <w:highlight w:val="green"/>
        </w:rPr>
        <w:t>[to be added at publication]</w:t>
      </w:r>
      <w:bookmarkEnd w:id="0"/>
    </w:p>
    <w:sectPr w:rsidR="006E7647" w:rsidRPr="000F48EC" w:rsidSect="00C76DDA">
      <w:headerReference w:type="default" r:id="rId15"/>
      <w:footerReference w:type="default" r:id="rId1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BC29A" w14:textId="77777777" w:rsidR="000E4097" w:rsidRDefault="000E4097">
      <w:r>
        <w:separator/>
      </w:r>
    </w:p>
  </w:endnote>
  <w:endnote w:type="continuationSeparator" w:id="0">
    <w:p w14:paraId="0537C362" w14:textId="77777777" w:rsidR="000E4097" w:rsidRDefault="000E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62874" w14:textId="5BB3F58A" w:rsidR="000E4097" w:rsidRPr="003D33FB" w:rsidRDefault="000E4097" w:rsidP="007A7EC8">
    <w:pPr>
      <w:pStyle w:val="NICEnormalsinglespacing"/>
      <w:spacing w:after="120"/>
      <w:rPr>
        <w:sz w:val="18"/>
        <w:szCs w:val="18"/>
      </w:rPr>
    </w:pPr>
    <w:r>
      <w:rPr>
        <w:sz w:val="18"/>
        <w:szCs w:val="18"/>
      </w:rPr>
      <w:t>Appraisal consultation document</w:t>
    </w:r>
    <w:r w:rsidRPr="003D33FB">
      <w:rPr>
        <w:sz w:val="18"/>
        <w:szCs w:val="18"/>
      </w:rPr>
      <w:t xml:space="preserve"> – </w:t>
    </w:r>
    <w:proofErr w:type="spellStart"/>
    <w:r w:rsidRPr="00310309">
      <w:rPr>
        <w:sz w:val="18"/>
        <w:szCs w:val="18"/>
      </w:rPr>
      <w:t>Isatuximab</w:t>
    </w:r>
    <w:proofErr w:type="spellEnd"/>
    <w:r w:rsidRPr="00310309">
      <w:rPr>
        <w:sz w:val="18"/>
        <w:szCs w:val="18"/>
      </w:rPr>
      <w:t xml:space="preserve"> </w:t>
    </w:r>
    <w:r>
      <w:rPr>
        <w:sz w:val="18"/>
        <w:szCs w:val="18"/>
      </w:rPr>
      <w:t>plus</w:t>
    </w:r>
    <w:r w:rsidRPr="00310309">
      <w:rPr>
        <w:sz w:val="18"/>
        <w:szCs w:val="18"/>
      </w:rPr>
      <w:t xml:space="preserve"> pomalidomide and dexamethasone for treating </w:t>
    </w:r>
    <w:bookmarkStart w:id="7" w:name="_Hlk39737368"/>
    <w:r w:rsidRPr="00310309">
      <w:rPr>
        <w:sz w:val="18"/>
        <w:szCs w:val="18"/>
      </w:rPr>
      <w:t xml:space="preserve">relapsed </w:t>
    </w:r>
    <w:r>
      <w:rPr>
        <w:sz w:val="18"/>
        <w:szCs w:val="18"/>
      </w:rPr>
      <w:t>and</w:t>
    </w:r>
    <w:r w:rsidRPr="00310309">
      <w:rPr>
        <w:sz w:val="18"/>
        <w:szCs w:val="18"/>
      </w:rPr>
      <w:t xml:space="preserve"> refractory multiple myeloma</w:t>
    </w:r>
    <w:bookmarkEnd w:id="7"/>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7B3AB285" w14:textId="7AD544D7" w:rsidR="000E4097" w:rsidRDefault="000E4097" w:rsidP="007A7EC8">
    <w:pPr>
      <w:pStyle w:val="NICEnormalsinglespacing"/>
      <w:spacing w:after="120"/>
      <w:rPr>
        <w:sz w:val="18"/>
        <w:szCs w:val="18"/>
      </w:rPr>
    </w:pPr>
    <w:r w:rsidRPr="003D33FB">
      <w:rPr>
        <w:sz w:val="18"/>
        <w:szCs w:val="18"/>
      </w:rPr>
      <w:t xml:space="preserve">Issue date: </w:t>
    </w:r>
    <w:r w:rsidR="00E22AAE">
      <w:rPr>
        <w:sz w:val="18"/>
        <w:szCs w:val="18"/>
      </w:rPr>
      <w:t>May</w:t>
    </w:r>
    <w:r>
      <w:rPr>
        <w:sz w:val="18"/>
        <w:szCs w:val="18"/>
      </w:rPr>
      <w:t xml:space="preserve"> 2020</w:t>
    </w:r>
  </w:p>
  <w:p w14:paraId="15DF83FE" w14:textId="1972E7BA" w:rsidR="000E4097" w:rsidRPr="007A7EC8" w:rsidRDefault="000E4097"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7B392" w14:textId="77777777" w:rsidR="000E4097" w:rsidRDefault="000E4097">
      <w:r>
        <w:separator/>
      </w:r>
    </w:p>
  </w:footnote>
  <w:footnote w:type="continuationSeparator" w:id="0">
    <w:p w14:paraId="706EF700" w14:textId="77777777" w:rsidR="000E4097" w:rsidRDefault="000E4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1DEEE" w14:textId="77777777" w:rsidR="000E4097" w:rsidRPr="004E6427" w:rsidRDefault="000E4097"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21A8AE9A"/>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276"/>
        </w:tabs>
        <w:ind w:left="1276" w:hanging="1134"/>
      </w:pPr>
      <w:rPr>
        <w:rFonts w:ascii="Arial" w:hAnsi="Arial"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326707D"/>
    <w:multiLevelType w:val="hybridMultilevel"/>
    <w:tmpl w:val="5826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4F513D9"/>
    <w:multiLevelType w:val="hybridMultilevel"/>
    <w:tmpl w:val="2C7AAC7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8284494"/>
    <w:multiLevelType w:val="hybridMultilevel"/>
    <w:tmpl w:val="5AF009D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65D207A9"/>
    <w:multiLevelType w:val="hybridMultilevel"/>
    <w:tmpl w:val="D09802B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1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6"/>
  </w:num>
  <w:num w:numId="4">
    <w:abstractNumId w:val="10"/>
  </w:num>
  <w:num w:numId="5">
    <w:abstractNumId w:val="11"/>
  </w:num>
  <w:num w:numId="6">
    <w:abstractNumId w:val="0"/>
  </w:num>
  <w:num w:numId="7">
    <w:abstractNumId w:val="2"/>
  </w:num>
  <w:num w:numId="8">
    <w:abstractNumId w:val="4"/>
  </w:num>
  <w:num w:numId="9">
    <w:abstractNumId w:val="5"/>
  </w:num>
  <w:num w:numId="10">
    <w:abstractNumId w:val="6"/>
  </w:num>
  <w:num w:numId="11">
    <w:abstractNumId w:val="9"/>
  </w:num>
  <w:num w:numId="12">
    <w:abstractNumId w:val="7"/>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7"/>
  </w:num>
  <w:num w:numId="1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14"/>
  </w:num>
  <w:num w:numId="22">
    <w:abstractNumId w:val="0"/>
  </w:num>
  <w:num w:numId="23">
    <w:abstractNumId w:val="0"/>
  </w:num>
  <w:num w:numId="2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CF"/>
    <w:rsid w:val="00000441"/>
    <w:rsid w:val="000033A5"/>
    <w:rsid w:val="00006590"/>
    <w:rsid w:val="00006794"/>
    <w:rsid w:val="000069A4"/>
    <w:rsid w:val="000069F9"/>
    <w:rsid w:val="0000727D"/>
    <w:rsid w:val="000119FB"/>
    <w:rsid w:val="00014990"/>
    <w:rsid w:val="0001634D"/>
    <w:rsid w:val="00016A22"/>
    <w:rsid w:val="00016E5E"/>
    <w:rsid w:val="000170B8"/>
    <w:rsid w:val="000173F5"/>
    <w:rsid w:val="00017610"/>
    <w:rsid w:val="0001772E"/>
    <w:rsid w:val="000205C6"/>
    <w:rsid w:val="00021649"/>
    <w:rsid w:val="00021C83"/>
    <w:rsid w:val="00021FB0"/>
    <w:rsid w:val="000221AA"/>
    <w:rsid w:val="00022A66"/>
    <w:rsid w:val="0002331F"/>
    <w:rsid w:val="00023F26"/>
    <w:rsid w:val="000246A0"/>
    <w:rsid w:val="000249F8"/>
    <w:rsid w:val="000251B6"/>
    <w:rsid w:val="00026E82"/>
    <w:rsid w:val="00030676"/>
    <w:rsid w:val="00030714"/>
    <w:rsid w:val="0003322C"/>
    <w:rsid w:val="00033ACE"/>
    <w:rsid w:val="00034110"/>
    <w:rsid w:val="00034A5D"/>
    <w:rsid w:val="00035AC1"/>
    <w:rsid w:val="00035AE4"/>
    <w:rsid w:val="000368FC"/>
    <w:rsid w:val="000376EE"/>
    <w:rsid w:val="00037971"/>
    <w:rsid w:val="0004025F"/>
    <w:rsid w:val="000421F8"/>
    <w:rsid w:val="00042E55"/>
    <w:rsid w:val="00043262"/>
    <w:rsid w:val="00043E1F"/>
    <w:rsid w:val="00045528"/>
    <w:rsid w:val="00045994"/>
    <w:rsid w:val="00051D2E"/>
    <w:rsid w:val="00051E29"/>
    <w:rsid w:val="00051EA1"/>
    <w:rsid w:val="00052063"/>
    <w:rsid w:val="00053D9F"/>
    <w:rsid w:val="0005491E"/>
    <w:rsid w:val="00055DDF"/>
    <w:rsid w:val="00057190"/>
    <w:rsid w:val="00057724"/>
    <w:rsid w:val="0005777A"/>
    <w:rsid w:val="00057E9F"/>
    <w:rsid w:val="00061C83"/>
    <w:rsid w:val="00062275"/>
    <w:rsid w:val="00065997"/>
    <w:rsid w:val="0006624B"/>
    <w:rsid w:val="00066CCA"/>
    <w:rsid w:val="000711F1"/>
    <w:rsid w:val="00072985"/>
    <w:rsid w:val="00073DA8"/>
    <w:rsid w:val="000755E6"/>
    <w:rsid w:val="000764D3"/>
    <w:rsid w:val="00080A47"/>
    <w:rsid w:val="00082F77"/>
    <w:rsid w:val="000836BB"/>
    <w:rsid w:val="00085077"/>
    <w:rsid w:val="00085C5A"/>
    <w:rsid w:val="000862FC"/>
    <w:rsid w:val="00087323"/>
    <w:rsid w:val="000876F5"/>
    <w:rsid w:val="000879ED"/>
    <w:rsid w:val="00093415"/>
    <w:rsid w:val="00093649"/>
    <w:rsid w:val="00096246"/>
    <w:rsid w:val="000978B2"/>
    <w:rsid w:val="000A0A6E"/>
    <w:rsid w:val="000A0BDF"/>
    <w:rsid w:val="000A112A"/>
    <w:rsid w:val="000A4016"/>
    <w:rsid w:val="000A4999"/>
    <w:rsid w:val="000A4B43"/>
    <w:rsid w:val="000A59EC"/>
    <w:rsid w:val="000A6C40"/>
    <w:rsid w:val="000A6CDB"/>
    <w:rsid w:val="000B083A"/>
    <w:rsid w:val="000B1027"/>
    <w:rsid w:val="000B27C6"/>
    <w:rsid w:val="000B697A"/>
    <w:rsid w:val="000B70D6"/>
    <w:rsid w:val="000B7F7A"/>
    <w:rsid w:val="000C04A1"/>
    <w:rsid w:val="000C194F"/>
    <w:rsid w:val="000C2222"/>
    <w:rsid w:val="000C24EF"/>
    <w:rsid w:val="000C31F4"/>
    <w:rsid w:val="000C472D"/>
    <w:rsid w:val="000C57D1"/>
    <w:rsid w:val="000C6D80"/>
    <w:rsid w:val="000C7FC6"/>
    <w:rsid w:val="000D09ED"/>
    <w:rsid w:val="000D0A87"/>
    <w:rsid w:val="000D0FB1"/>
    <w:rsid w:val="000D11B8"/>
    <w:rsid w:val="000D145B"/>
    <w:rsid w:val="000D2A4C"/>
    <w:rsid w:val="000D2B43"/>
    <w:rsid w:val="000D6016"/>
    <w:rsid w:val="000D644F"/>
    <w:rsid w:val="000D64A9"/>
    <w:rsid w:val="000D64FA"/>
    <w:rsid w:val="000D7185"/>
    <w:rsid w:val="000D7EDE"/>
    <w:rsid w:val="000E0829"/>
    <w:rsid w:val="000E1CED"/>
    <w:rsid w:val="000E1EE6"/>
    <w:rsid w:val="000E24BD"/>
    <w:rsid w:val="000E29D1"/>
    <w:rsid w:val="000E4097"/>
    <w:rsid w:val="000E4C26"/>
    <w:rsid w:val="000E5565"/>
    <w:rsid w:val="000E6F19"/>
    <w:rsid w:val="000F086A"/>
    <w:rsid w:val="000F1896"/>
    <w:rsid w:val="000F1B3B"/>
    <w:rsid w:val="000F1E3F"/>
    <w:rsid w:val="000F3DBC"/>
    <w:rsid w:val="000F48EC"/>
    <w:rsid w:val="000F5D8D"/>
    <w:rsid w:val="001017A9"/>
    <w:rsid w:val="00101F34"/>
    <w:rsid w:val="001033D5"/>
    <w:rsid w:val="001039F7"/>
    <w:rsid w:val="001041C6"/>
    <w:rsid w:val="0010421C"/>
    <w:rsid w:val="00105409"/>
    <w:rsid w:val="00105F3A"/>
    <w:rsid w:val="00107DBD"/>
    <w:rsid w:val="00110AA1"/>
    <w:rsid w:val="00111120"/>
    <w:rsid w:val="00112652"/>
    <w:rsid w:val="001126A1"/>
    <w:rsid w:val="00112C8A"/>
    <w:rsid w:val="00113666"/>
    <w:rsid w:val="00114003"/>
    <w:rsid w:val="00114206"/>
    <w:rsid w:val="00114BB3"/>
    <w:rsid w:val="00115CE1"/>
    <w:rsid w:val="001169FE"/>
    <w:rsid w:val="00116D19"/>
    <w:rsid w:val="00116DB9"/>
    <w:rsid w:val="00121E78"/>
    <w:rsid w:val="001230AC"/>
    <w:rsid w:val="00123F4B"/>
    <w:rsid w:val="00124604"/>
    <w:rsid w:val="001265C0"/>
    <w:rsid w:val="001319AC"/>
    <w:rsid w:val="001337B7"/>
    <w:rsid w:val="00133921"/>
    <w:rsid w:val="001344B3"/>
    <w:rsid w:val="00134A00"/>
    <w:rsid w:val="00136078"/>
    <w:rsid w:val="00140C93"/>
    <w:rsid w:val="00140F55"/>
    <w:rsid w:val="0014351E"/>
    <w:rsid w:val="00143536"/>
    <w:rsid w:val="00145B2F"/>
    <w:rsid w:val="0014600D"/>
    <w:rsid w:val="00147AFC"/>
    <w:rsid w:val="00147E28"/>
    <w:rsid w:val="00150440"/>
    <w:rsid w:val="001506A2"/>
    <w:rsid w:val="00150A75"/>
    <w:rsid w:val="0015124F"/>
    <w:rsid w:val="00151D37"/>
    <w:rsid w:val="00151D8E"/>
    <w:rsid w:val="00153306"/>
    <w:rsid w:val="001552C3"/>
    <w:rsid w:val="00155F42"/>
    <w:rsid w:val="001570BC"/>
    <w:rsid w:val="00157528"/>
    <w:rsid w:val="001579BF"/>
    <w:rsid w:val="00161651"/>
    <w:rsid w:val="00161AA0"/>
    <w:rsid w:val="0016219A"/>
    <w:rsid w:val="00162EE8"/>
    <w:rsid w:val="00163E52"/>
    <w:rsid w:val="00164902"/>
    <w:rsid w:val="001662BC"/>
    <w:rsid w:val="00167955"/>
    <w:rsid w:val="0017072D"/>
    <w:rsid w:val="00170B60"/>
    <w:rsid w:val="001713DB"/>
    <w:rsid w:val="00171A2B"/>
    <w:rsid w:val="001721E5"/>
    <w:rsid w:val="00172B9C"/>
    <w:rsid w:val="00173A01"/>
    <w:rsid w:val="00175FED"/>
    <w:rsid w:val="00176876"/>
    <w:rsid w:val="00176E4D"/>
    <w:rsid w:val="00176FB2"/>
    <w:rsid w:val="0017716B"/>
    <w:rsid w:val="001810F1"/>
    <w:rsid w:val="001823EB"/>
    <w:rsid w:val="00182D7C"/>
    <w:rsid w:val="00184A64"/>
    <w:rsid w:val="00185072"/>
    <w:rsid w:val="001856AA"/>
    <w:rsid w:val="001869A2"/>
    <w:rsid w:val="0018716E"/>
    <w:rsid w:val="001873CB"/>
    <w:rsid w:val="00187B1C"/>
    <w:rsid w:val="00191B56"/>
    <w:rsid w:val="00193945"/>
    <w:rsid w:val="001956FC"/>
    <w:rsid w:val="0019642B"/>
    <w:rsid w:val="00196A63"/>
    <w:rsid w:val="00196ECF"/>
    <w:rsid w:val="00196FE1"/>
    <w:rsid w:val="0019718A"/>
    <w:rsid w:val="001A1AE2"/>
    <w:rsid w:val="001A68B5"/>
    <w:rsid w:val="001A7788"/>
    <w:rsid w:val="001B13FF"/>
    <w:rsid w:val="001B26EE"/>
    <w:rsid w:val="001B2DD8"/>
    <w:rsid w:val="001B5339"/>
    <w:rsid w:val="001B7E00"/>
    <w:rsid w:val="001C04C1"/>
    <w:rsid w:val="001C0EF4"/>
    <w:rsid w:val="001C30FC"/>
    <w:rsid w:val="001C5513"/>
    <w:rsid w:val="001C5861"/>
    <w:rsid w:val="001C59E4"/>
    <w:rsid w:val="001C5DA7"/>
    <w:rsid w:val="001D0DD4"/>
    <w:rsid w:val="001D1D43"/>
    <w:rsid w:val="001D2CE6"/>
    <w:rsid w:val="001D4C51"/>
    <w:rsid w:val="001D67F2"/>
    <w:rsid w:val="001E123A"/>
    <w:rsid w:val="001E27E5"/>
    <w:rsid w:val="001E2CAF"/>
    <w:rsid w:val="001E30EF"/>
    <w:rsid w:val="001E4D09"/>
    <w:rsid w:val="001E4D37"/>
    <w:rsid w:val="001F1400"/>
    <w:rsid w:val="001F16A0"/>
    <w:rsid w:val="001F1931"/>
    <w:rsid w:val="001F3420"/>
    <w:rsid w:val="001F358A"/>
    <w:rsid w:val="001F46C3"/>
    <w:rsid w:val="001F6078"/>
    <w:rsid w:val="001F6394"/>
    <w:rsid w:val="001F66D1"/>
    <w:rsid w:val="001F6E05"/>
    <w:rsid w:val="001F7251"/>
    <w:rsid w:val="0020176E"/>
    <w:rsid w:val="00204A5B"/>
    <w:rsid w:val="00204F82"/>
    <w:rsid w:val="00206286"/>
    <w:rsid w:val="0021081C"/>
    <w:rsid w:val="00210B36"/>
    <w:rsid w:val="002119CD"/>
    <w:rsid w:val="0021532C"/>
    <w:rsid w:val="002159C9"/>
    <w:rsid w:val="0021664C"/>
    <w:rsid w:val="00217FB0"/>
    <w:rsid w:val="002211A3"/>
    <w:rsid w:val="002218BC"/>
    <w:rsid w:val="00222BEA"/>
    <w:rsid w:val="0022454B"/>
    <w:rsid w:val="00225439"/>
    <w:rsid w:val="00225F9B"/>
    <w:rsid w:val="00227F42"/>
    <w:rsid w:val="00232061"/>
    <w:rsid w:val="00232949"/>
    <w:rsid w:val="002337A4"/>
    <w:rsid w:val="00235945"/>
    <w:rsid w:val="00235CAB"/>
    <w:rsid w:val="0024063C"/>
    <w:rsid w:val="00242EB6"/>
    <w:rsid w:val="002533A0"/>
    <w:rsid w:val="0025362C"/>
    <w:rsid w:val="00253EB9"/>
    <w:rsid w:val="002555BE"/>
    <w:rsid w:val="00255679"/>
    <w:rsid w:val="00255798"/>
    <w:rsid w:val="00256319"/>
    <w:rsid w:val="002579AE"/>
    <w:rsid w:val="00257B1C"/>
    <w:rsid w:val="002614EA"/>
    <w:rsid w:val="0026157F"/>
    <w:rsid w:val="00261D26"/>
    <w:rsid w:val="002636C0"/>
    <w:rsid w:val="00265B0E"/>
    <w:rsid w:val="00267696"/>
    <w:rsid w:val="00271E45"/>
    <w:rsid w:val="00276073"/>
    <w:rsid w:val="00280F22"/>
    <w:rsid w:val="00282909"/>
    <w:rsid w:val="00282C30"/>
    <w:rsid w:val="00282D7E"/>
    <w:rsid w:val="00283325"/>
    <w:rsid w:val="0028393B"/>
    <w:rsid w:val="00283BD6"/>
    <w:rsid w:val="00284B6F"/>
    <w:rsid w:val="00284FD1"/>
    <w:rsid w:val="00286D69"/>
    <w:rsid w:val="00290445"/>
    <w:rsid w:val="00291B27"/>
    <w:rsid w:val="00291FF6"/>
    <w:rsid w:val="00292044"/>
    <w:rsid w:val="00292C1A"/>
    <w:rsid w:val="002936FD"/>
    <w:rsid w:val="00293811"/>
    <w:rsid w:val="00294341"/>
    <w:rsid w:val="00294E69"/>
    <w:rsid w:val="00295592"/>
    <w:rsid w:val="00295D36"/>
    <w:rsid w:val="00296167"/>
    <w:rsid w:val="00296A0E"/>
    <w:rsid w:val="0029773A"/>
    <w:rsid w:val="00297D9A"/>
    <w:rsid w:val="002A151A"/>
    <w:rsid w:val="002A2687"/>
    <w:rsid w:val="002A5ADB"/>
    <w:rsid w:val="002A5C23"/>
    <w:rsid w:val="002A686F"/>
    <w:rsid w:val="002B0041"/>
    <w:rsid w:val="002B3340"/>
    <w:rsid w:val="002B3557"/>
    <w:rsid w:val="002B47AF"/>
    <w:rsid w:val="002B4BD3"/>
    <w:rsid w:val="002B5772"/>
    <w:rsid w:val="002B6225"/>
    <w:rsid w:val="002B6D1D"/>
    <w:rsid w:val="002B6DFC"/>
    <w:rsid w:val="002C0551"/>
    <w:rsid w:val="002C257D"/>
    <w:rsid w:val="002C2774"/>
    <w:rsid w:val="002C381D"/>
    <w:rsid w:val="002C4422"/>
    <w:rsid w:val="002C564B"/>
    <w:rsid w:val="002D14A3"/>
    <w:rsid w:val="002D3429"/>
    <w:rsid w:val="002D5548"/>
    <w:rsid w:val="002D56E6"/>
    <w:rsid w:val="002D7056"/>
    <w:rsid w:val="002D79A7"/>
    <w:rsid w:val="002E0320"/>
    <w:rsid w:val="002E3F68"/>
    <w:rsid w:val="002E4F07"/>
    <w:rsid w:val="002E5C16"/>
    <w:rsid w:val="002E73E7"/>
    <w:rsid w:val="002F0AA7"/>
    <w:rsid w:val="002F1B28"/>
    <w:rsid w:val="002F1B73"/>
    <w:rsid w:val="002F2583"/>
    <w:rsid w:val="002F279A"/>
    <w:rsid w:val="002F2C1A"/>
    <w:rsid w:val="002F4F5B"/>
    <w:rsid w:val="002F68FE"/>
    <w:rsid w:val="002F7606"/>
    <w:rsid w:val="00300DF8"/>
    <w:rsid w:val="0030273F"/>
    <w:rsid w:val="00303156"/>
    <w:rsid w:val="00303F41"/>
    <w:rsid w:val="00306E4B"/>
    <w:rsid w:val="00310309"/>
    <w:rsid w:val="003107AB"/>
    <w:rsid w:val="0031127A"/>
    <w:rsid w:val="00311A01"/>
    <w:rsid w:val="00313042"/>
    <w:rsid w:val="003154E8"/>
    <w:rsid w:val="00315C29"/>
    <w:rsid w:val="00316314"/>
    <w:rsid w:val="0031664C"/>
    <w:rsid w:val="00320A69"/>
    <w:rsid w:val="003212F2"/>
    <w:rsid w:val="00322982"/>
    <w:rsid w:val="00323DBB"/>
    <w:rsid w:val="00324997"/>
    <w:rsid w:val="003256B1"/>
    <w:rsid w:val="003263CD"/>
    <w:rsid w:val="00331545"/>
    <w:rsid w:val="003317CC"/>
    <w:rsid w:val="003330E6"/>
    <w:rsid w:val="0033333E"/>
    <w:rsid w:val="00335E25"/>
    <w:rsid w:val="003368C0"/>
    <w:rsid w:val="0034118C"/>
    <w:rsid w:val="00343439"/>
    <w:rsid w:val="003435A4"/>
    <w:rsid w:val="00343B53"/>
    <w:rsid w:val="003459E9"/>
    <w:rsid w:val="0034666B"/>
    <w:rsid w:val="00346BA7"/>
    <w:rsid w:val="00354915"/>
    <w:rsid w:val="00355B1A"/>
    <w:rsid w:val="00355B62"/>
    <w:rsid w:val="0035689F"/>
    <w:rsid w:val="003600BA"/>
    <w:rsid w:val="00363975"/>
    <w:rsid w:val="003640F6"/>
    <w:rsid w:val="00364E30"/>
    <w:rsid w:val="0036654A"/>
    <w:rsid w:val="00370AAA"/>
    <w:rsid w:val="00372031"/>
    <w:rsid w:val="003724F7"/>
    <w:rsid w:val="0037270B"/>
    <w:rsid w:val="003738C2"/>
    <w:rsid w:val="00374495"/>
    <w:rsid w:val="00375297"/>
    <w:rsid w:val="0038087C"/>
    <w:rsid w:val="00381FAB"/>
    <w:rsid w:val="00383594"/>
    <w:rsid w:val="00383DDF"/>
    <w:rsid w:val="003847B9"/>
    <w:rsid w:val="00385E85"/>
    <w:rsid w:val="00387606"/>
    <w:rsid w:val="003878AD"/>
    <w:rsid w:val="0039118D"/>
    <w:rsid w:val="00391AC8"/>
    <w:rsid w:val="00392FB4"/>
    <w:rsid w:val="00393174"/>
    <w:rsid w:val="00394A9C"/>
    <w:rsid w:val="00394DFF"/>
    <w:rsid w:val="003950C9"/>
    <w:rsid w:val="00395550"/>
    <w:rsid w:val="00395C05"/>
    <w:rsid w:val="00395E89"/>
    <w:rsid w:val="003969C7"/>
    <w:rsid w:val="003A0250"/>
    <w:rsid w:val="003A04CD"/>
    <w:rsid w:val="003A11AB"/>
    <w:rsid w:val="003A1F14"/>
    <w:rsid w:val="003A207E"/>
    <w:rsid w:val="003A275D"/>
    <w:rsid w:val="003A2D25"/>
    <w:rsid w:val="003A3775"/>
    <w:rsid w:val="003A3974"/>
    <w:rsid w:val="003A5838"/>
    <w:rsid w:val="003A79E1"/>
    <w:rsid w:val="003B0BC2"/>
    <w:rsid w:val="003B2C1E"/>
    <w:rsid w:val="003B37BB"/>
    <w:rsid w:val="003C36AC"/>
    <w:rsid w:val="003C4CD7"/>
    <w:rsid w:val="003C54DF"/>
    <w:rsid w:val="003C7EF9"/>
    <w:rsid w:val="003D4723"/>
    <w:rsid w:val="003D4E18"/>
    <w:rsid w:val="003D68D5"/>
    <w:rsid w:val="003D7050"/>
    <w:rsid w:val="003E14CF"/>
    <w:rsid w:val="003E42A7"/>
    <w:rsid w:val="003E4A67"/>
    <w:rsid w:val="003E684C"/>
    <w:rsid w:val="003F168A"/>
    <w:rsid w:val="003F3123"/>
    <w:rsid w:val="003F5BC0"/>
    <w:rsid w:val="003F7FA5"/>
    <w:rsid w:val="00403C13"/>
    <w:rsid w:val="00407D59"/>
    <w:rsid w:val="00411342"/>
    <w:rsid w:val="0041189B"/>
    <w:rsid w:val="00412145"/>
    <w:rsid w:val="00414128"/>
    <w:rsid w:val="00414FDD"/>
    <w:rsid w:val="0041525E"/>
    <w:rsid w:val="00415939"/>
    <w:rsid w:val="00420742"/>
    <w:rsid w:val="00421005"/>
    <w:rsid w:val="0042615F"/>
    <w:rsid w:val="00426A39"/>
    <w:rsid w:val="0043026C"/>
    <w:rsid w:val="00431372"/>
    <w:rsid w:val="00433564"/>
    <w:rsid w:val="00434A1C"/>
    <w:rsid w:val="00434FB3"/>
    <w:rsid w:val="00437CA3"/>
    <w:rsid w:val="0044027B"/>
    <w:rsid w:val="004408F8"/>
    <w:rsid w:val="0044198F"/>
    <w:rsid w:val="00441A0E"/>
    <w:rsid w:val="00442E25"/>
    <w:rsid w:val="00442EAC"/>
    <w:rsid w:val="00443E47"/>
    <w:rsid w:val="0044648F"/>
    <w:rsid w:val="00446DA2"/>
    <w:rsid w:val="00450212"/>
    <w:rsid w:val="00452422"/>
    <w:rsid w:val="00452801"/>
    <w:rsid w:val="00453446"/>
    <w:rsid w:val="004547E5"/>
    <w:rsid w:val="00455E8E"/>
    <w:rsid w:val="00456369"/>
    <w:rsid w:val="00456954"/>
    <w:rsid w:val="00457843"/>
    <w:rsid w:val="00457CA4"/>
    <w:rsid w:val="00461530"/>
    <w:rsid w:val="00462002"/>
    <w:rsid w:val="0046212F"/>
    <w:rsid w:val="00462220"/>
    <w:rsid w:val="00462733"/>
    <w:rsid w:val="00463227"/>
    <w:rsid w:val="00463973"/>
    <w:rsid w:val="00465E7F"/>
    <w:rsid w:val="00466674"/>
    <w:rsid w:val="0046716E"/>
    <w:rsid w:val="00471113"/>
    <w:rsid w:val="00471200"/>
    <w:rsid w:val="00472FF8"/>
    <w:rsid w:val="00475BBE"/>
    <w:rsid w:val="00475F03"/>
    <w:rsid w:val="004804B3"/>
    <w:rsid w:val="0048141F"/>
    <w:rsid w:val="00481E06"/>
    <w:rsid w:val="004820E9"/>
    <w:rsid w:val="00483119"/>
    <w:rsid w:val="0048361F"/>
    <w:rsid w:val="004845D0"/>
    <w:rsid w:val="00485212"/>
    <w:rsid w:val="004852F4"/>
    <w:rsid w:val="004852FF"/>
    <w:rsid w:val="00485C24"/>
    <w:rsid w:val="00486448"/>
    <w:rsid w:val="0048725C"/>
    <w:rsid w:val="00492FDA"/>
    <w:rsid w:val="00494E73"/>
    <w:rsid w:val="004969C9"/>
    <w:rsid w:val="00497190"/>
    <w:rsid w:val="0049751F"/>
    <w:rsid w:val="004A0007"/>
    <w:rsid w:val="004A0E1E"/>
    <w:rsid w:val="004A2830"/>
    <w:rsid w:val="004A2BAE"/>
    <w:rsid w:val="004A40CC"/>
    <w:rsid w:val="004A47CC"/>
    <w:rsid w:val="004B0177"/>
    <w:rsid w:val="004B49B0"/>
    <w:rsid w:val="004B4FE8"/>
    <w:rsid w:val="004B5100"/>
    <w:rsid w:val="004B514C"/>
    <w:rsid w:val="004B6C60"/>
    <w:rsid w:val="004B6FDF"/>
    <w:rsid w:val="004B744B"/>
    <w:rsid w:val="004B7870"/>
    <w:rsid w:val="004B7D57"/>
    <w:rsid w:val="004C00D8"/>
    <w:rsid w:val="004C0E52"/>
    <w:rsid w:val="004C181C"/>
    <w:rsid w:val="004C1892"/>
    <w:rsid w:val="004C1B3D"/>
    <w:rsid w:val="004C3DAD"/>
    <w:rsid w:val="004C3F2F"/>
    <w:rsid w:val="004C401A"/>
    <w:rsid w:val="004C5923"/>
    <w:rsid w:val="004C6116"/>
    <w:rsid w:val="004C656D"/>
    <w:rsid w:val="004C67E1"/>
    <w:rsid w:val="004C7C61"/>
    <w:rsid w:val="004D0DFD"/>
    <w:rsid w:val="004D1498"/>
    <w:rsid w:val="004D1FBE"/>
    <w:rsid w:val="004D3C64"/>
    <w:rsid w:val="004D4A86"/>
    <w:rsid w:val="004D4B2F"/>
    <w:rsid w:val="004D5774"/>
    <w:rsid w:val="004D6C5D"/>
    <w:rsid w:val="004D7664"/>
    <w:rsid w:val="004D7BB5"/>
    <w:rsid w:val="004E0132"/>
    <w:rsid w:val="004E074F"/>
    <w:rsid w:val="004E15AB"/>
    <w:rsid w:val="004E2472"/>
    <w:rsid w:val="004E6427"/>
    <w:rsid w:val="004E69CD"/>
    <w:rsid w:val="004E7625"/>
    <w:rsid w:val="004E7E43"/>
    <w:rsid w:val="004F0478"/>
    <w:rsid w:val="004F13F4"/>
    <w:rsid w:val="004F14E0"/>
    <w:rsid w:val="004F1956"/>
    <w:rsid w:val="004F4762"/>
    <w:rsid w:val="004F5FC6"/>
    <w:rsid w:val="004F69FA"/>
    <w:rsid w:val="00502B2B"/>
    <w:rsid w:val="005037B2"/>
    <w:rsid w:val="00503A13"/>
    <w:rsid w:val="0050455E"/>
    <w:rsid w:val="005047AD"/>
    <w:rsid w:val="0050504C"/>
    <w:rsid w:val="00510036"/>
    <w:rsid w:val="00510254"/>
    <w:rsid w:val="00510B1D"/>
    <w:rsid w:val="0051107D"/>
    <w:rsid w:val="00511167"/>
    <w:rsid w:val="005116D9"/>
    <w:rsid w:val="00511F6A"/>
    <w:rsid w:val="00514B47"/>
    <w:rsid w:val="00517345"/>
    <w:rsid w:val="00520088"/>
    <w:rsid w:val="00520149"/>
    <w:rsid w:val="0052529F"/>
    <w:rsid w:val="00526C07"/>
    <w:rsid w:val="005273A6"/>
    <w:rsid w:val="00527533"/>
    <w:rsid w:val="0052785B"/>
    <w:rsid w:val="00527E88"/>
    <w:rsid w:val="00530B02"/>
    <w:rsid w:val="00530BE3"/>
    <w:rsid w:val="0053387C"/>
    <w:rsid w:val="005348AF"/>
    <w:rsid w:val="00534AAA"/>
    <w:rsid w:val="00534F74"/>
    <w:rsid w:val="00536789"/>
    <w:rsid w:val="00536D2F"/>
    <w:rsid w:val="00540052"/>
    <w:rsid w:val="0054146B"/>
    <w:rsid w:val="00543C0E"/>
    <w:rsid w:val="00543DB4"/>
    <w:rsid w:val="00543E08"/>
    <w:rsid w:val="0054401E"/>
    <w:rsid w:val="005449AD"/>
    <w:rsid w:val="00544C42"/>
    <w:rsid w:val="00546F32"/>
    <w:rsid w:val="005471E8"/>
    <w:rsid w:val="005505ED"/>
    <w:rsid w:val="00555179"/>
    <w:rsid w:val="005559C4"/>
    <w:rsid w:val="00561503"/>
    <w:rsid w:val="00564B04"/>
    <w:rsid w:val="0056568D"/>
    <w:rsid w:val="005673A5"/>
    <w:rsid w:val="00570524"/>
    <w:rsid w:val="005708F6"/>
    <w:rsid w:val="0057135C"/>
    <w:rsid w:val="00572D33"/>
    <w:rsid w:val="00573059"/>
    <w:rsid w:val="00573CB4"/>
    <w:rsid w:val="0057621E"/>
    <w:rsid w:val="00576CB9"/>
    <w:rsid w:val="00577B05"/>
    <w:rsid w:val="00580D6F"/>
    <w:rsid w:val="005812C6"/>
    <w:rsid w:val="005831D2"/>
    <w:rsid w:val="005837CB"/>
    <w:rsid w:val="0058382A"/>
    <w:rsid w:val="005922F8"/>
    <w:rsid w:val="005948FA"/>
    <w:rsid w:val="005959BE"/>
    <w:rsid w:val="00596210"/>
    <w:rsid w:val="00596286"/>
    <w:rsid w:val="00596999"/>
    <w:rsid w:val="00597372"/>
    <w:rsid w:val="005A0F31"/>
    <w:rsid w:val="005A10F6"/>
    <w:rsid w:val="005A15E3"/>
    <w:rsid w:val="005A28A1"/>
    <w:rsid w:val="005A29BD"/>
    <w:rsid w:val="005A46D0"/>
    <w:rsid w:val="005A5C7F"/>
    <w:rsid w:val="005A5DAF"/>
    <w:rsid w:val="005A5F8D"/>
    <w:rsid w:val="005A6FB5"/>
    <w:rsid w:val="005B19E1"/>
    <w:rsid w:val="005B25E4"/>
    <w:rsid w:val="005B30C8"/>
    <w:rsid w:val="005B6BB4"/>
    <w:rsid w:val="005B7778"/>
    <w:rsid w:val="005C051F"/>
    <w:rsid w:val="005C21EA"/>
    <w:rsid w:val="005C46CA"/>
    <w:rsid w:val="005C490E"/>
    <w:rsid w:val="005C491C"/>
    <w:rsid w:val="005C667F"/>
    <w:rsid w:val="005C6E7B"/>
    <w:rsid w:val="005C762E"/>
    <w:rsid w:val="005D098C"/>
    <w:rsid w:val="005D3FD9"/>
    <w:rsid w:val="005E0F0E"/>
    <w:rsid w:val="005E2139"/>
    <w:rsid w:val="005E414A"/>
    <w:rsid w:val="005E46BB"/>
    <w:rsid w:val="005E6104"/>
    <w:rsid w:val="005F178F"/>
    <w:rsid w:val="005F3454"/>
    <w:rsid w:val="005F3F6F"/>
    <w:rsid w:val="005F729F"/>
    <w:rsid w:val="005F7D5A"/>
    <w:rsid w:val="006001CC"/>
    <w:rsid w:val="00600A75"/>
    <w:rsid w:val="00601F47"/>
    <w:rsid w:val="00602B4D"/>
    <w:rsid w:val="00603C94"/>
    <w:rsid w:val="006048E0"/>
    <w:rsid w:val="00604FAD"/>
    <w:rsid w:val="0060662A"/>
    <w:rsid w:val="00612789"/>
    <w:rsid w:val="00613509"/>
    <w:rsid w:val="00613D24"/>
    <w:rsid w:val="0061455C"/>
    <w:rsid w:val="00614BDA"/>
    <w:rsid w:val="0061520F"/>
    <w:rsid w:val="0061565C"/>
    <w:rsid w:val="00616E9A"/>
    <w:rsid w:val="006179F5"/>
    <w:rsid w:val="00621AFB"/>
    <w:rsid w:val="0062224C"/>
    <w:rsid w:val="006257C9"/>
    <w:rsid w:val="0062589A"/>
    <w:rsid w:val="006269D3"/>
    <w:rsid w:val="006307C7"/>
    <w:rsid w:val="00631470"/>
    <w:rsid w:val="00632B82"/>
    <w:rsid w:val="006331B4"/>
    <w:rsid w:val="00633C3C"/>
    <w:rsid w:val="006340FE"/>
    <w:rsid w:val="00634380"/>
    <w:rsid w:val="006343F3"/>
    <w:rsid w:val="0063553E"/>
    <w:rsid w:val="00640CF2"/>
    <w:rsid w:val="006417D6"/>
    <w:rsid w:val="00642906"/>
    <w:rsid w:val="00643582"/>
    <w:rsid w:val="00643B75"/>
    <w:rsid w:val="00643C00"/>
    <w:rsid w:val="006457EF"/>
    <w:rsid w:val="00650F96"/>
    <w:rsid w:val="006512B7"/>
    <w:rsid w:val="006518EF"/>
    <w:rsid w:val="00651C22"/>
    <w:rsid w:val="0065206F"/>
    <w:rsid w:val="00653715"/>
    <w:rsid w:val="0065494F"/>
    <w:rsid w:val="00654B9C"/>
    <w:rsid w:val="00655679"/>
    <w:rsid w:val="00655B4D"/>
    <w:rsid w:val="00655ED5"/>
    <w:rsid w:val="00661282"/>
    <w:rsid w:val="006639AC"/>
    <w:rsid w:val="00664A5E"/>
    <w:rsid w:val="00665407"/>
    <w:rsid w:val="00665734"/>
    <w:rsid w:val="006672D9"/>
    <w:rsid w:val="00667527"/>
    <w:rsid w:val="0067004D"/>
    <w:rsid w:val="0067111D"/>
    <w:rsid w:val="00671977"/>
    <w:rsid w:val="00671D80"/>
    <w:rsid w:val="00672E01"/>
    <w:rsid w:val="00672EFB"/>
    <w:rsid w:val="00673478"/>
    <w:rsid w:val="006739CF"/>
    <w:rsid w:val="006759E7"/>
    <w:rsid w:val="0067752C"/>
    <w:rsid w:val="006776A2"/>
    <w:rsid w:val="00677EB7"/>
    <w:rsid w:val="006801A6"/>
    <w:rsid w:val="0068124B"/>
    <w:rsid w:val="00681610"/>
    <w:rsid w:val="00682374"/>
    <w:rsid w:val="00683367"/>
    <w:rsid w:val="00684564"/>
    <w:rsid w:val="00685C23"/>
    <w:rsid w:val="00685D36"/>
    <w:rsid w:val="0068686A"/>
    <w:rsid w:val="00687304"/>
    <w:rsid w:val="0069122D"/>
    <w:rsid w:val="00691835"/>
    <w:rsid w:val="00692C71"/>
    <w:rsid w:val="006931A0"/>
    <w:rsid w:val="006935BC"/>
    <w:rsid w:val="00696899"/>
    <w:rsid w:val="00696E55"/>
    <w:rsid w:val="006A0B0E"/>
    <w:rsid w:val="006A1A6A"/>
    <w:rsid w:val="006A3A9C"/>
    <w:rsid w:val="006A3CC5"/>
    <w:rsid w:val="006A40C0"/>
    <w:rsid w:val="006A5436"/>
    <w:rsid w:val="006A57B3"/>
    <w:rsid w:val="006A701B"/>
    <w:rsid w:val="006A721F"/>
    <w:rsid w:val="006A7CCF"/>
    <w:rsid w:val="006B0581"/>
    <w:rsid w:val="006B0F36"/>
    <w:rsid w:val="006B2F5D"/>
    <w:rsid w:val="006B30FD"/>
    <w:rsid w:val="006B4059"/>
    <w:rsid w:val="006B4254"/>
    <w:rsid w:val="006B46D0"/>
    <w:rsid w:val="006B5CB4"/>
    <w:rsid w:val="006B618D"/>
    <w:rsid w:val="006B6DCF"/>
    <w:rsid w:val="006B75AF"/>
    <w:rsid w:val="006B791B"/>
    <w:rsid w:val="006C0AF9"/>
    <w:rsid w:val="006C0F59"/>
    <w:rsid w:val="006C2256"/>
    <w:rsid w:val="006C3B78"/>
    <w:rsid w:val="006C4793"/>
    <w:rsid w:val="006C6DAF"/>
    <w:rsid w:val="006D073D"/>
    <w:rsid w:val="006D1147"/>
    <w:rsid w:val="006D36FB"/>
    <w:rsid w:val="006D42ED"/>
    <w:rsid w:val="006D47C6"/>
    <w:rsid w:val="006D4D1A"/>
    <w:rsid w:val="006D6B45"/>
    <w:rsid w:val="006D73F1"/>
    <w:rsid w:val="006E0D87"/>
    <w:rsid w:val="006E2A29"/>
    <w:rsid w:val="006E3514"/>
    <w:rsid w:val="006E6B9D"/>
    <w:rsid w:val="006E7421"/>
    <w:rsid w:val="006E7647"/>
    <w:rsid w:val="006F162C"/>
    <w:rsid w:val="006F1DA8"/>
    <w:rsid w:val="006F22E9"/>
    <w:rsid w:val="006F2CFD"/>
    <w:rsid w:val="006F4CFA"/>
    <w:rsid w:val="006F4F51"/>
    <w:rsid w:val="006F5310"/>
    <w:rsid w:val="006F5BFC"/>
    <w:rsid w:val="006F696E"/>
    <w:rsid w:val="006F6B91"/>
    <w:rsid w:val="006F7F31"/>
    <w:rsid w:val="006F7FEE"/>
    <w:rsid w:val="007022B6"/>
    <w:rsid w:val="00702760"/>
    <w:rsid w:val="007040CB"/>
    <w:rsid w:val="00704856"/>
    <w:rsid w:val="007048E3"/>
    <w:rsid w:val="0070523B"/>
    <w:rsid w:val="00706A5B"/>
    <w:rsid w:val="00707D16"/>
    <w:rsid w:val="00711310"/>
    <w:rsid w:val="007137D9"/>
    <w:rsid w:val="00714A6B"/>
    <w:rsid w:val="00715BB5"/>
    <w:rsid w:val="00715E8A"/>
    <w:rsid w:val="00717226"/>
    <w:rsid w:val="00717958"/>
    <w:rsid w:val="00720FDD"/>
    <w:rsid w:val="00722883"/>
    <w:rsid w:val="00723AF0"/>
    <w:rsid w:val="0072442B"/>
    <w:rsid w:val="00724ABE"/>
    <w:rsid w:val="00727911"/>
    <w:rsid w:val="00727D41"/>
    <w:rsid w:val="0073007E"/>
    <w:rsid w:val="007311E2"/>
    <w:rsid w:val="00732519"/>
    <w:rsid w:val="00732A99"/>
    <w:rsid w:val="00732BFC"/>
    <w:rsid w:val="0073365B"/>
    <w:rsid w:val="00734F5A"/>
    <w:rsid w:val="0073579D"/>
    <w:rsid w:val="00736D97"/>
    <w:rsid w:val="00737B18"/>
    <w:rsid w:val="00737CEF"/>
    <w:rsid w:val="00737DDA"/>
    <w:rsid w:val="00740C60"/>
    <w:rsid w:val="007429D1"/>
    <w:rsid w:val="00742CB5"/>
    <w:rsid w:val="00743353"/>
    <w:rsid w:val="0074435A"/>
    <w:rsid w:val="00746B57"/>
    <w:rsid w:val="00747D90"/>
    <w:rsid w:val="007501B8"/>
    <w:rsid w:val="007501B9"/>
    <w:rsid w:val="007516DB"/>
    <w:rsid w:val="00751CB9"/>
    <w:rsid w:val="00753EA2"/>
    <w:rsid w:val="007555FF"/>
    <w:rsid w:val="0075624F"/>
    <w:rsid w:val="00756D96"/>
    <w:rsid w:val="007575AA"/>
    <w:rsid w:val="007602AA"/>
    <w:rsid w:val="007620C2"/>
    <w:rsid w:val="00763641"/>
    <w:rsid w:val="007638F9"/>
    <w:rsid w:val="00764242"/>
    <w:rsid w:val="00764D08"/>
    <w:rsid w:val="00765BB8"/>
    <w:rsid w:val="007668BA"/>
    <w:rsid w:val="00770596"/>
    <w:rsid w:val="0077090C"/>
    <w:rsid w:val="0077139C"/>
    <w:rsid w:val="00771ADE"/>
    <w:rsid w:val="00771E67"/>
    <w:rsid w:val="0077277D"/>
    <w:rsid w:val="007735AA"/>
    <w:rsid w:val="00773E93"/>
    <w:rsid w:val="007747D4"/>
    <w:rsid w:val="00774963"/>
    <w:rsid w:val="00775DF3"/>
    <w:rsid w:val="00775E12"/>
    <w:rsid w:val="0078109A"/>
    <w:rsid w:val="007816F7"/>
    <w:rsid w:val="00781791"/>
    <w:rsid w:val="00781B7F"/>
    <w:rsid w:val="00782A84"/>
    <w:rsid w:val="00782C86"/>
    <w:rsid w:val="00782DCB"/>
    <w:rsid w:val="00784156"/>
    <w:rsid w:val="00791C41"/>
    <w:rsid w:val="007933B3"/>
    <w:rsid w:val="00793813"/>
    <w:rsid w:val="00794D72"/>
    <w:rsid w:val="007975E9"/>
    <w:rsid w:val="007979E9"/>
    <w:rsid w:val="007A025B"/>
    <w:rsid w:val="007A032D"/>
    <w:rsid w:val="007A048E"/>
    <w:rsid w:val="007A19AF"/>
    <w:rsid w:val="007A1D52"/>
    <w:rsid w:val="007A1E9D"/>
    <w:rsid w:val="007A2801"/>
    <w:rsid w:val="007A4EEE"/>
    <w:rsid w:val="007A615B"/>
    <w:rsid w:val="007A634C"/>
    <w:rsid w:val="007A6DAA"/>
    <w:rsid w:val="007A6F45"/>
    <w:rsid w:val="007A7EC8"/>
    <w:rsid w:val="007B032C"/>
    <w:rsid w:val="007B1AF8"/>
    <w:rsid w:val="007B2A16"/>
    <w:rsid w:val="007B4B3F"/>
    <w:rsid w:val="007B7249"/>
    <w:rsid w:val="007B7598"/>
    <w:rsid w:val="007B787D"/>
    <w:rsid w:val="007B7B7B"/>
    <w:rsid w:val="007C01E6"/>
    <w:rsid w:val="007C3149"/>
    <w:rsid w:val="007C3165"/>
    <w:rsid w:val="007C3E7C"/>
    <w:rsid w:val="007C4663"/>
    <w:rsid w:val="007C58D6"/>
    <w:rsid w:val="007C732D"/>
    <w:rsid w:val="007D1008"/>
    <w:rsid w:val="007D27A7"/>
    <w:rsid w:val="007D2C3F"/>
    <w:rsid w:val="007D34CD"/>
    <w:rsid w:val="007D374F"/>
    <w:rsid w:val="007D54D3"/>
    <w:rsid w:val="007D579C"/>
    <w:rsid w:val="007D5B27"/>
    <w:rsid w:val="007D5C80"/>
    <w:rsid w:val="007D62AE"/>
    <w:rsid w:val="007E013D"/>
    <w:rsid w:val="007E11EF"/>
    <w:rsid w:val="007E2754"/>
    <w:rsid w:val="007E55D8"/>
    <w:rsid w:val="007E5818"/>
    <w:rsid w:val="007E61A7"/>
    <w:rsid w:val="007E6253"/>
    <w:rsid w:val="007E65D7"/>
    <w:rsid w:val="007F10EB"/>
    <w:rsid w:val="007F2055"/>
    <w:rsid w:val="007F227E"/>
    <w:rsid w:val="007F2793"/>
    <w:rsid w:val="007F4263"/>
    <w:rsid w:val="007F57F9"/>
    <w:rsid w:val="0080089C"/>
    <w:rsid w:val="00803318"/>
    <w:rsid w:val="00803456"/>
    <w:rsid w:val="00803638"/>
    <w:rsid w:val="0080390A"/>
    <w:rsid w:val="00810AD6"/>
    <w:rsid w:val="00811AA9"/>
    <w:rsid w:val="00811BBD"/>
    <w:rsid w:val="00812976"/>
    <w:rsid w:val="00814CE9"/>
    <w:rsid w:val="00814DEF"/>
    <w:rsid w:val="00815AAE"/>
    <w:rsid w:val="00816A7B"/>
    <w:rsid w:val="00821173"/>
    <w:rsid w:val="0082239E"/>
    <w:rsid w:val="00823E34"/>
    <w:rsid w:val="00825A87"/>
    <w:rsid w:val="00826BF1"/>
    <w:rsid w:val="00831B9B"/>
    <w:rsid w:val="008329DF"/>
    <w:rsid w:val="00833DF4"/>
    <w:rsid w:val="00834DF6"/>
    <w:rsid w:val="00835008"/>
    <w:rsid w:val="00835034"/>
    <w:rsid w:val="00842A7E"/>
    <w:rsid w:val="0084444C"/>
    <w:rsid w:val="00844D3D"/>
    <w:rsid w:val="0084532E"/>
    <w:rsid w:val="00845810"/>
    <w:rsid w:val="00845F3C"/>
    <w:rsid w:val="00846159"/>
    <w:rsid w:val="008470EA"/>
    <w:rsid w:val="00850209"/>
    <w:rsid w:val="008505C3"/>
    <w:rsid w:val="00851677"/>
    <w:rsid w:val="008522C6"/>
    <w:rsid w:val="00852871"/>
    <w:rsid w:val="00852E40"/>
    <w:rsid w:val="00854213"/>
    <w:rsid w:val="00855556"/>
    <w:rsid w:val="008566AA"/>
    <w:rsid w:val="0085767D"/>
    <w:rsid w:val="00857A90"/>
    <w:rsid w:val="00857CDD"/>
    <w:rsid w:val="00860115"/>
    <w:rsid w:val="00860547"/>
    <w:rsid w:val="00860EA8"/>
    <w:rsid w:val="00861F7F"/>
    <w:rsid w:val="00862720"/>
    <w:rsid w:val="0086439B"/>
    <w:rsid w:val="0086472B"/>
    <w:rsid w:val="008647F9"/>
    <w:rsid w:val="00870047"/>
    <w:rsid w:val="00871226"/>
    <w:rsid w:val="00871280"/>
    <w:rsid w:val="00871E4A"/>
    <w:rsid w:val="00872E42"/>
    <w:rsid w:val="0087368E"/>
    <w:rsid w:val="00875DEB"/>
    <w:rsid w:val="008802D9"/>
    <w:rsid w:val="00880B98"/>
    <w:rsid w:val="00881F26"/>
    <w:rsid w:val="00882FF3"/>
    <w:rsid w:val="008838A1"/>
    <w:rsid w:val="0088685E"/>
    <w:rsid w:val="0088689E"/>
    <w:rsid w:val="00891794"/>
    <w:rsid w:val="00891929"/>
    <w:rsid w:val="00893176"/>
    <w:rsid w:val="008936E1"/>
    <w:rsid w:val="008948C9"/>
    <w:rsid w:val="00895446"/>
    <w:rsid w:val="00895A35"/>
    <w:rsid w:val="008970D8"/>
    <w:rsid w:val="00897C6F"/>
    <w:rsid w:val="008A05E4"/>
    <w:rsid w:val="008A2098"/>
    <w:rsid w:val="008A32D1"/>
    <w:rsid w:val="008A49A1"/>
    <w:rsid w:val="008A5B55"/>
    <w:rsid w:val="008A5DDA"/>
    <w:rsid w:val="008A7EB7"/>
    <w:rsid w:val="008B03D8"/>
    <w:rsid w:val="008B2342"/>
    <w:rsid w:val="008B2F88"/>
    <w:rsid w:val="008B4290"/>
    <w:rsid w:val="008B61CD"/>
    <w:rsid w:val="008C0523"/>
    <w:rsid w:val="008C3721"/>
    <w:rsid w:val="008C396E"/>
    <w:rsid w:val="008C4A61"/>
    <w:rsid w:val="008C4CB3"/>
    <w:rsid w:val="008C4F0F"/>
    <w:rsid w:val="008C57DC"/>
    <w:rsid w:val="008C6CFD"/>
    <w:rsid w:val="008C7D07"/>
    <w:rsid w:val="008C7F38"/>
    <w:rsid w:val="008D0696"/>
    <w:rsid w:val="008D25E1"/>
    <w:rsid w:val="008D3B9E"/>
    <w:rsid w:val="008D505D"/>
    <w:rsid w:val="008D5467"/>
    <w:rsid w:val="008D55C9"/>
    <w:rsid w:val="008D7D34"/>
    <w:rsid w:val="008E0E98"/>
    <w:rsid w:val="008E10A8"/>
    <w:rsid w:val="008E2B6E"/>
    <w:rsid w:val="008E7460"/>
    <w:rsid w:val="008E7585"/>
    <w:rsid w:val="008E76AE"/>
    <w:rsid w:val="008F1D53"/>
    <w:rsid w:val="008F266C"/>
    <w:rsid w:val="008F2E5C"/>
    <w:rsid w:val="008F373B"/>
    <w:rsid w:val="008F3AB0"/>
    <w:rsid w:val="008F646F"/>
    <w:rsid w:val="00901CDE"/>
    <w:rsid w:val="00902CAF"/>
    <w:rsid w:val="009033C8"/>
    <w:rsid w:val="00904264"/>
    <w:rsid w:val="00904C87"/>
    <w:rsid w:val="00905203"/>
    <w:rsid w:val="009067D5"/>
    <w:rsid w:val="00906982"/>
    <w:rsid w:val="009076D0"/>
    <w:rsid w:val="0091168E"/>
    <w:rsid w:val="00912686"/>
    <w:rsid w:val="00914F38"/>
    <w:rsid w:val="00915B3F"/>
    <w:rsid w:val="009165FE"/>
    <w:rsid w:val="0091776B"/>
    <w:rsid w:val="00917F2C"/>
    <w:rsid w:val="00920396"/>
    <w:rsid w:val="00922BBC"/>
    <w:rsid w:val="00922BFE"/>
    <w:rsid w:val="00925043"/>
    <w:rsid w:val="0092657D"/>
    <w:rsid w:val="00931FD2"/>
    <w:rsid w:val="009325D6"/>
    <w:rsid w:val="00932B67"/>
    <w:rsid w:val="0093315B"/>
    <w:rsid w:val="00933FD7"/>
    <w:rsid w:val="00934FF1"/>
    <w:rsid w:val="00935018"/>
    <w:rsid w:val="0093671F"/>
    <w:rsid w:val="00937671"/>
    <w:rsid w:val="009378EE"/>
    <w:rsid w:val="00937D0C"/>
    <w:rsid w:val="00937F0D"/>
    <w:rsid w:val="00940489"/>
    <w:rsid w:val="00941D1F"/>
    <w:rsid w:val="0094366C"/>
    <w:rsid w:val="0094372D"/>
    <w:rsid w:val="009445F6"/>
    <w:rsid w:val="0094666B"/>
    <w:rsid w:val="009479C0"/>
    <w:rsid w:val="00950914"/>
    <w:rsid w:val="00950C51"/>
    <w:rsid w:val="009510A7"/>
    <w:rsid w:val="0095112B"/>
    <w:rsid w:val="00951973"/>
    <w:rsid w:val="0095252E"/>
    <w:rsid w:val="00952591"/>
    <w:rsid w:val="00952C90"/>
    <w:rsid w:val="00953ADF"/>
    <w:rsid w:val="00953B55"/>
    <w:rsid w:val="00956FC1"/>
    <w:rsid w:val="00957E73"/>
    <w:rsid w:val="00960ABE"/>
    <w:rsid w:val="0096135C"/>
    <w:rsid w:val="009647B3"/>
    <w:rsid w:val="009666C2"/>
    <w:rsid w:val="00967A9B"/>
    <w:rsid w:val="00970635"/>
    <w:rsid w:val="0097219B"/>
    <w:rsid w:val="009732E4"/>
    <w:rsid w:val="00973E43"/>
    <w:rsid w:val="009746D7"/>
    <w:rsid w:val="009774C7"/>
    <w:rsid w:val="009808B4"/>
    <w:rsid w:val="00983391"/>
    <w:rsid w:val="00983D09"/>
    <w:rsid w:val="00984821"/>
    <w:rsid w:val="00991D74"/>
    <w:rsid w:val="00992C4D"/>
    <w:rsid w:val="00993FD9"/>
    <w:rsid w:val="009961A7"/>
    <w:rsid w:val="0099716A"/>
    <w:rsid w:val="009A0593"/>
    <w:rsid w:val="009A227D"/>
    <w:rsid w:val="009A2797"/>
    <w:rsid w:val="009A2C14"/>
    <w:rsid w:val="009A3119"/>
    <w:rsid w:val="009A3919"/>
    <w:rsid w:val="009A3BAD"/>
    <w:rsid w:val="009A3D97"/>
    <w:rsid w:val="009A3ED6"/>
    <w:rsid w:val="009A5974"/>
    <w:rsid w:val="009A598B"/>
    <w:rsid w:val="009A698B"/>
    <w:rsid w:val="009A6990"/>
    <w:rsid w:val="009A6A16"/>
    <w:rsid w:val="009A73AB"/>
    <w:rsid w:val="009A77B6"/>
    <w:rsid w:val="009A7D50"/>
    <w:rsid w:val="009B2D86"/>
    <w:rsid w:val="009B3F94"/>
    <w:rsid w:val="009B4C30"/>
    <w:rsid w:val="009B5E70"/>
    <w:rsid w:val="009B621A"/>
    <w:rsid w:val="009B672F"/>
    <w:rsid w:val="009B6EAB"/>
    <w:rsid w:val="009B718D"/>
    <w:rsid w:val="009B776B"/>
    <w:rsid w:val="009C0BCC"/>
    <w:rsid w:val="009C2BD5"/>
    <w:rsid w:val="009C3FA3"/>
    <w:rsid w:val="009C45D9"/>
    <w:rsid w:val="009C5DC2"/>
    <w:rsid w:val="009C6530"/>
    <w:rsid w:val="009C6F32"/>
    <w:rsid w:val="009D00FE"/>
    <w:rsid w:val="009D12B9"/>
    <w:rsid w:val="009D2BEF"/>
    <w:rsid w:val="009D310F"/>
    <w:rsid w:val="009D358E"/>
    <w:rsid w:val="009D6F42"/>
    <w:rsid w:val="009D6F79"/>
    <w:rsid w:val="009D7187"/>
    <w:rsid w:val="009D783B"/>
    <w:rsid w:val="009E01DD"/>
    <w:rsid w:val="009E0F82"/>
    <w:rsid w:val="009E2A4E"/>
    <w:rsid w:val="009E547A"/>
    <w:rsid w:val="009E5570"/>
    <w:rsid w:val="009E5D3D"/>
    <w:rsid w:val="009E74CD"/>
    <w:rsid w:val="009F2DCF"/>
    <w:rsid w:val="009F30C8"/>
    <w:rsid w:val="009F3CC9"/>
    <w:rsid w:val="009F4054"/>
    <w:rsid w:val="009F4D22"/>
    <w:rsid w:val="009F58D8"/>
    <w:rsid w:val="009F6D34"/>
    <w:rsid w:val="009F75E2"/>
    <w:rsid w:val="00A02F7D"/>
    <w:rsid w:val="00A033FD"/>
    <w:rsid w:val="00A03791"/>
    <w:rsid w:val="00A04101"/>
    <w:rsid w:val="00A06657"/>
    <w:rsid w:val="00A1095E"/>
    <w:rsid w:val="00A12052"/>
    <w:rsid w:val="00A12DA0"/>
    <w:rsid w:val="00A16A3A"/>
    <w:rsid w:val="00A16DFA"/>
    <w:rsid w:val="00A179A2"/>
    <w:rsid w:val="00A17C0A"/>
    <w:rsid w:val="00A2038E"/>
    <w:rsid w:val="00A20DA3"/>
    <w:rsid w:val="00A21009"/>
    <w:rsid w:val="00A22FA7"/>
    <w:rsid w:val="00A238D0"/>
    <w:rsid w:val="00A248C1"/>
    <w:rsid w:val="00A303EA"/>
    <w:rsid w:val="00A30D38"/>
    <w:rsid w:val="00A33919"/>
    <w:rsid w:val="00A33FA8"/>
    <w:rsid w:val="00A346B2"/>
    <w:rsid w:val="00A356F0"/>
    <w:rsid w:val="00A3601F"/>
    <w:rsid w:val="00A36968"/>
    <w:rsid w:val="00A36A61"/>
    <w:rsid w:val="00A377A8"/>
    <w:rsid w:val="00A41149"/>
    <w:rsid w:val="00A417B2"/>
    <w:rsid w:val="00A41D91"/>
    <w:rsid w:val="00A44745"/>
    <w:rsid w:val="00A44F15"/>
    <w:rsid w:val="00A45CB8"/>
    <w:rsid w:val="00A468B4"/>
    <w:rsid w:val="00A47B7B"/>
    <w:rsid w:val="00A50004"/>
    <w:rsid w:val="00A50572"/>
    <w:rsid w:val="00A50621"/>
    <w:rsid w:val="00A52B85"/>
    <w:rsid w:val="00A5378B"/>
    <w:rsid w:val="00A53F84"/>
    <w:rsid w:val="00A5410F"/>
    <w:rsid w:val="00A54175"/>
    <w:rsid w:val="00A556C7"/>
    <w:rsid w:val="00A55933"/>
    <w:rsid w:val="00A56809"/>
    <w:rsid w:val="00A575E4"/>
    <w:rsid w:val="00A60056"/>
    <w:rsid w:val="00A60D9A"/>
    <w:rsid w:val="00A63A07"/>
    <w:rsid w:val="00A642BA"/>
    <w:rsid w:val="00A654A2"/>
    <w:rsid w:val="00A67183"/>
    <w:rsid w:val="00A70079"/>
    <w:rsid w:val="00A70BD2"/>
    <w:rsid w:val="00A716A1"/>
    <w:rsid w:val="00A73C41"/>
    <w:rsid w:val="00A749CB"/>
    <w:rsid w:val="00A76391"/>
    <w:rsid w:val="00A76452"/>
    <w:rsid w:val="00A7728F"/>
    <w:rsid w:val="00A778EC"/>
    <w:rsid w:val="00A77D26"/>
    <w:rsid w:val="00A80446"/>
    <w:rsid w:val="00A816E5"/>
    <w:rsid w:val="00A824F9"/>
    <w:rsid w:val="00A83F5F"/>
    <w:rsid w:val="00A84DF8"/>
    <w:rsid w:val="00A851FD"/>
    <w:rsid w:val="00A86D3D"/>
    <w:rsid w:val="00A87C6F"/>
    <w:rsid w:val="00A9013E"/>
    <w:rsid w:val="00A906B5"/>
    <w:rsid w:val="00A91461"/>
    <w:rsid w:val="00A915F3"/>
    <w:rsid w:val="00A9221A"/>
    <w:rsid w:val="00A932AA"/>
    <w:rsid w:val="00A94B17"/>
    <w:rsid w:val="00A94F1F"/>
    <w:rsid w:val="00A95347"/>
    <w:rsid w:val="00A97851"/>
    <w:rsid w:val="00AA1078"/>
    <w:rsid w:val="00AA12BD"/>
    <w:rsid w:val="00AA471D"/>
    <w:rsid w:val="00AA4B1C"/>
    <w:rsid w:val="00AA4E3B"/>
    <w:rsid w:val="00AA6188"/>
    <w:rsid w:val="00AA7109"/>
    <w:rsid w:val="00AA7E33"/>
    <w:rsid w:val="00AB265E"/>
    <w:rsid w:val="00AB2948"/>
    <w:rsid w:val="00AB30B3"/>
    <w:rsid w:val="00AB3790"/>
    <w:rsid w:val="00AB39FA"/>
    <w:rsid w:val="00AB3B30"/>
    <w:rsid w:val="00AB3EA6"/>
    <w:rsid w:val="00AB426C"/>
    <w:rsid w:val="00AB451C"/>
    <w:rsid w:val="00AB57AC"/>
    <w:rsid w:val="00AB593E"/>
    <w:rsid w:val="00AB59F2"/>
    <w:rsid w:val="00AB677A"/>
    <w:rsid w:val="00AB6F81"/>
    <w:rsid w:val="00AC0153"/>
    <w:rsid w:val="00AC09E9"/>
    <w:rsid w:val="00AC3D1D"/>
    <w:rsid w:val="00AC3E62"/>
    <w:rsid w:val="00AC57B8"/>
    <w:rsid w:val="00AC5AF9"/>
    <w:rsid w:val="00AC6192"/>
    <w:rsid w:val="00AD02BC"/>
    <w:rsid w:val="00AD1CD8"/>
    <w:rsid w:val="00AD1DCD"/>
    <w:rsid w:val="00AD2F03"/>
    <w:rsid w:val="00AD57FE"/>
    <w:rsid w:val="00AD5B24"/>
    <w:rsid w:val="00AD6933"/>
    <w:rsid w:val="00AD6B7B"/>
    <w:rsid w:val="00AD7CAB"/>
    <w:rsid w:val="00AE0D1D"/>
    <w:rsid w:val="00AE0D6A"/>
    <w:rsid w:val="00AE10BE"/>
    <w:rsid w:val="00AE16C9"/>
    <w:rsid w:val="00AE3EF5"/>
    <w:rsid w:val="00AE4F2A"/>
    <w:rsid w:val="00AE5F33"/>
    <w:rsid w:val="00AE6FFE"/>
    <w:rsid w:val="00AF0AD5"/>
    <w:rsid w:val="00AF15E6"/>
    <w:rsid w:val="00AF2760"/>
    <w:rsid w:val="00AF36E4"/>
    <w:rsid w:val="00AF51E7"/>
    <w:rsid w:val="00AF624A"/>
    <w:rsid w:val="00AF6744"/>
    <w:rsid w:val="00B00A68"/>
    <w:rsid w:val="00B00F19"/>
    <w:rsid w:val="00B05620"/>
    <w:rsid w:val="00B05F79"/>
    <w:rsid w:val="00B12E05"/>
    <w:rsid w:val="00B12EBE"/>
    <w:rsid w:val="00B14752"/>
    <w:rsid w:val="00B15E04"/>
    <w:rsid w:val="00B16431"/>
    <w:rsid w:val="00B166A4"/>
    <w:rsid w:val="00B200D5"/>
    <w:rsid w:val="00B21546"/>
    <w:rsid w:val="00B219B7"/>
    <w:rsid w:val="00B2253F"/>
    <w:rsid w:val="00B2448E"/>
    <w:rsid w:val="00B2502C"/>
    <w:rsid w:val="00B25038"/>
    <w:rsid w:val="00B27DE1"/>
    <w:rsid w:val="00B27EC3"/>
    <w:rsid w:val="00B27FF1"/>
    <w:rsid w:val="00B30864"/>
    <w:rsid w:val="00B30D24"/>
    <w:rsid w:val="00B3159A"/>
    <w:rsid w:val="00B329C7"/>
    <w:rsid w:val="00B32A5B"/>
    <w:rsid w:val="00B33465"/>
    <w:rsid w:val="00B33576"/>
    <w:rsid w:val="00B35183"/>
    <w:rsid w:val="00B35858"/>
    <w:rsid w:val="00B35C09"/>
    <w:rsid w:val="00B379C5"/>
    <w:rsid w:val="00B37C95"/>
    <w:rsid w:val="00B40E6F"/>
    <w:rsid w:val="00B40E86"/>
    <w:rsid w:val="00B41199"/>
    <w:rsid w:val="00B4183F"/>
    <w:rsid w:val="00B42198"/>
    <w:rsid w:val="00B42EFA"/>
    <w:rsid w:val="00B431AE"/>
    <w:rsid w:val="00B44777"/>
    <w:rsid w:val="00B46AD2"/>
    <w:rsid w:val="00B5746F"/>
    <w:rsid w:val="00B60CFD"/>
    <w:rsid w:val="00B62B78"/>
    <w:rsid w:val="00B633EA"/>
    <w:rsid w:val="00B64BBE"/>
    <w:rsid w:val="00B67DE1"/>
    <w:rsid w:val="00B70BEC"/>
    <w:rsid w:val="00B70CC6"/>
    <w:rsid w:val="00B72A48"/>
    <w:rsid w:val="00B72BFC"/>
    <w:rsid w:val="00B73894"/>
    <w:rsid w:val="00B74A6E"/>
    <w:rsid w:val="00B74DB8"/>
    <w:rsid w:val="00B76758"/>
    <w:rsid w:val="00B7715E"/>
    <w:rsid w:val="00B810E4"/>
    <w:rsid w:val="00B8193F"/>
    <w:rsid w:val="00B82A82"/>
    <w:rsid w:val="00B8464A"/>
    <w:rsid w:val="00B8473D"/>
    <w:rsid w:val="00B90410"/>
    <w:rsid w:val="00B90E10"/>
    <w:rsid w:val="00B92F4E"/>
    <w:rsid w:val="00B9400F"/>
    <w:rsid w:val="00B964CA"/>
    <w:rsid w:val="00BA14EC"/>
    <w:rsid w:val="00BA200E"/>
    <w:rsid w:val="00BA31C4"/>
    <w:rsid w:val="00BA3F13"/>
    <w:rsid w:val="00BA4655"/>
    <w:rsid w:val="00BA71A0"/>
    <w:rsid w:val="00BA78B6"/>
    <w:rsid w:val="00BA7935"/>
    <w:rsid w:val="00BB047B"/>
    <w:rsid w:val="00BB0CEE"/>
    <w:rsid w:val="00BB3C49"/>
    <w:rsid w:val="00BB4454"/>
    <w:rsid w:val="00BB4818"/>
    <w:rsid w:val="00BB4AF3"/>
    <w:rsid w:val="00BB6398"/>
    <w:rsid w:val="00BC25EF"/>
    <w:rsid w:val="00BC2DAF"/>
    <w:rsid w:val="00BC358C"/>
    <w:rsid w:val="00BC4257"/>
    <w:rsid w:val="00BC4B2A"/>
    <w:rsid w:val="00BC4FD3"/>
    <w:rsid w:val="00BC512F"/>
    <w:rsid w:val="00BC6827"/>
    <w:rsid w:val="00BC6C7A"/>
    <w:rsid w:val="00BC770C"/>
    <w:rsid w:val="00BC7D9E"/>
    <w:rsid w:val="00BD0372"/>
    <w:rsid w:val="00BD0674"/>
    <w:rsid w:val="00BD25B0"/>
    <w:rsid w:val="00BD3FF9"/>
    <w:rsid w:val="00BD44F5"/>
    <w:rsid w:val="00BD6151"/>
    <w:rsid w:val="00BE2EDF"/>
    <w:rsid w:val="00BE2FEE"/>
    <w:rsid w:val="00BE4340"/>
    <w:rsid w:val="00BE5C41"/>
    <w:rsid w:val="00BE5D4F"/>
    <w:rsid w:val="00BE60A3"/>
    <w:rsid w:val="00BE68B7"/>
    <w:rsid w:val="00BF0646"/>
    <w:rsid w:val="00BF0673"/>
    <w:rsid w:val="00BF0D29"/>
    <w:rsid w:val="00BF1049"/>
    <w:rsid w:val="00BF11EF"/>
    <w:rsid w:val="00BF1C32"/>
    <w:rsid w:val="00BF5E55"/>
    <w:rsid w:val="00BF76A6"/>
    <w:rsid w:val="00C0068D"/>
    <w:rsid w:val="00C01F23"/>
    <w:rsid w:val="00C044BE"/>
    <w:rsid w:val="00C04BAB"/>
    <w:rsid w:val="00C04EB1"/>
    <w:rsid w:val="00C0607B"/>
    <w:rsid w:val="00C06DEF"/>
    <w:rsid w:val="00C075A2"/>
    <w:rsid w:val="00C107CB"/>
    <w:rsid w:val="00C118C4"/>
    <w:rsid w:val="00C11F58"/>
    <w:rsid w:val="00C120D7"/>
    <w:rsid w:val="00C132D1"/>
    <w:rsid w:val="00C139CA"/>
    <w:rsid w:val="00C13A7D"/>
    <w:rsid w:val="00C14A94"/>
    <w:rsid w:val="00C15B2F"/>
    <w:rsid w:val="00C16C2E"/>
    <w:rsid w:val="00C17ADB"/>
    <w:rsid w:val="00C22CEA"/>
    <w:rsid w:val="00C241A8"/>
    <w:rsid w:val="00C24ABA"/>
    <w:rsid w:val="00C254B9"/>
    <w:rsid w:val="00C25E28"/>
    <w:rsid w:val="00C264CB"/>
    <w:rsid w:val="00C31253"/>
    <w:rsid w:val="00C3271D"/>
    <w:rsid w:val="00C35129"/>
    <w:rsid w:val="00C35841"/>
    <w:rsid w:val="00C3719A"/>
    <w:rsid w:val="00C41124"/>
    <w:rsid w:val="00C41197"/>
    <w:rsid w:val="00C419DB"/>
    <w:rsid w:val="00C476F1"/>
    <w:rsid w:val="00C51429"/>
    <w:rsid w:val="00C51E8F"/>
    <w:rsid w:val="00C52CE9"/>
    <w:rsid w:val="00C52FC0"/>
    <w:rsid w:val="00C53F9E"/>
    <w:rsid w:val="00C5585C"/>
    <w:rsid w:val="00C559E9"/>
    <w:rsid w:val="00C55A0D"/>
    <w:rsid w:val="00C56379"/>
    <w:rsid w:val="00C564A7"/>
    <w:rsid w:val="00C57D45"/>
    <w:rsid w:val="00C608A7"/>
    <w:rsid w:val="00C608C1"/>
    <w:rsid w:val="00C63D4E"/>
    <w:rsid w:val="00C63EA9"/>
    <w:rsid w:val="00C64CA7"/>
    <w:rsid w:val="00C64EC2"/>
    <w:rsid w:val="00C665A0"/>
    <w:rsid w:val="00C66FF9"/>
    <w:rsid w:val="00C6749E"/>
    <w:rsid w:val="00C67725"/>
    <w:rsid w:val="00C67ED3"/>
    <w:rsid w:val="00C700F3"/>
    <w:rsid w:val="00C7092F"/>
    <w:rsid w:val="00C70A49"/>
    <w:rsid w:val="00C71958"/>
    <w:rsid w:val="00C723AC"/>
    <w:rsid w:val="00C750C1"/>
    <w:rsid w:val="00C75A42"/>
    <w:rsid w:val="00C768E9"/>
    <w:rsid w:val="00C76AEB"/>
    <w:rsid w:val="00C76DDA"/>
    <w:rsid w:val="00C80789"/>
    <w:rsid w:val="00C807B3"/>
    <w:rsid w:val="00C81767"/>
    <w:rsid w:val="00C825C9"/>
    <w:rsid w:val="00C8555E"/>
    <w:rsid w:val="00C86CC3"/>
    <w:rsid w:val="00C86E37"/>
    <w:rsid w:val="00C901B1"/>
    <w:rsid w:val="00C909DC"/>
    <w:rsid w:val="00C90EBC"/>
    <w:rsid w:val="00C9137A"/>
    <w:rsid w:val="00C91420"/>
    <w:rsid w:val="00C91B69"/>
    <w:rsid w:val="00C9269B"/>
    <w:rsid w:val="00C92BC1"/>
    <w:rsid w:val="00C936EA"/>
    <w:rsid w:val="00C9553F"/>
    <w:rsid w:val="00CA174C"/>
    <w:rsid w:val="00CA31ED"/>
    <w:rsid w:val="00CA3856"/>
    <w:rsid w:val="00CA5A3F"/>
    <w:rsid w:val="00CA66B2"/>
    <w:rsid w:val="00CA67E0"/>
    <w:rsid w:val="00CA7286"/>
    <w:rsid w:val="00CB0122"/>
    <w:rsid w:val="00CB0258"/>
    <w:rsid w:val="00CB0269"/>
    <w:rsid w:val="00CB0833"/>
    <w:rsid w:val="00CB0D9F"/>
    <w:rsid w:val="00CB18F5"/>
    <w:rsid w:val="00CB196E"/>
    <w:rsid w:val="00CB1C5F"/>
    <w:rsid w:val="00CB737E"/>
    <w:rsid w:val="00CB7405"/>
    <w:rsid w:val="00CC008E"/>
    <w:rsid w:val="00CC02ED"/>
    <w:rsid w:val="00CC2030"/>
    <w:rsid w:val="00CC264B"/>
    <w:rsid w:val="00CC4144"/>
    <w:rsid w:val="00CC58E0"/>
    <w:rsid w:val="00CC63EB"/>
    <w:rsid w:val="00CC7EBB"/>
    <w:rsid w:val="00CD022A"/>
    <w:rsid w:val="00CD03BE"/>
    <w:rsid w:val="00CD0707"/>
    <w:rsid w:val="00CD0C90"/>
    <w:rsid w:val="00CD173F"/>
    <w:rsid w:val="00CD1A25"/>
    <w:rsid w:val="00CD2E16"/>
    <w:rsid w:val="00CD4CD9"/>
    <w:rsid w:val="00CD65E7"/>
    <w:rsid w:val="00CD7BFC"/>
    <w:rsid w:val="00CE2B71"/>
    <w:rsid w:val="00CE2B95"/>
    <w:rsid w:val="00CE2F1A"/>
    <w:rsid w:val="00CE62FE"/>
    <w:rsid w:val="00CF1855"/>
    <w:rsid w:val="00CF1A11"/>
    <w:rsid w:val="00CF30FC"/>
    <w:rsid w:val="00CF31A3"/>
    <w:rsid w:val="00CF4286"/>
    <w:rsid w:val="00CF52F5"/>
    <w:rsid w:val="00CF5CB2"/>
    <w:rsid w:val="00CF5E97"/>
    <w:rsid w:val="00CF62AE"/>
    <w:rsid w:val="00CF6B02"/>
    <w:rsid w:val="00D000D5"/>
    <w:rsid w:val="00D019BA"/>
    <w:rsid w:val="00D01B9F"/>
    <w:rsid w:val="00D0206B"/>
    <w:rsid w:val="00D0334E"/>
    <w:rsid w:val="00D03B38"/>
    <w:rsid w:val="00D03F87"/>
    <w:rsid w:val="00D04CD4"/>
    <w:rsid w:val="00D05413"/>
    <w:rsid w:val="00D05D76"/>
    <w:rsid w:val="00D06702"/>
    <w:rsid w:val="00D067FB"/>
    <w:rsid w:val="00D06C60"/>
    <w:rsid w:val="00D07174"/>
    <w:rsid w:val="00D12095"/>
    <w:rsid w:val="00D122CA"/>
    <w:rsid w:val="00D137D5"/>
    <w:rsid w:val="00D14286"/>
    <w:rsid w:val="00D15D1A"/>
    <w:rsid w:val="00D2074D"/>
    <w:rsid w:val="00D21AEC"/>
    <w:rsid w:val="00D22D06"/>
    <w:rsid w:val="00D24180"/>
    <w:rsid w:val="00D24772"/>
    <w:rsid w:val="00D256FA"/>
    <w:rsid w:val="00D257FB"/>
    <w:rsid w:val="00D26E91"/>
    <w:rsid w:val="00D272A6"/>
    <w:rsid w:val="00D30680"/>
    <w:rsid w:val="00D3112B"/>
    <w:rsid w:val="00D33FD1"/>
    <w:rsid w:val="00D3441D"/>
    <w:rsid w:val="00D355C4"/>
    <w:rsid w:val="00D35714"/>
    <w:rsid w:val="00D3612A"/>
    <w:rsid w:val="00D37481"/>
    <w:rsid w:val="00D37703"/>
    <w:rsid w:val="00D37DBF"/>
    <w:rsid w:val="00D37F25"/>
    <w:rsid w:val="00D42F4F"/>
    <w:rsid w:val="00D44141"/>
    <w:rsid w:val="00D45F73"/>
    <w:rsid w:val="00D56A53"/>
    <w:rsid w:val="00D60D57"/>
    <w:rsid w:val="00D60E28"/>
    <w:rsid w:val="00D61FD7"/>
    <w:rsid w:val="00D6324F"/>
    <w:rsid w:val="00D63458"/>
    <w:rsid w:val="00D6642B"/>
    <w:rsid w:val="00D66D37"/>
    <w:rsid w:val="00D70545"/>
    <w:rsid w:val="00D707DF"/>
    <w:rsid w:val="00D72E27"/>
    <w:rsid w:val="00D750CC"/>
    <w:rsid w:val="00D758DC"/>
    <w:rsid w:val="00D765EC"/>
    <w:rsid w:val="00D76751"/>
    <w:rsid w:val="00D76E74"/>
    <w:rsid w:val="00D80C87"/>
    <w:rsid w:val="00D83900"/>
    <w:rsid w:val="00D84369"/>
    <w:rsid w:val="00D84C8F"/>
    <w:rsid w:val="00D84EED"/>
    <w:rsid w:val="00D873AD"/>
    <w:rsid w:val="00D873AE"/>
    <w:rsid w:val="00D90BEE"/>
    <w:rsid w:val="00D91AAC"/>
    <w:rsid w:val="00D91C06"/>
    <w:rsid w:val="00D91C9F"/>
    <w:rsid w:val="00D922A8"/>
    <w:rsid w:val="00D9230D"/>
    <w:rsid w:val="00D93D68"/>
    <w:rsid w:val="00D93FD1"/>
    <w:rsid w:val="00D97B3F"/>
    <w:rsid w:val="00DA08F5"/>
    <w:rsid w:val="00DA1E80"/>
    <w:rsid w:val="00DA2ADC"/>
    <w:rsid w:val="00DA5174"/>
    <w:rsid w:val="00DA5948"/>
    <w:rsid w:val="00DB01E2"/>
    <w:rsid w:val="00DB0764"/>
    <w:rsid w:val="00DB0DF4"/>
    <w:rsid w:val="00DB21B4"/>
    <w:rsid w:val="00DB3506"/>
    <w:rsid w:val="00DB6641"/>
    <w:rsid w:val="00DB74CD"/>
    <w:rsid w:val="00DB7A9A"/>
    <w:rsid w:val="00DC2D81"/>
    <w:rsid w:val="00DC3177"/>
    <w:rsid w:val="00DC3276"/>
    <w:rsid w:val="00DC686B"/>
    <w:rsid w:val="00DC79B3"/>
    <w:rsid w:val="00DD13AB"/>
    <w:rsid w:val="00DD2841"/>
    <w:rsid w:val="00DD37D8"/>
    <w:rsid w:val="00DD3DB4"/>
    <w:rsid w:val="00DD4EB5"/>
    <w:rsid w:val="00DD5902"/>
    <w:rsid w:val="00DD5D27"/>
    <w:rsid w:val="00DD5E04"/>
    <w:rsid w:val="00DE01A4"/>
    <w:rsid w:val="00DE3E40"/>
    <w:rsid w:val="00DE4270"/>
    <w:rsid w:val="00DE4597"/>
    <w:rsid w:val="00DE643F"/>
    <w:rsid w:val="00DF28D9"/>
    <w:rsid w:val="00DF6840"/>
    <w:rsid w:val="00DF7C01"/>
    <w:rsid w:val="00E00D4A"/>
    <w:rsid w:val="00E010AB"/>
    <w:rsid w:val="00E015AD"/>
    <w:rsid w:val="00E0233F"/>
    <w:rsid w:val="00E02465"/>
    <w:rsid w:val="00E02678"/>
    <w:rsid w:val="00E02897"/>
    <w:rsid w:val="00E050EC"/>
    <w:rsid w:val="00E06262"/>
    <w:rsid w:val="00E0748A"/>
    <w:rsid w:val="00E07C2B"/>
    <w:rsid w:val="00E11211"/>
    <w:rsid w:val="00E128A9"/>
    <w:rsid w:val="00E143DA"/>
    <w:rsid w:val="00E14BA3"/>
    <w:rsid w:val="00E16744"/>
    <w:rsid w:val="00E17F8B"/>
    <w:rsid w:val="00E2180E"/>
    <w:rsid w:val="00E22AAE"/>
    <w:rsid w:val="00E23234"/>
    <w:rsid w:val="00E238A5"/>
    <w:rsid w:val="00E25953"/>
    <w:rsid w:val="00E27F5A"/>
    <w:rsid w:val="00E30DD8"/>
    <w:rsid w:val="00E32BEA"/>
    <w:rsid w:val="00E32C5C"/>
    <w:rsid w:val="00E32CFE"/>
    <w:rsid w:val="00E32E05"/>
    <w:rsid w:val="00E32F5B"/>
    <w:rsid w:val="00E34292"/>
    <w:rsid w:val="00E34E89"/>
    <w:rsid w:val="00E3799F"/>
    <w:rsid w:val="00E37DA2"/>
    <w:rsid w:val="00E40706"/>
    <w:rsid w:val="00E4121B"/>
    <w:rsid w:val="00E42FA4"/>
    <w:rsid w:val="00E43ACF"/>
    <w:rsid w:val="00E43B5E"/>
    <w:rsid w:val="00E45864"/>
    <w:rsid w:val="00E45C77"/>
    <w:rsid w:val="00E45E43"/>
    <w:rsid w:val="00E4622C"/>
    <w:rsid w:val="00E46457"/>
    <w:rsid w:val="00E47F40"/>
    <w:rsid w:val="00E50F60"/>
    <w:rsid w:val="00E51FFB"/>
    <w:rsid w:val="00E52DD3"/>
    <w:rsid w:val="00E5471E"/>
    <w:rsid w:val="00E558A4"/>
    <w:rsid w:val="00E574FD"/>
    <w:rsid w:val="00E576D9"/>
    <w:rsid w:val="00E60C3D"/>
    <w:rsid w:val="00E610CA"/>
    <w:rsid w:val="00E61514"/>
    <w:rsid w:val="00E65C76"/>
    <w:rsid w:val="00E65EA1"/>
    <w:rsid w:val="00E6605D"/>
    <w:rsid w:val="00E6611F"/>
    <w:rsid w:val="00E7082A"/>
    <w:rsid w:val="00E82183"/>
    <w:rsid w:val="00E83072"/>
    <w:rsid w:val="00E913FF"/>
    <w:rsid w:val="00E9168B"/>
    <w:rsid w:val="00E91A28"/>
    <w:rsid w:val="00E923A0"/>
    <w:rsid w:val="00E9265B"/>
    <w:rsid w:val="00E932F1"/>
    <w:rsid w:val="00E95253"/>
    <w:rsid w:val="00E9654C"/>
    <w:rsid w:val="00E978F3"/>
    <w:rsid w:val="00EA04C6"/>
    <w:rsid w:val="00EA09CF"/>
    <w:rsid w:val="00EA1CB1"/>
    <w:rsid w:val="00EA26D8"/>
    <w:rsid w:val="00EA2FBF"/>
    <w:rsid w:val="00EA546B"/>
    <w:rsid w:val="00EA5AD5"/>
    <w:rsid w:val="00EA6125"/>
    <w:rsid w:val="00EB4A35"/>
    <w:rsid w:val="00EB6400"/>
    <w:rsid w:val="00EB7061"/>
    <w:rsid w:val="00EB7608"/>
    <w:rsid w:val="00EC0435"/>
    <w:rsid w:val="00EC208C"/>
    <w:rsid w:val="00EC31A2"/>
    <w:rsid w:val="00EC4FD5"/>
    <w:rsid w:val="00EC61EE"/>
    <w:rsid w:val="00EC7180"/>
    <w:rsid w:val="00ED09DA"/>
    <w:rsid w:val="00ED14ED"/>
    <w:rsid w:val="00ED209D"/>
    <w:rsid w:val="00ED418D"/>
    <w:rsid w:val="00ED46C4"/>
    <w:rsid w:val="00ED4A9B"/>
    <w:rsid w:val="00ED5F88"/>
    <w:rsid w:val="00ED6449"/>
    <w:rsid w:val="00ED664B"/>
    <w:rsid w:val="00ED7359"/>
    <w:rsid w:val="00ED7C2E"/>
    <w:rsid w:val="00EE1C2F"/>
    <w:rsid w:val="00EE3684"/>
    <w:rsid w:val="00EE4140"/>
    <w:rsid w:val="00EE5111"/>
    <w:rsid w:val="00EE6904"/>
    <w:rsid w:val="00EF157F"/>
    <w:rsid w:val="00EF2730"/>
    <w:rsid w:val="00EF28D7"/>
    <w:rsid w:val="00EF4396"/>
    <w:rsid w:val="00F01D63"/>
    <w:rsid w:val="00F01EA1"/>
    <w:rsid w:val="00F03786"/>
    <w:rsid w:val="00F03AB8"/>
    <w:rsid w:val="00F0481B"/>
    <w:rsid w:val="00F04F8E"/>
    <w:rsid w:val="00F05E37"/>
    <w:rsid w:val="00F060F0"/>
    <w:rsid w:val="00F07897"/>
    <w:rsid w:val="00F07BA3"/>
    <w:rsid w:val="00F07EF7"/>
    <w:rsid w:val="00F1084E"/>
    <w:rsid w:val="00F112AC"/>
    <w:rsid w:val="00F12803"/>
    <w:rsid w:val="00F130AD"/>
    <w:rsid w:val="00F148E4"/>
    <w:rsid w:val="00F16905"/>
    <w:rsid w:val="00F16BF5"/>
    <w:rsid w:val="00F2002D"/>
    <w:rsid w:val="00F21A4A"/>
    <w:rsid w:val="00F22093"/>
    <w:rsid w:val="00F227E8"/>
    <w:rsid w:val="00F228D8"/>
    <w:rsid w:val="00F24288"/>
    <w:rsid w:val="00F243CF"/>
    <w:rsid w:val="00F24647"/>
    <w:rsid w:val="00F26374"/>
    <w:rsid w:val="00F26767"/>
    <w:rsid w:val="00F26A9F"/>
    <w:rsid w:val="00F30DE4"/>
    <w:rsid w:val="00F32978"/>
    <w:rsid w:val="00F331B5"/>
    <w:rsid w:val="00F33873"/>
    <w:rsid w:val="00F34AF9"/>
    <w:rsid w:val="00F3779D"/>
    <w:rsid w:val="00F37F33"/>
    <w:rsid w:val="00F415E1"/>
    <w:rsid w:val="00F41E62"/>
    <w:rsid w:val="00F43454"/>
    <w:rsid w:val="00F451EA"/>
    <w:rsid w:val="00F45725"/>
    <w:rsid w:val="00F47B58"/>
    <w:rsid w:val="00F47BED"/>
    <w:rsid w:val="00F47C09"/>
    <w:rsid w:val="00F50C5E"/>
    <w:rsid w:val="00F50FA8"/>
    <w:rsid w:val="00F51814"/>
    <w:rsid w:val="00F524F3"/>
    <w:rsid w:val="00F53521"/>
    <w:rsid w:val="00F53991"/>
    <w:rsid w:val="00F54212"/>
    <w:rsid w:val="00F54915"/>
    <w:rsid w:val="00F55424"/>
    <w:rsid w:val="00F571BD"/>
    <w:rsid w:val="00F6085F"/>
    <w:rsid w:val="00F61722"/>
    <w:rsid w:val="00F617C6"/>
    <w:rsid w:val="00F6208E"/>
    <w:rsid w:val="00F63210"/>
    <w:rsid w:val="00F63D2C"/>
    <w:rsid w:val="00F64CB4"/>
    <w:rsid w:val="00F66A33"/>
    <w:rsid w:val="00F66F7C"/>
    <w:rsid w:val="00F671D7"/>
    <w:rsid w:val="00F67DF0"/>
    <w:rsid w:val="00F70BA5"/>
    <w:rsid w:val="00F71818"/>
    <w:rsid w:val="00F71D6C"/>
    <w:rsid w:val="00F72BBA"/>
    <w:rsid w:val="00F73842"/>
    <w:rsid w:val="00F73B39"/>
    <w:rsid w:val="00F73D7C"/>
    <w:rsid w:val="00F74981"/>
    <w:rsid w:val="00F74C3D"/>
    <w:rsid w:val="00F75567"/>
    <w:rsid w:val="00F7596E"/>
    <w:rsid w:val="00F75C04"/>
    <w:rsid w:val="00F7650F"/>
    <w:rsid w:val="00F773EA"/>
    <w:rsid w:val="00F8563D"/>
    <w:rsid w:val="00F8579A"/>
    <w:rsid w:val="00F87315"/>
    <w:rsid w:val="00F90692"/>
    <w:rsid w:val="00F90CB2"/>
    <w:rsid w:val="00F945E1"/>
    <w:rsid w:val="00F95772"/>
    <w:rsid w:val="00F959E9"/>
    <w:rsid w:val="00F95D1C"/>
    <w:rsid w:val="00F95F65"/>
    <w:rsid w:val="00F97521"/>
    <w:rsid w:val="00FA14E0"/>
    <w:rsid w:val="00FA27ED"/>
    <w:rsid w:val="00FA2927"/>
    <w:rsid w:val="00FA31A2"/>
    <w:rsid w:val="00FA3987"/>
    <w:rsid w:val="00FA7538"/>
    <w:rsid w:val="00FB2466"/>
    <w:rsid w:val="00FB2CA2"/>
    <w:rsid w:val="00FB3A28"/>
    <w:rsid w:val="00FB4289"/>
    <w:rsid w:val="00FB42B0"/>
    <w:rsid w:val="00FB5CFC"/>
    <w:rsid w:val="00FB7006"/>
    <w:rsid w:val="00FC0149"/>
    <w:rsid w:val="00FC1824"/>
    <w:rsid w:val="00FC250B"/>
    <w:rsid w:val="00FC2985"/>
    <w:rsid w:val="00FC52FE"/>
    <w:rsid w:val="00FC63D4"/>
    <w:rsid w:val="00FC7098"/>
    <w:rsid w:val="00FC7254"/>
    <w:rsid w:val="00FD008B"/>
    <w:rsid w:val="00FD0E0E"/>
    <w:rsid w:val="00FD12A2"/>
    <w:rsid w:val="00FD1412"/>
    <w:rsid w:val="00FD424D"/>
    <w:rsid w:val="00FD4B1A"/>
    <w:rsid w:val="00FD5803"/>
    <w:rsid w:val="00FD5BCE"/>
    <w:rsid w:val="00FE072B"/>
    <w:rsid w:val="00FE144F"/>
    <w:rsid w:val="00FE18DC"/>
    <w:rsid w:val="00FE2516"/>
    <w:rsid w:val="00FE2CE3"/>
    <w:rsid w:val="00FE2CF0"/>
    <w:rsid w:val="00FE52A0"/>
    <w:rsid w:val="00FE54E9"/>
    <w:rsid w:val="00FE7BFD"/>
    <w:rsid w:val="00FF20D4"/>
    <w:rsid w:val="00FF2AF6"/>
    <w:rsid w:val="00FF3F44"/>
    <w:rsid w:val="00FF491C"/>
    <w:rsid w:val="00FF7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colormenu v:ext="edit" fillcolor="none"/>
    </o:shapedefaults>
    <o:shapelayout v:ext="edit">
      <o:idmap v:ext="edit" data="1"/>
    </o:shapelayout>
  </w:shapeDefaults>
  <w:decimalSymbol w:val="."/>
  <w:listSeparator w:val=","/>
  <w14:docId w14:val="28832374"/>
  <w15:chartTrackingRefBased/>
  <w15:docId w15:val="{E372A530-DF77-4E5D-A015-9EE841CB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tabs>
        <w:tab w:val="clear" w:pos="1276"/>
        <w:tab w:val="num" w:pos="1134"/>
      </w:tabs>
      <w:spacing w:after="240" w:line="360" w:lineRule="auto"/>
      <w:ind w:left="1134"/>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NormalWeb">
    <w:name w:val="Normal (Web)"/>
    <w:basedOn w:val="Normal"/>
    <w:uiPriority w:val="99"/>
    <w:unhideWhenUsed/>
    <w:rsid w:val="00AB379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1122698152">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438982537">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 w:id="2026863717">
      <w:bodyDiv w:val="1"/>
      <w:marLeft w:val="0"/>
      <w:marRight w:val="0"/>
      <w:marTop w:val="0"/>
      <w:marBottom w:val="0"/>
      <w:divBdr>
        <w:top w:val="none" w:sz="0" w:space="0" w:color="auto"/>
        <w:left w:val="none" w:sz="0" w:space="0" w:color="auto"/>
        <w:bottom w:val="none" w:sz="0" w:space="0" w:color="auto"/>
        <w:right w:val="none" w:sz="0" w:space="0" w:color="auto"/>
      </w:divBdr>
    </w:div>
    <w:div w:id="205862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448" TargetMode="External"/><Relationship Id="rId13" Type="http://schemas.openxmlformats.org/officeDocument/2006/relationships/hyperlink" Target="https://www.nice.org.uk/Get-Involved/Meetings-in-public/Technology-appraisal-Committee/Committee-b-Memb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about/what-we-do/our-programmes/nice-guidance/nice-technology-appraisal-guidance/cancer-drugs-fun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9/chapter/the-appraisal-of-the-evidence-and-structured-decision-mak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ice.org.uk/guidance/indevelopment/gid-ta10448" TargetMode="Externa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s://www.nice.org.uk/get-involved/meetings-in-public/technology-appraisal-committe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Global\NICE\NICE%20Templates\Tech%20App\STA%20old%20and%20new%20process%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AD390-047E-4BA5-8B3F-F72FD6FE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old and new process ACD and FAD template</Template>
  <TotalTime>1</TotalTime>
  <Pages>23</Pages>
  <Words>5870</Words>
  <Characters>34509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40299</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Alan Moore</dc:creator>
  <cp:keywords/>
  <cp:lastModifiedBy>Alan Moore</cp:lastModifiedBy>
  <cp:revision>2</cp:revision>
  <cp:lastPrinted>2012-11-14T14:34:00Z</cp:lastPrinted>
  <dcterms:created xsi:type="dcterms:W3CDTF">2020-05-28T13:02:00Z</dcterms:created>
  <dcterms:modified xsi:type="dcterms:W3CDTF">2020-05-28T13:02:00Z</dcterms:modified>
</cp:coreProperties>
</file>