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4DBC" w14:textId="77777777" w:rsidR="000F48EC" w:rsidRPr="00FA7706" w:rsidRDefault="000F48EC" w:rsidP="0093671F">
      <w:pPr>
        <w:pStyle w:val="Title2"/>
      </w:pPr>
      <w:r w:rsidRPr="00FA7706">
        <w:t>NATIONAL INSTITUTE FOR HEALTH AND C</w:t>
      </w:r>
      <w:r w:rsidR="00CC63EB" w:rsidRPr="00FA7706">
        <w:t>ARE</w:t>
      </w:r>
      <w:r w:rsidRPr="00FA7706">
        <w:t xml:space="preserve"> EXCELLENCE</w:t>
      </w:r>
    </w:p>
    <w:p w14:paraId="4741DDA5" w14:textId="78740517" w:rsidR="000F48EC" w:rsidRPr="00FA7706" w:rsidRDefault="00DE2053" w:rsidP="000069F9">
      <w:pPr>
        <w:pStyle w:val="Title2"/>
      </w:pPr>
      <w:r w:rsidRPr="00FA7706">
        <w:t>A</w:t>
      </w:r>
      <w:r w:rsidR="00C03294" w:rsidRPr="00FA7706">
        <w:t>ppraisal consultation document</w:t>
      </w:r>
    </w:p>
    <w:p w14:paraId="6A6D62E0" w14:textId="6C798444" w:rsidR="007A2801" w:rsidRPr="00FA7706" w:rsidRDefault="00B62EFD" w:rsidP="00855B42">
      <w:pPr>
        <w:pStyle w:val="Title1"/>
      </w:pPr>
      <w:r w:rsidRPr="00FA7706">
        <w:t xml:space="preserve">Pembrolizumab for </w:t>
      </w:r>
      <w:r w:rsidR="00B956BA" w:rsidRPr="00FA7706">
        <w:t xml:space="preserve">untreated </w:t>
      </w:r>
      <w:r w:rsidRPr="00FA7706">
        <w:t xml:space="preserve">metastatic </w:t>
      </w:r>
      <w:r w:rsidR="00B956BA" w:rsidRPr="00FA7706">
        <w:t xml:space="preserve">or unresectable </w:t>
      </w:r>
      <w:r w:rsidR="001B54C7" w:rsidRPr="00FA7706">
        <w:t xml:space="preserve">recurrent </w:t>
      </w:r>
      <w:r w:rsidRPr="00FA7706">
        <w:t>squamous cell head and neck cancer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5FFFE2CD" w14:textId="77777777" w:rsidTr="008669C9">
        <w:tc>
          <w:tcPr>
            <w:tcW w:w="8529" w:type="dxa"/>
            <w:shd w:val="clear" w:color="auto" w:fill="auto"/>
          </w:tcPr>
          <w:p w14:paraId="7BC6C3A3" w14:textId="15C70F9D" w:rsidR="00C03294" w:rsidRPr="00FA7706" w:rsidRDefault="00C03294" w:rsidP="008669C9">
            <w:pPr>
              <w:pStyle w:val="NICEnormalsinglespacing"/>
            </w:pPr>
            <w:r w:rsidRPr="00FA7706">
              <w:t xml:space="preserve">The Department of Health and Social Care has asked the National Institute for Health and Care Excellence (NICE) to produce guidance on using </w:t>
            </w:r>
            <w:r w:rsidR="00784810" w:rsidRPr="00FA7706">
              <w:t>pembrolizumab</w:t>
            </w:r>
            <w:r w:rsidRPr="00FA7706">
              <w:t xml:space="preserve"> in the NHS in England. The appraisal committee has considered the evidence submitted by the company and the views of non-company consultees and commentators, clinical experts and patient experts.</w:t>
            </w:r>
          </w:p>
          <w:p w14:paraId="134C32D0" w14:textId="62BF9427" w:rsidR="00C03294" w:rsidRPr="00FA7706" w:rsidRDefault="00C03294" w:rsidP="008669C9">
            <w:pPr>
              <w:pStyle w:val="NICEnormalsinglespacing"/>
            </w:pPr>
            <w:r w:rsidRPr="00FA7706">
              <w:rPr>
                <w:b/>
              </w:rPr>
              <w:t>This document has been prepared for consultation with the consultees.</w:t>
            </w:r>
            <w:r w:rsidRPr="00FA7706">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(see the committee papers).</w:t>
            </w:r>
          </w:p>
          <w:p w14:paraId="6D460CEF" w14:textId="77777777" w:rsidR="00C03294" w:rsidRPr="00FA7706" w:rsidRDefault="00C03294" w:rsidP="008669C9">
            <w:pPr>
              <w:pStyle w:val="NICEnormalsinglespacing"/>
            </w:pPr>
            <w:r w:rsidRPr="00FA7706">
              <w:t>The appraisal committee is interested in receiving comments on the following:</w:t>
            </w:r>
          </w:p>
          <w:p w14:paraId="336B0F95" w14:textId="77777777" w:rsidR="00C03294" w:rsidRPr="00FA7706" w:rsidRDefault="00C03294" w:rsidP="008669C9">
            <w:pPr>
              <w:pStyle w:val="Bulletleft1"/>
              <w:spacing w:line="240" w:lineRule="auto"/>
            </w:pPr>
            <w:r w:rsidRPr="00FA7706">
              <w:t xml:space="preserve">Has </w:t>
            </w:r>
            <w:proofErr w:type="gramStart"/>
            <w:r w:rsidRPr="00FA7706">
              <w:t>all of</w:t>
            </w:r>
            <w:proofErr w:type="gramEnd"/>
            <w:r w:rsidRPr="00FA7706">
              <w:t xml:space="preserve"> the relevant evidence been taken into account?</w:t>
            </w:r>
          </w:p>
          <w:p w14:paraId="2D418A31" w14:textId="77777777" w:rsidR="00C03294" w:rsidRPr="00FA7706" w:rsidRDefault="00C03294" w:rsidP="008669C9">
            <w:pPr>
              <w:pStyle w:val="Bulletleft1"/>
              <w:spacing w:line="240" w:lineRule="auto"/>
            </w:pPr>
            <w:r w:rsidRPr="00FA7706">
              <w:t>Are the summaries of clinical and cost effectiveness reasonable interpretations of the evidence?</w:t>
            </w:r>
          </w:p>
          <w:p w14:paraId="465F4315" w14:textId="77777777" w:rsidR="00C03294" w:rsidRPr="00FA7706" w:rsidRDefault="00C03294" w:rsidP="008669C9">
            <w:pPr>
              <w:pStyle w:val="Bulletleft1"/>
              <w:spacing w:line="240" w:lineRule="auto"/>
            </w:pPr>
            <w:r w:rsidRPr="00FA7706">
              <w:t>Are the recommendations sound and a suitable basis for guidance to the NHS?</w:t>
            </w:r>
          </w:p>
          <w:p w14:paraId="4F9D48D5" w14:textId="77777777" w:rsidR="00C03294" w:rsidRPr="00FA7706" w:rsidRDefault="00C03294" w:rsidP="008669C9">
            <w:pPr>
              <w:pStyle w:val="Bulletleft1"/>
              <w:spacing w:line="240" w:lineRule="auto"/>
            </w:pPr>
            <w:r w:rsidRPr="00FA7706">
              <w:t xml:space="preserve">Are there any aspects of the recommendations that need </w:t>
            </w:r>
            <w:proofErr w:type="gramStart"/>
            <w:r w:rsidRPr="00FA7706">
              <w:t>particular consideration</w:t>
            </w:r>
            <w:proofErr w:type="gramEnd"/>
            <w:r w:rsidRPr="00FA7706">
              <w:t xml:space="preserve"> to ensure we avoid unlawful discrimination against any group of people on the grounds of race, gender, disability, religion or belief, sexual orientation, age, gender reassignment, pregnancy and maternity?</w:t>
            </w:r>
          </w:p>
        </w:tc>
      </w:tr>
    </w:tbl>
    <w:p w14:paraId="5CD978BA" w14:textId="120193B7" w:rsidR="008B54F2" w:rsidRPr="00FA7706" w:rsidRDefault="008B54F2" w:rsidP="00E816B3">
      <w:pPr>
        <w:pStyle w:val="NICEnormal"/>
      </w:pPr>
    </w:p>
    <w:p w14:paraId="618C9198" w14:textId="77777777" w:rsidR="008B54F2" w:rsidRPr="00FA7706" w:rsidRDefault="008B54F2" w:rsidP="00E816B3">
      <w:pPr>
        <w:pStyle w:val="NICEnormal"/>
        <w:rPr>
          <w:rFonts w:cs="Arial"/>
          <w:kern w:val="28"/>
          <w:sz w:val="40"/>
          <w:szCs w:val="32"/>
        </w:rPr>
      </w:pPr>
      <w:r w:rsidRPr="00FA770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03294" w:rsidRPr="00FA7706" w14:paraId="26CADEE8" w14:textId="77777777" w:rsidTr="008669C9">
        <w:tc>
          <w:tcPr>
            <w:tcW w:w="8529" w:type="dxa"/>
            <w:shd w:val="clear" w:color="auto" w:fill="auto"/>
          </w:tcPr>
          <w:p w14:paraId="7F9159B6" w14:textId="77777777" w:rsidR="00C03294" w:rsidRPr="00FA7706" w:rsidRDefault="00C03294" w:rsidP="008669C9">
            <w:pPr>
              <w:pStyle w:val="NICEnormalsinglespacing"/>
              <w:rPr>
                <w:b/>
                <w:bCs/>
              </w:rPr>
            </w:pPr>
            <w:r w:rsidRPr="00FA7706">
              <w:rPr>
                <w:b/>
                <w:bCs/>
              </w:rPr>
              <w:lastRenderedPageBreak/>
              <w:t>Note that this document is not NICE's final guidance on this technology. The recommendations in section 1 may change after consultation.</w:t>
            </w:r>
          </w:p>
          <w:p w14:paraId="062BA703" w14:textId="77777777" w:rsidR="00C03294" w:rsidRPr="00FA7706" w:rsidRDefault="00C03294" w:rsidP="008669C9">
            <w:pPr>
              <w:pStyle w:val="NICEnormalsinglespacing"/>
            </w:pPr>
            <w:r w:rsidRPr="00FA7706">
              <w:t>After consultation:</w:t>
            </w:r>
          </w:p>
          <w:p w14:paraId="53B2D65C" w14:textId="77777777" w:rsidR="00C03294" w:rsidRPr="00FA7706" w:rsidRDefault="00C03294" w:rsidP="008669C9">
            <w:pPr>
              <w:pStyle w:val="Bulletleft1"/>
              <w:spacing w:line="240" w:lineRule="auto"/>
            </w:pPr>
            <w:r w:rsidRPr="00FA7706">
              <w:t>The appraisal committee will meet again to consider the evidence, this appraisal consultation document and comments from the consultees.</w:t>
            </w:r>
          </w:p>
          <w:p w14:paraId="0ED67113" w14:textId="77777777" w:rsidR="00C03294" w:rsidRPr="00FA7706" w:rsidRDefault="00C03294" w:rsidP="008669C9">
            <w:pPr>
              <w:pStyle w:val="Bulletleft1"/>
              <w:spacing w:line="240" w:lineRule="auto"/>
            </w:pPr>
            <w:r w:rsidRPr="00FA7706">
              <w:t>At that meeting, the committee will also consider comments made by people who are not consultees.</w:t>
            </w:r>
          </w:p>
          <w:p w14:paraId="53BC9DB9" w14:textId="77777777" w:rsidR="00C03294" w:rsidRPr="00FA7706" w:rsidRDefault="00C03294" w:rsidP="008669C9">
            <w:pPr>
              <w:pStyle w:val="Bulletleft1"/>
              <w:spacing w:line="240" w:lineRule="auto"/>
            </w:pPr>
            <w:r w:rsidRPr="00FA7706">
              <w:t>After considering these comments, the committee will prepare the final appraisal document.</w:t>
            </w:r>
          </w:p>
          <w:p w14:paraId="05FBA86A" w14:textId="634EF721" w:rsidR="00C03294" w:rsidRPr="00FA7706" w:rsidRDefault="00C03294" w:rsidP="008669C9">
            <w:pPr>
              <w:pStyle w:val="Bulletleft1last"/>
              <w:spacing w:line="240" w:lineRule="auto"/>
            </w:pPr>
            <w:r w:rsidRPr="00FA7706">
              <w:t xml:space="preserve">Subject to any appeal by consultees, the final appraisal document may be used as the basis for NICE’s guidance on using </w:t>
            </w:r>
            <w:r w:rsidR="00784810" w:rsidRPr="00FA7706">
              <w:t>pembrolizumab</w:t>
            </w:r>
            <w:r w:rsidRPr="00FA7706">
              <w:t xml:space="preserve"> in the NHS in England.</w:t>
            </w:r>
          </w:p>
          <w:p w14:paraId="227894B2" w14:textId="77777777" w:rsidR="00C03294" w:rsidRPr="00FA7706" w:rsidRDefault="00C03294" w:rsidP="008669C9">
            <w:pPr>
              <w:pStyle w:val="NICEnormalsinglespacing"/>
            </w:pPr>
            <w:r w:rsidRPr="00FA7706">
              <w:t xml:space="preserve">For further details, see NICE’s </w:t>
            </w:r>
            <w:hyperlink r:id="rId8" w:history="1">
              <w:r w:rsidRPr="00FA7706">
                <w:rPr>
                  <w:rStyle w:val="Hyperlink"/>
                </w:rPr>
                <w:t>guide to the processes of technology appraisal</w:t>
              </w:r>
            </w:hyperlink>
            <w:r w:rsidRPr="00FA7706">
              <w:t>.</w:t>
            </w:r>
          </w:p>
          <w:p w14:paraId="06ED2E42" w14:textId="77777777" w:rsidR="00C03294" w:rsidRPr="00FA7706" w:rsidRDefault="00C03294" w:rsidP="008669C9">
            <w:pPr>
              <w:pStyle w:val="NICEnormalsinglespacing"/>
              <w:rPr>
                <w:b/>
                <w:bCs/>
              </w:rPr>
            </w:pPr>
            <w:r w:rsidRPr="00FA7706">
              <w:rPr>
                <w:b/>
                <w:bCs/>
              </w:rPr>
              <w:t>The key dates for this appraisal are:</w:t>
            </w:r>
          </w:p>
          <w:p w14:paraId="5414594A" w14:textId="15D039F8" w:rsidR="00C03294" w:rsidRPr="00FA7706" w:rsidRDefault="00C03294" w:rsidP="008669C9">
            <w:pPr>
              <w:pStyle w:val="NICEnormalsinglespacing"/>
            </w:pPr>
            <w:r w:rsidRPr="00FA7706">
              <w:t>Closing date for comments:</w:t>
            </w:r>
            <w:r w:rsidR="00C61279" w:rsidRPr="00FA7706">
              <w:t xml:space="preserve"> 5 February 2020</w:t>
            </w:r>
          </w:p>
          <w:p w14:paraId="2BB25861" w14:textId="294271EC" w:rsidR="00C03294" w:rsidRPr="00FA7706" w:rsidRDefault="00C03294" w:rsidP="008669C9">
            <w:pPr>
              <w:pStyle w:val="NICEnormalsinglespacing"/>
            </w:pPr>
            <w:r w:rsidRPr="00FA7706">
              <w:t>Second appraisal committee meeting:</w:t>
            </w:r>
            <w:r w:rsidR="0000641D" w:rsidRPr="00FA7706">
              <w:t xml:space="preserve"> TBC</w:t>
            </w:r>
          </w:p>
          <w:p w14:paraId="73F55BAD" w14:textId="77777777" w:rsidR="00C03294" w:rsidRPr="00FA7706" w:rsidRDefault="00C03294" w:rsidP="008669C9">
            <w:pPr>
              <w:pStyle w:val="NICEnormalsinglespacing"/>
            </w:pPr>
            <w:r w:rsidRPr="00FA7706">
              <w:t>Details of membership of the appraisal committee are given in section 5.</w:t>
            </w:r>
          </w:p>
        </w:tc>
      </w:tr>
    </w:tbl>
    <w:p w14:paraId="72699083" w14:textId="4CB2861D" w:rsidR="008B54F2" w:rsidRPr="00FA7706" w:rsidRDefault="008B54F2">
      <w:pPr>
        <w:pStyle w:val="NICEnormal"/>
      </w:pPr>
    </w:p>
    <w:p w14:paraId="77CFEE88" w14:textId="77777777" w:rsidR="008B54F2" w:rsidRPr="00FA7706" w:rsidRDefault="008B54F2">
      <w:pPr>
        <w:rPr>
          <w:rFonts w:ascii="Arial" w:hAnsi="Arial"/>
        </w:rPr>
      </w:pPr>
      <w:r w:rsidRPr="00FA7706">
        <w:br w:type="page"/>
      </w:r>
    </w:p>
    <w:p w14:paraId="756384A5" w14:textId="77777777" w:rsidR="000F48EC" w:rsidRPr="00FA7706" w:rsidRDefault="00B379C5" w:rsidP="00F130AD">
      <w:pPr>
        <w:pStyle w:val="Numberedheading1"/>
      </w:pPr>
      <w:r w:rsidRPr="00FA7706">
        <w:lastRenderedPageBreak/>
        <w:t>Recommendations</w:t>
      </w:r>
    </w:p>
    <w:p w14:paraId="7EBFF784" w14:textId="1C13ABEC" w:rsidR="00D013E1" w:rsidRPr="00FA7706" w:rsidRDefault="00FF1752" w:rsidP="00FF1752">
      <w:pPr>
        <w:pStyle w:val="Numberedlevel2text"/>
        <w:rPr>
          <w:lang w:val="en-GB"/>
        </w:rPr>
      </w:pPr>
      <w:r w:rsidRPr="00FA7706">
        <w:rPr>
          <w:lang w:val="en-GB"/>
        </w:rPr>
        <w:t xml:space="preserve">The committee is minded not to recommend pembrolizumab as an option for </w:t>
      </w:r>
      <w:r w:rsidR="00983EC3" w:rsidRPr="00FA7706">
        <w:rPr>
          <w:lang w:val="en-GB"/>
        </w:rPr>
        <w:t xml:space="preserve">untreated </w:t>
      </w:r>
      <w:r w:rsidR="00AD73E1" w:rsidRPr="00FA7706">
        <w:rPr>
          <w:lang w:val="en-GB"/>
        </w:rPr>
        <w:t>metastatic or unresectable</w:t>
      </w:r>
      <w:r w:rsidRPr="00FA7706">
        <w:rPr>
          <w:lang w:val="en-GB"/>
        </w:rPr>
        <w:t xml:space="preserve"> </w:t>
      </w:r>
      <w:r w:rsidR="00AD73E1" w:rsidRPr="00FA7706">
        <w:rPr>
          <w:lang w:val="en-GB"/>
        </w:rPr>
        <w:t>recurrent head and neck squamous cell carcinoma (HNSCC) in adults whose tumours express PD</w:t>
      </w:r>
      <w:r w:rsidR="00246E12">
        <w:rPr>
          <w:lang w:val="en-GB"/>
        </w:rPr>
        <w:noBreakHyphen/>
      </w:r>
      <w:r w:rsidR="00AD73E1" w:rsidRPr="00FA7706">
        <w:rPr>
          <w:lang w:val="en-GB"/>
        </w:rPr>
        <w:t xml:space="preserve">L1 with a </w:t>
      </w:r>
      <w:r w:rsidR="009D509E" w:rsidRPr="00FA7706">
        <w:rPr>
          <w:lang w:val="en-GB"/>
        </w:rPr>
        <w:t>combined positive score (</w:t>
      </w:r>
      <w:r w:rsidR="00AD73E1" w:rsidRPr="00FA7706">
        <w:rPr>
          <w:lang w:val="en-GB"/>
        </w:rPr>
        <w:t>CPS</w:t>
      </w:r>
      <w:r w:rsidR="009D509E" w:rsidRPr="00FA7706">
        <w:rPr>
          <w:lang w:val="en-GB"/>
        </w:rPr>
        <w:t>) of 1 or more</w:t>
      </w:r>
      <w:r w:rsidR="00AD73E1" w:rsidRPr="00FA7706">
        <w:rPr>
          <w:lang w:val="en-GB"/>
        </w:rPr>
        <w:t>.</w:t>
      </w:r>
    </w:p>
    <w:p w14:paraId="3B1AB845" w14:textId="4708B387" w:rsidR="00FF1752" w:rsidRPr="00FA7706" w:rsidRDefault="00FF1752" w:rsidP="00FF1752">
      <w:pPr>
        <w:pStyle w:val="Numberedlevel2text"/>
        <w:numPr>
          <w:ilvl w:val="1"/>
          <w:numId w:val="1"/>
        </w:numPr>
        <w:rPr>
          <w:lang w:val="en-GB"/>
        </w:rPr>
      </w:pPr>
      <w:bookmarkStart w:id="0" w:name="_Hlk26795162"/>
      <w:r w:rsidRPr="00FA7706">
        <w:rPr>
          <w:lang w:val="en-GB"/>
        </w:rPr>
        <w:t>The committee recommends that NICE requests further clarification and analyses from the company, which should be made available for the next appraisal meeting</w:t>
      </w:r>
      <w:r w:rsidR="005508FF" w:rsidRPr="00FA7706">
        <w:rPr>
          <w:lang w:val="en-GB"/>
        </w:rPr>
        <w:t>. These</w:t>
      </w:r>
      <w:r w:rsidRPr="00FA7706">
        <w:rPr>
          <w:lang w:val="en-GB"/>
        </w:rPr>
        <w:t xml:space="preserve"> should include the following for pembrolizumab monotherapy and </w:t>
      </w:r>
      <w:r w:rsidR="00722F07" w:rsidRPr="00FA7706">
        <w:rPr>
          <w:lang w:val="en-GB"/>
        </w:rPr>
        <w:t xml:space="preserve">pembrolizumab </w:t>
      </w:r>
      <w:r w:rsidRPr="00FA7706">
        <w:rPr>
          <w:lang w:val="en-GB"/>
        </w:rPr>
        <w:t xml:space="preserve">with platinum </w:t>
      </w:r>
      <w:r w:rsidR="0016570D" w:rsidRPr="00FA7706">
        <w:rPr>
          <w:lang w:val="en-GB"/>
        </w:rPr>
        <w:t xml:space="preserve">chemotherapy </w:t>
      </w:r>
      <w:r w:rsidRPr="00FA7706">
        <w:rPr>
          <w:lang w:val="en-GB"/>
        </w:rPr>
        <w:t>and 5</w:t>
      </w:r>
      <w:r w:rsidR="00246E12">
        <w:rPr>
          <w:lang w:val="en-GB"/>
        </w:rPr>
        <w:noBreakHyphen/>
      </w:r>
      <w:r w:rsidRPr="00FA7706">
        <w:rPr>
          <w:lang w:val="en-GB"/>
        </w:rPr>
        <w:t>fluorouracil</w:t>
      </w:r>
      <w:r w:rsidR="00E71221" w:rsidRPr="00FA7706">
        <w:rPr>
          <w:lang w:val="en-GB"/>
        </w:rPr>
        <w:t xml:space="preserve"> (5</w:t>
      </w:r>
      <w:r w:rsidR="00E71221" w:rsidRPr="00FA7706">
        <w:rPr>
          <w:lang w:val="en-GB"/>
        </w:rPr>
        <w:noBreakHyphen/>
        <w:t>FU)</w:t>
      </w:r>
      <w:r w:rsidRPr="00FA7706">
        <w:rPr>
          <w:lang w:val="en-GB"/>
        </w:rPr>
        <w:t>:</w:t>
      </w:r>
    </w:p>
    <w:p w14:paraId="0B1C15B9" w14:textId="23799E95" w:rsidR="00FF1752" w:rsidRPr="00FA7706" w:rsidRDefault="0016570D" w:rsidP="009F6D91">
      <w:pPr>
        <w:pStyle w:val="Bulletindent1"/>
      </w:pPr>
      <w:bookmarkStart w:id="1" w:name="_Hlk26864206"/>
      <w:r w:rsidRPr="00FA7706">
        <w:t>Provide a full comparison of</w:t>
      </w:r>
      <w:r w:rsidR="00FF1752" w:rsidRPr="00FA7706">
        <w:t xml:space="preserve"> baseline patient characteristics</w:t>
      </w:r>
      <w:bookmarkEnd w:id="1"/>
      <w:r w:rsidR="00FA159F" w:rsidRPr="00FA7706">
        <w:t xml:space="preserve"> for </w:t>
      </w:r>
      <w:r w:rsidR="00FF1752" w:rsidRPr="00FA7706">
        <w:t xml:space="preserve">the </w:t>
      </w:r>
      <w:r w:rsidR="00685CCC" w:rsidRPr="00FA7706">
        <w:t>2</w:t>
      </w:r>
      <w:r w:rsidR="00002B7C" w:rsidRPr="00FA7706">
        <w:t> </w:t>
      </w:r>
      <w:r w:rsidR="00FF1752" w:rsidRPr="00FA7706">
        <w:t>subgroup</w:t>
      </w:r>
      <w:r w:rsidR="00D86013" w:rsidRPr="00FA7706">
        <w:t>s</w:t>
      </w:r>
      <w:r w:rsidR="002B2999" w:rsidRPr="00FA7706">
        <w:t>:</w:t>
      </w:r>
      <w:r w:rsidR="00FF1752" w:rsidRPr="00FA7706">
        <w:t xml:space="preserve"> </w:t>
      </w:r>
      <w:r w:rsidR="00F07B8D" w:rsidRPr="00FA7706">
        <w:t>people</w:t>
      </w:r>
      <w:r w:rsidR="00FF1752" w:rsidRPr="00FA7706">
        <w:t xml:space="preserve"> whose </w:t>
      </w:r>
      <w:r w:rsidR="00C13C99" w:rsidRPr="00FA7706">
        <w:t>cancer</w:t>
      </w:r>
      <w:r w:rsidR="00FF1752" w:rsidRPr="00FA7706">
        <w:t xml:space="preserve"> started inside </w:t>
      </w:r>
      <w:r w:rsidR="00175B2B" w:rsidRPr="00FA7706">
        <w:t>or</w:t>
      </w:r>
      <w:r w:rsidR="00FF1752" w:rsidRPr="00FA7706">
        <w:t xml:space="preserve"> outside the oral cavity</w:t>
      </w:r>
      <w:r w:rsidRPr="00FA7706">
        <w:t>. Highlight any imbalances</w:t>
      </w:r>
      <w:r w:rsidR="00F67566" w:rsidRPr="00FA7706">
        <w:t xml:space="preserve"> in the baseline patient characteristics in each of the subgroups</w:t>
      </w:r>
      <w:r w:rsidRPr="00FA7706">
        <w:t xml:space="preserve"> </w:t>
      </w:r>
      <w:r w:rsidR="00FF1752" w:rsidRPr="00FA7706">
        <w:t>(see section 3.6).</w:t>
      </w:r>
    </w:p>
    <w:p w14:paraId="4F7A07D6" w14:textId="6B24F3F8" w:rsidR="00FF1752" w:rsidRPr="00FA7706" w:rsidRDefault="00685CCC" w:rsidP="009F6D91">
      <w:pPr>
        <w:pStyle w:val="Bulletindent1"/>
      </w:pPr>
      <w:r w:rsidRPr="00FA7706">
        <w:t xml:space="preserve">Provide </w:t>
      </w:r>
      <w:r w:rsidR="00FF1752" w:rsidRPr="00FA7706">
        <w:t>overall survival data (Kaplan</w:t>
      </w:r>
      <w:r w:rsidR="00AC187C" w:rsidRPr="00FA7706">
        <w:t>–</w:t>
      </w:r>
      <w:r w:rsidR="00FF1752" w:rsidRPr="00FA7706">
        <w:t xml:space="preserve">Meier curves, hazard ratios) for the </w:t>
      </w:r>
      <w:r w:rsidRPr="00FA7706">
        <w:t xml:space="preserve">2 </w:t>
      </w:r>
      <w:r w:rsidR="00FF1752" w:rsidRPr="00FA7706">
        <w:t>subgroup</w:t>
      </w:r>
      <w:r w:rsidRPr="00FA7706">
        <w:t>s</w:t>
      </w:r>
      <w:r w:rsidR="00FF1752" w:rsidRPr="00FA7706">
        <w:t xml:space="preserve">. </w:t>
      </w:r>
      <w:r w:rsidRPr="00FA7706">
        <w:t>Carry out f</w:t>
      </w:r>
      <w:r w:rsidR="00FF1752" w:rsidRPr="00FA7706">
        <w:t xml:space="preserve">ormal statistical analysis to adjust for imbalances in baseline patient characteristics in the subgroups (see section 3.6). </w:t>
      </w:r>
      <w:r w:rsidRPr="00FA7706">
        <w:t xml:space="preserve">Justify which </w:t>
      </w:r>
      <w:r w:rsidR="00FF1752" w:rsidRPr="00FA7706">
        <w:t xml:space="preserve">adjustment method </w:t>
      </w:r>
      <w:r w:rsidRPr="00FA7706">
        <w:t>was used and do not restrict it</w:t>
      </w:r>
      <w:r w:rsidR="00FF1752" w:rsidRPr="00FA7706">
        <w:t xml:space="preserve"> to just the covariates </w:t>
      </w:r>
      <w:r w:rsidRPr="00FA7706">
        <w:t>that</w:t>
      </w:r>
      <w:r w:rsidR="00FF1752" w:rsidRPr="00FA7706">
        <w:t xml:space="preserve"> are unbalanced (see </w:t>
      </w:r>
      <w:hyperlink r:id="rId9" w:history="1">
        <w:r w:rsidRPr="00FA7706">
          <w:rPr>
            <w:rStyle w:val="Hyperlink"/>
          </w:rPr>
          <w:t>NICE DSU technical support document 17</w:t>
        </w:r>
      </w:hyperlink>
      <w:r w:rsidR="00FF1752" w:rsidRPr="00FA7706">
        <w:t>)</w:t>
      </w:r>
      <w:r w:rsidRPr="00FA7706">
        <w:t>.</w:t>
      </w:r>
    </w:p>
    <w:p w14:paraId="178B8E56" w14:textId="0A6C06A1" w:rsidR="00FF1752" w:rsidRPr="00FA7706" w:rsidRDefault="00291ACB" w:rsidP="009F6D91">
      <w:pPr>
        <w:pStyle w:val="Bulletindent1"/>
      </w:pPr>
      <w:r w:rsidRPr="00FA7706">
        <w:t xml:space="preserve">Provide </w:t>
      </w:r>
      <w:r w:rsidR="00FF1752" w:rsidRPr="00FA7706">
        <w:t>overall survival extrapolation curves, after adjust</w:t>
      </w:r>
      <w:r w:rsidR="00002B7C" w:rsidRPr="00FA7706">
        <w:t>ing</w:t>
      </w:r>
      <w:r w:rsidR="00FF1752" w:rsidRPr="00FA7706">
        <w:t xml:space="preserve"> for imbalances in baseline patient characteristics for the</w:t>
      </w:r>
      <w:r w:rsidR="00002B7C" w:rsidRPr="00FA7706">
        <w:t xml:space="preserve"> 2</w:t>
      </w:r>
      <w:r w:rsidR="00FF1752" w:rsidRPr="00FA7706">
        <w:t xml:space="preserve"> subgroup</w:t>
      </w:r>
      <w:r w:rsidR="00002B7C" w:rsidRPr="00FA7706">
        <w:t>s</w:t>
      </w:r>
      <w:r w:rsidR="00FF1752" w:rsidRPr="00FA7706">
        <w:t xml:space="preserve"> (see section 3.10</w:t>
      </w:r>
      <w:proofErr w:type="gramStart"/>
      <w:r w:rsidR="00707609" w:rsidRPr="00FA7706">
        <w:t>)</w:t>
      </w:r>
      <w:r w:rsidR="00FF6FE6">
        <w:t>,</w:t>
      </w:r>
      <w:r w:rsidR="00707609">
        <w:t xml:space="preserve"> and</w:t>
      </w:r>
      <w:proofErr w:type="gramEnd"/>
      <w:r w:rsidR="00CA2A65">
        <w:t xml:space="preserve"> justify</w:t>
      </w:r>
      <w:r w:rsidR="00673B87" w:rsidRPr="00FA7706">
        <w:t xml:space="preserve"> the </w:t>
      </w:r>
      <w:r w:rsidRPr="00FA7706">
        <w:t xml:space="preserve">choice of </w:t>
      </w:r>
      <w:r w:rsidR="003F7AF5" w:rsidRPr="00FA7706">
        <w:t xml:space="preserve">distribution </w:t>
      </w:r>
      <w:r w:rsidRPr="00FA7706">
        <w:t>curve</w:t>
      </w:r>
      <w:r w:rsidR="003F7AF5" w:rsidRPr="00FA7706">
        <w:t xml:space="preserve"> </w:t>
      </w:r>
      <w:r w:rsidR="00673B87" w:rsidRPr="00FA7706">
        <w:t>used</w:t>
      </w:r>
      <w:r w:rsidR="00AE14EC" w:rsidRPr="00FA7706">
        <w:t>.</w:t>
      </w:r>
    </w:p>
    <w:p w14:paraId="5FE03ACE" w14:textId="44DC9166" w:rsidR="00FF1752" w:rsidRPr="00FA7706" w:rsidRDefault="00550116" w:rsidP="009F6D91">
      <w:pPr>
        <w:pStyle w:val="Bulletindent1"/>
      </w:pPr>
      <w:r w:rsidRPr="00FA7706">
        <w:t xml:space="preserve">Provide </w:t>
      </w:r>
      <w:r w:rsidR="00FF1752" w:rsidRPr="00FA7706">
        <w:t>an alternative utility value for progressed disease. This should come from published literature (see section 3.11).</w:t>
      </w:r>
    </w:p>
    <w:p w14:paraId="383CC834" w14:textId="0C5EA8BA" w:rsidR="00FF1752" w:rsidRPr="00FA7706" w:rsidRDefault="00550116" w:rsidP="00E71221">
      <w:pPr>
        <w:pStyle w:val="Bulletindent1last"/>
      </w:pPr>
      <w:r w:rsidRPr="00FA7706">
        <w:t>E</w:t>
      </w:r>
      <w:r w:rsidR="00FF1752" w:rsidRPr="00FA7706">
        <w:t xml:space="preserve">xplore techniques to provide full incremental analyses for the </w:t>
      </w:r>
      <w:r w:rsidRPr="00FA7706">
        <w:t>2</w:t>
      </w:r>
      <w:r w:rsidR="00F92482" w:rsidRPr="00FA7706">
        <w:t> </w:t>
      </w:r>
      <w:r w:rsidR="00FF1752" w:rsidRPr="00FA7706">
        <w:t>subgroup</w:t>
      </w:r>
      <w:r w:rsidRPr="00FA7706">
        <w:t>s</w:t>
      </w:r>
      <w:r w:rsidR="00FF1752" w:rsidRPr="00FA7706">
        <w:t xml:space="preserve">. The incremental analysis should incorporate </w:t>
      </w:r>
      <w:proofErr w:type="gramStart"/>
      <w:r w:rsidR="00FF1752" w:rsidRPr="00FA7706">
        <w:t>all of</w:t>
      </w:r>
      <w:proofErr w:type="gramEnd"/>
      <w:r w:rsidR="00FF1752" w:rsidRPr="00FA7706">
        <w:t xml:space="preserve"> the above, a 2-year stopping rule (see section 3.8), and a 5-year duration of treatment effect (see section </w:t>
      </w:r>
      <w:bookmarkEnd w:id="0"/>
      <w:r w:rsidR="00FF1752" w:rsidRPr="00FA7706">
        <w:t xml:space="preserve">3.9). In addition, </w:t>
      </w:r>
      <w:r w:rsidR="00E71221" w:rsidRPr="00FA7706">
        <w:t xml:space="preserve">carry out </w:t>
      </w:r>
      <w:r w:rsidR="00FF1752" w:rsidRPr="00FA7706">
        <w:t>alternative analyses using the company’s fractional polynomial network meta-</w:t>
      </w:r>
      <w:r w:rsidR="00FF1752" w:rsidRPr="00FA7706">
        <w:lastRenderedPageBreak/>
        <w:t xml:space="preserve">analysis and the </w:t>
      </w:r>
      <w:r w:rsidR="00C37DD6" w:rsidRPr="00FA7706">
        <w:t xml:space="preserve">evidence review group’s </w:t>
      </w:r>
      <w:r w:rsidR="00FF1752" w:rsidRPr="00FA7706">
        <w:t>approach of using data from KEYNOTE 048 for the comparison of pembrolizumab with platinum chemotherapy and 5</w:t>
      </w:r>
      <w:r w:rsidR="00E71221" w:rsidRPr="00FA7706">
        <w:noBreakHyphen/>
      </w:r>
      <w:r w:rsidR="00FF1752" w:rsidRPr="00FA7706">
        <w:t>FU (see section 3.7).</w:t>
      </w:r>
    </w:p>
    <w:p w14:paraId="1828CB44" w14:textId="677CC70A" w:rsidR="00C11F58" w:rsidRPr="00FA7706" w:rsidRDefault="00C11F58" w:rsidP="002C3941">
      <w:pPr>
        <w:pStyle w:val="Numberedlevel2text"/>
        <w:numPr>
          <w:ilvl w:val="0"/>
          <w:numId w:val="0"/>
        </w:numPr>
        <w:rPr>
          <w:lang w:val="en-GB"/>
        </w:rPr>
      </w:pPr>
      <w:r w:rsidRPr="00FA7706">
        <w:rPr>
          <w:b/>
          <w:lang w:val="en-GB"/>
        </w:rPr>
        <w:t>Why the committee made these recommendations</w:t>
      </w:r>
    </w:p>
    <w:p w14:paraId="2A25EA4C" w14:textId="7530D53E" w:rsidR="00FF1752" w:rsidRPr="00FA7706" w:rsidRDefault="00201CFD" w:rsidP="00201CFD">
      <w:pPr>
        <w:pStyle w:val="NICEnormal"/>
      </w:pPr>
      <w:r w:rsidRPr="00FA7706">
        <w:t xml:space="preserve">Treatment of </w:t>
      </w:r>
      <w:r w:rsidR="003364D8" w:rsidRPr="00FA7706">
        <w:t xml:space="preserve">metastatic or unresectable </w:t>
      </w:r>
      <w:r w:rsidRPr="00FA7706">
        <w:t>r</w:t>
      </w:r>
      <w:r w:rsidR="00FF1752" w:rsidRPr="00FA7706">
        <w:t xml:space="preserve">ecurrent HNSCC </w:t>
      </w:r>
      <w:r w:rsidRPr="00FA7706">
        <w:t>depend</w:t>
      </w:r>
      <w:r w:rsidR="00BE32E9" w:rsidRPr="00FA7706">
        <w:t>s</w:t>
      </w:r>
      <w:r w:rsidRPr="00FA7706">
        <w:t xml:space="preserve"> on where it started. If it </w:t>
      </w:r>
      <w:r w:rsidR="00CF28D6" w:rsidRPr="00FA7706">
        <w:t>starts</w:t>
      </w:r>
      <w:r w:rsidRPr="00FA7706">
        <w:t xml:space="preserve"> inside the oral cavity (mouth), it’s </w:t>
      </w:r>
      <w:r w:rsidR="00FF1752" w:rsidRPr="00FA7706">
        <w:t>usually first treated with cetuximab</w:t>
      </w:r>
      <w:r w:rsidRPr="00FA7706">
        <w:t xml:space="preserve">, </w:t>
      </w:r>
      <w:r w:rsidR="00FF1752" w:rsidRPr="00FA7706">
        <w:t>platinum</w:t>
      </w:r>
      <w:r w:rsidR="00AD73E1" w:rsidRPr="00FA7706">
        <w:t xml:space="preserve"> chemotherapy</w:t>
      </w:r>
      <w:r w:rsidR="00FF1752" w:rsidRPr="00FA7706">
        <w:t xml:space="preserve"> and </w:t>
      </w:r>
      <w:r w:rsidR="00AD73E1" w:rsidRPr="00FA7706">
        <w:t>5-FU</w:t>
      </w:r>
      <w:r w:rsidRPr="00FA7706">
        <w:t>. If it</w:t>
      </w:r>
      <w:r w:rsidR="00FF1752" w:rsidRPr="00FA7706">
        <w:t xml:space="preserve"> start</w:t>
      </w:r>
      <w:r w:rsidR="00CF28D6" w:rsidRPr="00FA7706">
        <w:t>s</w:t>
      </w:r>
      <w:r w:rsidR="00FF1752" w:rsidRPr="00FA7706">
        <w:t xml:space="preserve"> outside the oral cavity</w:t>
      </w:r>
      <w:r w:rsidRPr="00FA7706">
        <w:t xml:space="preserve"> it’s treated with platinum chemotherapy and 5-FU</w:t>
      </w:r>
      <w:r w:rsidR="00FF1752" w:rsidRPr="00FA7706">
        <w:t>.</w:t>
      </w:r>
    </w:p>
    <w:p w14:paraId="10D7A0EA" w14:textId="3A676260" w:rsidR="00E63C49" w:rsidRPr="00FA7706" w:rsidRDefault="00CF28D6" w:rsidP="00307450">
      <w:pPr>
        <w:pStyle w:val="NICEnormal"/>
      </w:pPr>
      <w:r w:rsidRPr="00FA7706">
        <w:t xml:space="preserve">Clinical trial evidence shows that </w:t>
      </w:r>
      <w:r w:rsidR="00FF1752" w:rsidRPr="00FA7706">
        <w:t xml:space="preserve">people </w:t>
      </w:r>
      <w:r w:rsidRPr="00FA7706">
        <w:t xml:space="preserve">who have </w:t>
      </w:r>
      <w:r w:rsidR="00C22E5A" w:rsidRPr="00FA7706">
        <w:t>a type of</w:t>
      </w:r>
      <w:r w:rsidR="00FF1752" w:rsidRPr="00FA7706">
        <w:t xml:space="preserve"> </w:t>
      </w:r>
      <w:r w:rsidRPr="00FA7706">
        <w:t xml:space="preserve">metastatic or unresectable </w:t>
      </w:r>
      <w:r w:rsidR="00193614" w:rsidRPr="00FA7706">
        <w:t xml:space="preserve">recurrent </w:t>
      </w:r>
      <w:r w:rsidR="00FF1752" w:rsidRPr="00FA7706">
        <w:t xml:space="preserve">HNSCC </w:t>
      </w:r>
      <w:r w:rsidR="00A12607" w:rsidRPr="00FA7706">
        <w:t xml:space="preserve">defined as </w:t>
      </w:r>
      <w:r w:rsidR="00FF1752" w:rsidRPr="00FA7706">
        <w:t>PD-L1</w:t>
      </w:r>
      <w:r w:rsidR="00A12607" w:rsidRPr="00FA7706">
        <w:t xml:space="preserve"> positive</w:t>
      </w:r>
      <w:r w:rsidR="00C22E5A" w:rsidRPr="00FA7706">
        <w:t xml:space="preserve"> </w:t>
      </w:r>
      <w:r w:rsidR="00FF1752" w:rsidRPr="00FA7706">
        <w:t xml:space="preserve">with a CPS </w:t>
      </w:r>
      <w:r w:rsidR="00C22E5A" w:rsidRPr="00FA7706">
        <w:t xml:space="preserve">of </w:t>
      </w:r>
      <w:r w:rsidR="00FF1752" w:rsidRPr="00FA7706">
        <w:t>1</w:t>
      </w:r>
      <w:r w:rsidR="00C22E5A" w:rsidRPr="00FA7706">
        <w:t xml:space="preserve"> or more</w:t>
      </w:r>
      <w:r w:rsidRPr="00FA7706">
        <w:t xml:space="preserve"> live longer if they have </w:t>
      </w:r>
      <w:r w:rsidR="00FF1752" w:rsidRPr="00FA7706">
        <w:t>pembrolizumab (</w:t>
      </w:r>
      <w:r w:rsidR="00A12607" w:rsidRPr="00FA7706">
        <w:t xml:space="preserve">on its own </w:t>
      </w:r>
      <w:r w:rsidR="00FF1752" w:rsidRPr="00FA7706">
        <w:t xml:space="preserve">or </w:t>
      </w:r>
      <w:r w:rsidR="00A12607" w:rsidRPr="00FA7706">
        <w:t>with other chemotherapy drugs</w:t>
      </w:r>
      <w:r w:rsidR="00FF1752" w:rsidRPr="00FA7706">
        <w:t>)</w:t>
      </w:r>
      <w:r w:rsidRPr="00FA7706">
        <w:t xml:space="preserve"> than if they have</w:t>
      </w:r>
      <w:r w:rsidR="00FF1752" w:rsidRPr="00FA7706">
        <w:t xml:space="preserve"> cetuximab with platinum</w:t>
      </w:r>
      <w:r w:rsidR="00AD73E1" w:rsidRPr="00FA7706">
        <w:t xml:space="preserve"> chemotherapy</w:t>
      </w:r>
      <w:r w:rsidR="00FF1752" w:rsidRPr="00FA7706">
        <w:t xml:space="preserve"> and 5-FU.</w:t>
      </w:r>
      <w:r w:rsidR="00193614" w:rsidRPr="00FA7706">
        <w:t xml:space="preserve"> </w:t>
      </w:r>
      <w:r w:rsidR="00C22E5A" w:rsidRPr="00FA7706">
        <w:t>But there’s uncertain</w:t>
      </w:r>
      <w:r w:rsidR="00DE3A53" w:rsidRPr="00FA7706">
        <w:t>t</w:t>
      </w:r>
      <w:r w:rsidR="00C22E5A" w:rsidRPr="00FA7706">
        <w:t xml:space="preserve">y over </w:t>
      </w:r>
      <w:r w:rsidR="00193614" w:rsidRPr="00FA7706">
        <w:t xml:space="preserve">the </w:t>
      </w:r>
      <w:r w:rsidR="00C22E5A" w:rsidRPr="00FA7706">
        <w:t xml:space="preserve">evidence </w:t>
      </w:r>
      <w:r w:rsidR="00193614" w:rsidRPr="00FA7706">
        <w:t xml:space="preserve">because </w:t>
      </w:r>
      <w:r w:rsidR="0061284F" w:rsidRPr="00FA7706">
        <w:t xml:space="preserve">the comparator drugs </w:t>
      </w:r>
      <w:r w:rsidR="00FF1752" w:rsidRPr="00FA7706">
        <w:t>in the trial</w:t>
      </w:r>
      <w:r w:rsidR="0061284F" w:rsidRPr="00FA7706">
        <w:t xml:space="preserve"> do</w:t>
      </w:r>
      <w:r w:rsidR="00CA2A65">
        <w:t xml:space="preserve"> not</w:t>
      </w:r>
      <w:r w:rsidR="0061284F" w:rsidRPr="00FA7706">
        <w:t xml:space="preserve"> reflect what happens in the NHS in England. </w:t>
      </w:r>
      <w:r w:rsidR="00FA2420" w:rsidRPr="00FA7706">
        <w:t xml:space="preserve">In the comparator arm of the trial all people </w:t>
      </w:r>
      <w:r w:rsidR="00193614" w:rsidRPr="00FA7706">
        <w:t xml:space="preserve">were given </w:t>
      </w:r>
      <w:r w:rsidR="00FF1752" w:rsidRPr="00FA7706">
        <w:t xml:space="preserve">cetuximab with platinum </w:t>
      </w:r>
      <w:r w:rsidR="00AD73E1" w:rsidRPr="00FA7706">
        <w:t xml:space="preserve">chemotherapy </w:t>
      </w:r>
      <w:r w:rsidR="00FF1752" w:rsidRPr="00FA7706">
        <w:t>and 5-FU</w:t>
      </w:r>
      <w:r w:rsidR="002C7533" w:rsidRPr="00FA7706">
        <w:t>,</w:t>
      </w:r>
      <w:r w:rsidR="00193614" w:rsidRPr="00FA7706">
        <w:t xml:space="preserve"> </w:t>
      </w:r>
      <w:r w:rsidR="00FA2420" w:rsidRPr="00FA7706">
        <w:t xml:space="preserve">regardless of whether </w:t>
      </w:r>
      <w:r w:rsidR="00193614" w:rsidRPr="00FA7706">
        <w:t>the cancer</w:t>
      </w:r>
      <w:r w:rsidR="00FA2420" w:rsidRPr="00FA7706">
        <w:t xml:space="preserve"> </w:t>
      </w:r>
      <w:r w:rsidR="00193614" w:rsidRPr="00FA7706">
        <w:t xml:space="preserve">started </w:t>
      </w:r>
      <w:r w:rsidR="00FA2420" w:rsidRPr="00FA7706">
        <w:t xml:space="preserve">inside or </w:t>
      </w:r>
      <w:r w:rsidR="00193614" w:rsidRPr="00FA7706">
        <w:t>outside the oral cavity</w:t>
      </w:r>
      <w:r w:rsidR="002C7533" w:rsidRPr="00FA7706">
        <w:t xml:space="preserve">. This </w:t>
      </w:r>
      <w:r w:rsidR="00FA2420" w:rsidRPr="00FA7706">
        <w:t xml:space="preserve">is not </w:t>
      </w:r>
      <w:r w:rsidR="00C97015" w:rsidRPr="00FA7706">
        <w:t>established clinical practice in the NHS in England</w:t>
      </w:r>
      <w:r w:rsidR="00193614" w:rsidRPr="00FA7706">
        <w:t xml:space="preserve">. </w:t>
      </w:r>
      <w:r w:rsidR="00C97015" w:rsidRPr="00FA7706">
        <w:t>Separate c</w:t>
      </w:r>
      <w:r w:rsidR="00307450" w:rsidRPr="00FA7706">
        <w:t xml:space="preserve">linical evidence </w:t>
      </w:r>
      <w:r w:rsidR="00C97015" w:rsidRPr="00FA7706">
        <w:t xml:space="preserve">for </w:t>
      </w:r>
      <w:r w:rsidR="002C7533" w:rsidRPr="00FA7706">
        <w:t xml:space="preserve">people </w:t>
      </w:r>
      <w:r w:rsidR="00307450" w:rsidRPr="00FA7706">
        <w:t xml:space="preserve">whose cancer started outside the oral cavity </w:t>
      </w:r>
      <w:r w:rsidR="002C7533" w:rsidRPr="00FA7706">
        <w:t>was</w:t>
      </w:r>
      <w:r w:rsidR="00307450" w:rsidRPr="00FA7706">
        <w:t xml:space="preserve"> not provided</w:t>
      </w:r>
      <w:r w:rsidR="002C7533" w:rsidRPr="00FA7706">
        <w:t xml:space="preserve">. Also, </w:t>
      </w:r>
      <w:r w:rsidR="0061284F" w:rsidRPr="00FA7706">
        <w:t xml:space="preserve">information </w:t>
      </w:r>
      <w:r w:rsidR="00950640" w:rsidRPr="00FA7706">
        <w:t xml:space="preserve">about </w:t>
      </w:r>
      <w:r w:rsidR="008E5427" w:rsidRPr="00FA7706">
        <w:t xml:space="preserve">the </w:t>
      </w:r>
      <w:r w:rsidR="00307450" w:rsidRPr="00FA7706">
        <w:t xml:space="preserve">clinical and </w:t>
      </w:r>
      <w:r w:rsidR="00FF1752" w:rsidRPr="00FA7706">
        <w:t xml:space="preserve">cost effectiveness </w:t>
      </w:r>
      <w:r w:rsidR="00950640" w:rsidRPr="00FA7706">
        <w:t>for the 2 different patient groups</w:t>
      </w:r>
      <w:r w:rsidR="00307450" w:rsidRPr="00FA7706">
        <w:t xml:space="preserve"> (</w:t>
      </w:r>
      <w:r w:rsidR="00C97015" w:rsidRPr="00FA7706">
        <w:t xml:space="preserve">cancer </w:t>
      </w:r>
      <w:r w:rsidR="00F55649" w:rsidRPr="00FA7706">
        <w:t>start</w:t>
      </w:r>
      <w:r w:rsidR="00F55649">
        <w:t>ing</w:t>
      </w:r>
      <w:r w:rsidR="00F55649" w:rsidRPr="00FA7706">
        <w:t xml:space="preserve"> </w:t>
      </w:r>
      <w:r w:rsidR="00C97015" w:rsidRPr="00FA7706">
        <w:t>inside or outside the oral cavity</w:t>
      </w:r>
      <w:r w:rsidR="005810E1" w:rsidRPr="00FA7706">
        <w:t>)</w:t>
      </w:r>
      <w:r w:rsidR="002C7533" w:rsidRPr="00FA7706">
        <w:t xml:space="preserve"> was incomplete</w:t>
      </w:r>
      <w:r w:rsidR="00950640" w:rsidRPr="00FA7706">
        <w:t>.</w:t>
      </w:r>
      <w:r w:rsidR="00FF1752" w:rsidRPr="00FA7706">
        <w:t xml:space="preserve"> </w:t>
      </w:r>
      <w:r w:rsidR="00F67566" w:rsidRPr="00FA7706">
        <w:t>Therefore,</w:t>
      </w:r>
      <w:r w:rsidR="00DE3A53" w:rsidRPr="00FA7706">
        <w:t xml:space="preserve"> NICE is unable to make a recommendation about pembrolizumab and has asked for more clinical and cost</w:t>
      </w:r>
      <w:r w:rsidR="0099435B" w:rsidRPr="00FA7706">
        <w:t>-effectiveness</w:t>
      </w:r>
      <w:r w:rsidR="00DE3A53" w:rsidRPr="00FA7706">
        <w:t xml:space="preserve"> evidence.</w:t>
      </w:r>
    </w:p>
    <w:p w14:paraId="6225F8C3" w14:textId="785D9B46" w:rsidR="000F48EC" w:rsidRPr="00FA7706" w:rsidRDefault="00FF491C" w:rsidP="003F5048">
      <w:pPr>
        <w:pStyle w:val="Numberedheading1"/>
      </w:pPr>
      <w:r w:rsidRPr="00FA7706">
        <w:t xml:space="preserve">Information about </w:t>
      </w:r>
      <w:r w:rsidR="00EA7287" w:rsidRPr="00FA7706">
        <w:t>pembrolizumab</w:t>
      </w:r>
      <w:r w:rsidR="001D0720" w:rsidRPr="00FA7706">
        <w:t xml:space="preserve"> (monotherapy </w:t>
      </w:r>
      <w:r w:rsidR="00AD73E1" w:rsidRPr="00FA7706">
        <w:t>or</w:t>
      </w:r>
      <w:r w:rsidR="001D0720" w:rsidRPr="00FA7706">
        <w:t xml:space="preserve"> in combination)</w:t>
      </w:r>
    </w:p>
    <w:p w14:paraId="0CAE3D29" w14:textId="77777777" w:rsidR="0055689B" w:rsidRPr="00FA7706" w:rsidRDefault="0055689B" w:rsidP="00796250">
      <w:pPr>
        <w:pStyle w:val="Heading2"/>
      </w:pPr>
      <w:r w:rsidRPr="00FA7706">
        <w:t>Marketing authorisation indication</w:t>
      </w:r>
      <w:r w:rsidRPr="00FA7706">
        <w:tab/>
      </w:r>
    </w:p>
    <w:p w14:paraId="3A67BC29" w14:textId="1E7CC7F4" w:rsidR="0055689B" w:rsidRPr="00FA7706" w:rsidRDefault="0055689B" w:rsidP="00796250">
      <w:pPr>
        <w:pStyle w:val="Numberedlevel2text"/>
        <w:rPr>
          <w:lang w:val="en-GB"/>
        </w:rPr>
      </w:pPr>
      <w:r w:rsidRPr="00FA7706">
        <w:rPr>
          <w:lang w:val="en-GB"/>
        </w:rPr>
        <w:t xml:space="preserve">Pembrolizumab (Keytruda, Merck Sharp &amp; Dohme) has a UK marketing authorisation as monotherapy or </w:t>
      </w:r>
      <w:r w:rsidR="00950668" w:rsidRPr="00FA7706">
        <w:rPr>
          <w:lang w:val="en-GB"/>
        </w:rPr>
        <w:t>with</w:t>
      </w:r>
      <w:r w:rsidRPr="00FA7706">
        <w:rPr>
          <w:lang w:val="en-GB"/>
        </w:rPr>
        <w:t xml:space="preserve"> platinum and 5-fluorouracil (5-FU) chemotherapy </w:t>
      </w:r>
      <w:r w:rsidR="00AF7EC8" w:rsidRPr="00FA7706">
        <w:rPr>
          <w:lang w:val="en-GB"/>
        </w:rPr>
        <w:t>‘…</w:t>
      </w:r>
      <w:r w:rsidRPr="00FA7706">
        <w:rPr>
          <w:lang w:val="en-GB"/>
        </w:rPr>
        <w:t xml:space="preserve">for the first-line treatment of metastatic or unresectable </w:t>
      </w:r>
      <w:r w:rsidRPr="00FA7706">
        <w:rPr>
          <w:lang w:val="en-GB"/>
        </w:rPr>
        <w:lastRenderedPageBreak/>
        <w:t>recurrent head and neck squamous cell carcinoma (HNSCC) in adults whose tumours express PD-L1 with a CPS</w:t>
      </w:r>
      <w:r w:rsidR="008476CA" w:rsidRPr="00FA7706">
        <w:rPr>
          <w:lang w:val="en-GB"/>
        </w:rPr>
        <w:t xml:space="preserve"> [combined positive score]</w:t>
      </w:r>
      <w:r w:rsidRPr="00FA7706">
        <w:rPr>
          <w:lang w:val="en-GB"/>
        </w:rPr>
        <w:t xml:space="preserve"> ≥ 1</w:t>
      </w:r>
      <w:r w:rsidR="00AF7EC8" w:rsidRPr="00FA7706">
        <w:rPr>
          <w:lang w:val="en-GB"/>
        </w:rPr>
        <w:t>’</w:t>
      </w:r>
      <w:r w:rsidR="00796250" w:rsidRPr="00FA7706">
        <w:rPr>
          <w:lang w:val="en-GB"/>
        </w:rPr>
        <w:t>.</w:t>
      </w:r>
    </w:p>
    <w:p w14:paraId="1CB62B3A" w14:textId="77777777" w:rsidR="00796250" w:rsidRPr="00FA7706" w:rsidRDefault="0055689B" w:rsidP="00796250">
      <w:pPr>
        <w:pStyle w:val="Heading2"/>
      </w:pPr>
      <w:r w:rsidRPr="00FA7706">
        <w:t>Dosage in the marketing authorisation</w:t>
      </w:r>
    </w:p>
    <w:p w14:paraId="1E0004F4" w14:textId="2B9BE1A7" w:rsidR="00796250" w:rsidRPr="00FA7706" w:rsidRDefault="0055689B" w:rsidP="00135027">
      <w:pPr>
        <w:pStyle w:val="Numberedlevel2text"/>
        <w:rPr>
          <w:rFonts w:cs="Arial"/>
          <w:szCs w:val="22"/>
          <w:lang w:val="en-GB"/>
        </w:rPr>
      </w:pPr>
      <w:r w:rsidRPr="00FA7706">
        <w:rPr>
          <w:lang w:val="en-GB"/>
        </w:rPr>
        <w:t>Pembrolizumab monotherapy</w:t>
      </w:r>
      <w:r w:rsidR="00796250" w:rsidRPr="00FA7706">
        <w:rPr>
          <w:lang w:val="en-GB"/>
        </w:rPr>
        <w:t xml:space="preserve"> consists of</w:t>
      </w:r>
      <w:r w:rsidRPr="00FA7706">
        <w:rPr>
          <w:lang w:val="en-GB"/>
        </w:rPr>
        <w:t xml:space="preserve"> 200</w:t>
      </w:r>
      <w:r w:rsidR="00796250" w:rsidRPr="00FA7706">
        <w:rPr>
          <w:lang w:val="en-GB"/>
        </w:rPr>
        <w:t> </w:t>
      </w:r>
      <w:r w:rsidRPr="00FA7706">
        <w:rPr>
          <w:lang w:val="en-GB"/>
        </w:rPr>
        <w:t>mg taken by intravenous infusion every 3</w:t>
      </w:r>
      <w:r w:rsidR="00F67566" w:rsidRPr="00FA7706">
        <w:rPr>
          <w:lang w:val="en-GB"/>
        </w:rPr>
        <w:t> </w:t>
      </w:r>
      <w:r w:rsidRPr="00FA7706">
        <w:rPr>
          <w:lang w:val="en-GB"/>
        </w:rPr>
        <w:t>weeks</w:t>
      </w:r>
      <w:r w:rsidR="00796250" w:rsidRPr="00FA7706">
        <w:rPr>
          <w:lang w:val="en-GB"/>
        </w:rPr>
        <w:t>,</w:t>
      </w:r>
      <w:r w:rsidRPr="00FA7706">
        <w:rPr>
          <w:lang w:val="en-GB"/>
        </w:rPr>
        <w:t xml:space="preserve"> or 400</w:t>
      </w:r>
      <w:r w:rsidR="00796250" w:rsidRPr="00FA7706">
        <w:rPr>
          <w:lang w:val="en-GB"/>
        </w:rPr>
        <w:t> </w:t>
      </w:r>
      <w:r w:rsidRPr="00FA7706">
        <w:rPr>
          <w:lang w:val="en-GB"/>
        </w:rPr>
        <w:t>mg every 6 weeks</w:t>
      </w:r>
      <w:r w:rsidR="00796250" w:rsidRPr="00FA7706">
        <w:rPr>
          <w:lang w:val="en-GB"/>
        </w:rPr>
        <w:t>,</w:t>
      </w:r>
      <w:r w:rsidRPr="00FA7706">
        <w:rPr>
          <w:lang w:val="en-GB"/>
        </w:rPr>
        <w:t xml:space="preserve"> until disease progression or unacceptable toxicity.</w:t>
      </w:r>
    </w:p>
    <w:p w14:paraId="743662AE" w14:textId="7C0AAB25" w:rsidR="0055689B" w:rsidRPr="00FA7706" w:rsidRDefault="0055689B" w:rsidP="00135027">
      <w:pPr>
        <w:pStyle w:val="Numberedlevel2text"/>
        <w:rPr>
          <w:rFonts w:cs="Arial"/>
          <w:szCs w:val="22"/>
          <w:lang w:val="en-GB"/>
        </w:rPr>
      </w:pPr>
      <w:r w:rsidRPr="00FA7706">
        <w:rPr>
          <w:rFonts w:cs="Arial"/>
          <w:szCs w:val="22"/>
          <w:lang w:val="en-GB"/>
        </w:rPr>
        <w:t xml:space="preserve">Pembrolizumab in combination with platinum </w:t>
      </w:r>
      <w:r w:rsidR="004F4743" w:rsidRPr="00FA7706">
        <w:rPr>
          <w:rFonts w:cs="Arial"/>
          <w:szCs w:val="22"/>
          <w:lang w:val="en-GB"/>
        </w:rPr>
        <w:t xml:space="preserve">chemotherapy </w:t>
      </w:r>
      <w:r w:rsidRPr="00FA7706">
        <w:rPr>
          <w:rFonts w:cs="Arial"/>
          <w:szCs w:val="22"/>
          <w:lang w:val="en-GB"/>
        </w:rPr>
        <w:t>and 5-</w:t>
      </w:r>
      <w:r w:rsidR="00AE14EC" w:rsidRPr="00FA7706">
        <w:rPr>
          <w:rFonts w:cs="Arial"/>
          <w:szCs w:val="22"/>
          <w:lang w:val="en-GB"/>
        </w:rPr>
        <w:t>FU consists</w:t>
      </w:r>
      <w:r w:rsidR="00796250" w:rsidRPr="00FA7706">
        <w:rPr>
          <w:rFonts w:cs="Arial"/>
          <w:szCs w:val="22"/>
          <w:lang w:val="en-GB"/>
        </w:rPr>
        <w:t xml:space="preserve"> of </w:t>
      </w:r>
      <w:r w:rsidRPr="00FA7706">
        <w:rPr>
          <w:rFonts w:cs="Arial"/>
          <w:szCs w:val="22"/>
          <w:lang w:val="en-GB"/>
        </w:rPr>
        <w:t>200</w:t>
      </w:r>
      <w:r w:rsidR="00796250" w:rsidRPr="00FA7706">
        <w:rPr>
          <w:rFonts w:cs="Arial"/>
          <w:szCs w:val="22"/>
          <w:lang w:val="en-GB"/>
        </w:rPr>
        <w:t> </w:t>
      </w:r>
      <w:r w:rsidRPr="00FA7706">
        <w:rPr>
          <w:rFonts w:cs="Arial"/>
          <w:szCs w:val="22"/>
          <w:lang w:val="en-GB"/>
        </w:rPr>
        <w:t>mg taken by intravenous infusion every 3</w:t>
      </w:r>
      <w:r w:rsidR="00796250" w:rsidRPr="00FA7706">
        <w:rPr>
          <w:rFonts w:cs="Arial"/>
          <w:szCs w:val="22"/>
          <w:lang w:val="en-GB"/>
        </w:rPr>
        <w:t> </w:t>
      </w:r>
      <w:r w:rsidRPr="00FA7706">
        <w:rPr>
          <w:rFonts w:cs="Arial"/>
          <w:szCs w:val="22"/>
          <w:lang w:val="en-GB"/>
        </w:rPr>
        <w:t>weeks until disease progression or unacceptable toxicity.</w:t>
      </w:r>
    </w:p>
    <w:p w14:paraId="6574AFBC" w14:textId="405499C9" w:rsidR="0055689B" w:rsidRPr="00FA7706" w:rsidRDefault="0055689B" w:rsidP="00796250">
      <w:pPr>
        <w:pStyle w:val="Numberedlevel2text"/>
        <w:rPr>
          <w:lang w:val="en-GB"/>
        </w:rPr>
      </w:pPr>
      <w:r w:rsidRPr="00FA7706">
        <w:rPr>
          <w:lang w:val="en-GB"/>
        </w:rPr>
        <w:t xml:space="preserve">PD-L1 </w:t>
      </w:r>
      <w:r w:rsidR="00796250" w:rsidRPr="00FA7706">
        <w:rPr>
          <w:lang w:val="en-GB"/>
        </w:rPr>
        <w:t xml:space="preserve">mutation status </w:t>
      </w:r>
      <w:r w:rsidRPr="00FA7706">
        <w:rPr>
          <w:lang w:val="en-GB"/>
        </w:rPr>
        <w:t>should be determined using a validated test.</w:t>
      </w:r>
    </w:p>
    <w:p w14:paraId="5C420353" w14:textId="77777777" w:rsidR="00796250" w:rsidRPr="00FA7706" w:rsidRDefault="0055689B" w:rsidP="00796250">
      <w:pPr>
        <w:pStyle w:val="Heading2"/>
      </w:pPr>
      <w:r w:rsidRPr="00FA7706">
        <w:t>Price</w:t>
      </w:r>
    </w:p>
    <w:p w14:paraId="4886A952" w14:textId="07C649E7" w:rsidR="0055689B" w:rsidRPr="00FA7706" w:rsidRDefault="00796250" w:rsidP="00796250">
      <w:pPr>
        <w:pStyle w:val="Numberedlevel2text"/>
        <w:rPr>
          <w:lang w:val="en-GB"/>
        </w:rPr>
      </w:pPr>
      <w:r w:rsidRPr="00FA7706">
        <w:rPr>
          <w:lang w:val="en-GB"/>
        </w:rPr>
        <w:t xml:space="preserve">Pembrolizumab costs </w:t>
      </w:r>
      <w:r w:rsidR="0055689B" w:rsidRPr="00FA7706">
        <w:rPr>
          <w:lang w:val="en-GB"/>
        </w:rPr>
        <w:t xml:space="preserve">£2,630 for </w:t>
      </w:r>
      <w:r w:rsidRPr="00FA7706">
        <w:rPr>
          <w:lang w:val="en-GB"/>
        </w:rPr>
        <w:t xml:space="preserve">a </w:t>
      </w:r>
      <w:r w:rsidR="0055689B" w:rsidRPr="00FA7706">
        <w:rPr>
          <w:lang w:val="en-GB"/>
        </w:rPr>
        <w:t>100</w:t>
      </w:r>
      <w:r w:rsidRPr="00FA7706">
        <w:rPr>
          <w:lang w:val="en-GB"/>
        </w:rPr>
        <w:t> </w:t>
      </w:r>
      <w:r w:rsidR="0055689B" w:rsidRPr="00FA7706">
        <w:rPr>
          <w:lang w:val="en-GB"/>
        </w:rPr>
        <w:t xml:space="preserve">mg vial, excluding VAT </w:t>
      </w:r>
      <w:r w:rsidRPr="00FA7706">
        <w:rPr>
          <w:lang w:val="en-GB"/>
        </w:rPr>
        <w:t>(BNF</w:t>
      </w:r>
      <w:r w:rsidR="0055689B" w:rsidRPr="00FA7706">
        <w:rPr>
          <w:lang w:val="en-GB"/>
        </w:rPr>
        <w:t xml:space="preserve"> online, accessed December 2019).</w:t>
      </w:r>
    </w:p>
    <w:p w14:paraId="711A8973" w14:textId="77777777" w:rsidR="0055689B" w:rsidRPr="00FA7706" w:rsidRDefault="0055689B" w:rsidP="00796250">
      <w:pPr>
        <w:pStyle w:val="Numberedlevel2text"/>
        <w:rPr>
          <w:lang w:val="en-GB"/>
        </w:rPr>
      </w:pPr>
      <w:r w:rsidRPr="00FA7706">
        <w:rPr>
          <w:lang w:val="en-GB"/>
        </w:rPr>
        <w:t>The company has a commercial arrangement (managed access agreement including a commercial access agreement). This makes pembrolizumab available to the NHS with a discount. The size of the discount is commercial in confidence. It is the company’s responsibility to let relevant NHS organisations know details of the discount.</w:t>
      </w:r>
    </w:p>
    <w:p w14:paraId="7B1ECA27" w14:textId="77777777" w:rsidR="00F130AD" w:rsidRPr="00FA7706" w:rsidRDefault="00222BEA" w:rsidP="00F130AD">
      <w:pPr>
        <w:pStyle w:val="Numberedheading1"/>
      </w:pPr>
      <w:r w:rsidRPr="00FA7706">
        <w:t>Committee discussion</w:t>
      </w:r>
    </w:p>
    <w:p w14:paraId="0CDFFABB" w14:textId="6C6D72B1" w:rsidR="002B5772" w:rsidRPr="00FA7706" w:rsidRDefault="00BC7D9E" w:rsidP="002B5772">
      <w:pPr>
        <w:pStyle w:val="NICEnormal"/>
      </w:pPr>
      <w:r w:rsidRPr="00FA7706">
        <w:t xml:space="preserve">The </w:t>
      </w:r>
      <w:r w:rsidR="00343B53" w:rsidRPr="00FA7706">
        <w:t>a</w:t>
      </w:r>
      <w:r w:rsidRPr="00FA7706">
        <w:t xml:space="preserve">ppraisal </w:t>
      </w:r>
      <w:r w:rsidR="00343B53" w:rsidRPr="00FA7706">
        <w:t>c</w:t>
      </w:r>
      <w:r w:rsidRPr="00FA7706">
        <w:t xml:space="preserve">ommittee </w:t>
      </w:r>
      <w:r w:rsidR="00CD7BFC" w:rsidRPr="00FA7706">
        <w:t>(section</w:t>
      </w:r>
      <w:r w:rsidR="00A5629D" w:rsidRPr="00FA7706">
        <w:t> </w:t>
      </w:r>
      <w:r w:rsidR="005D2283" w:rsidRPr="00FA7706">
        <w:t>5</w:t>
      </w:r>
      <w:r w:rsidR="00CD7BFC" w:rsidRPr="00FA7706">
        <w:t xml:space="preserve">) </w:t>
      </w:r>
      <w:r w:rsidRPr="00FA7706">
        <w:t xml:space="preserve">considered evidence submitted by </w:t>
      </w:r>
      <w:r w:rsidR="009B4D81" w:rsidRPr="00FA7706">
        <w:t>Merck Sharp &amp; Dohme,</w:t>
      </w:r>
      <w:r w:rsidR="00CF1877" w:rsidRPr="00FA7706">
        <w:t xml:space="preserve"> </w:t>
      </w:r>
      <w:r w:rsidRPr="00FA7706">
        <w:t xml:space="preserve">a review of this submission by the </w:t>
      </w:r>
      <w:r w:rsidR="00343B53" w:rsidRPr="00FA7706">
        <w:t>e</w:t>
      </w:r>
      <w:r w:rsidRPr="00FA7706">
        <w:t xml:space="preserve">vidence </w:t>
      </w:r>
      <w:r w:rsidR="00343B53" w:rsidRPr="00FA7706">
        <w:t>r</w:t>
      </w:r>
      <w:r w:rsidRPr="00FA7706">
        <w:t xml:space="preserve">eview </w:t>
      </w:r>
      <w:r w:rsidR="00343B53" w:rsidRPr="00FA7706">
        <w:t>g</w:t>
      </w:r>
      <w:r w:rsidRPr="00FA7706">
        <w:t>roup (ERG)</w:t>
      </w:r>
      <w:r w:rsidR="002B5772" w:rsidRPr="00FA7706">
        <w:t xml:space="preserve">, and the technical </w:t>
      </w:r>
      <w:r w:rsidR="00E9265B" w:rsidRPr="00FA7706">
        <w:t>report</w:t>
      </w:r>
      <w:r w:rsidR="007E013D" w:rsidRPr="00FA7706">
        <w:t xml:space="preserve"> developed</w:t>
      </w:r>
      <w:r w:rsidR="00E9265B" w:rsidRPr="00FA7706">
        <w:t xml:space="preserve"> through engagement with stakeholders</w:t>
      </w:r>
      <w:r w:rsidRPr="00FA7706">
        <w:t>.</w:t>
      </w:r>
      <w:r w:rsidR="00C63D4E" w:rsidRPr="00FA7706">
        <w:t xml:space="preserve"> </w:t>
      </w:r>
      <w:r w:rsidR="002B5772" w:rsidRPr="00FA7706">
        <w:t xml:space="preserve">See the </w:t>
      </w:r>
      <w:hyperlink r:id="rId10" w:history="1">
        <w:r w:rsidR="002B5772" w:rsidRPr="00FA7706">
          <w:rPr>
            <w:rStyle w:val="Hyperlink"/>
          </w:rPr>
          <w:t>committee papers</w:t>
        </w:r>
      </w:hyperlink>
      <w:r w:rsidR="002A578B" w:rsidRPr="00FA7706">
        <w:t xml:space="preserve"> </w:t>
      </w:r>
      <w:r w:rsidR="002B5772" w:rsidRPr="00FA7706">
        <w:t>for full details of the evidence.</w:t>
      </w:r>
    </w:p>
    <w:p w14:paraId="3CCEE310" w14:textId="4F83CA5F" w:rsidR="00DE2053" w:rsidRPr="00FA7706" w:rsidRDefault="00DE2053" w:rsidP="00DE2053">
      <w:pPr>
        <w:pStyle w:val="NICEnormal"/>
        <w:keepNext/>
      </w:pPr>
      <w:r w:rsidRPr="00FA7706">
        <w:lastRenderedPageBreak/>
        <w:t>The appraisal committee was aware that</w:t>
      </w:r>
      <w:r w:rsidR="009B4D81" w:rsidRPr="00FA7706">
        <w:t xml:space="preserve"> </w:t>
      </w:r>
      <w:r w:rsidR="000046F1" w:rsidRPr="00FA7706">
        <w:t>2</w:t>
      </w:r>
      <w:r w:rsidRPr="00FA7706">
        <w:t xml:space="preserve"> issue</w:t>
      </w:r>
      <w:r w:rsidR="000046F1" w:rsidRPr="00FA7706">
        <w:t>s</w:t>
      </w:r>
      <w:r w:rsidRPr="00FA7706">
        <w:t xml:space="preserve"> w</w:t>
      </w:r>
      <w:r w:rsidR="000046F1" w:rsidRPr="00FA7706">
        <w:t>ere</w:t>
      </w:r>
      <w:r w:rsidRPr="00FA7706">
        <w:t xml:space="preserve"> resolved during </w:t>
      </w:r>
      <w:r w:rsidR="00255085" w:rsidRPr="00FA7706">
        <w:t xml:space="preserve">the </w:t>
      </w:r>
      <w:r w:rsidRPr="00FA7706">
        <w:t>technical engagement</w:t>
      </w:r>
      <w:r w:rsidR="00255085" w:rsidRPr="00FA7706">
        <w:t xml:space="preserve"> stage</w:t>
      </w:r>
      <w:r w:rsidRPr="00FA7706">
        <w:t>, and agreed that:</w:t>
      </w:r>
    </w:p>
    <w:p w14:paraId="67E9BBD2" w14:textId="71014013" w:rsidR="00DE2053" w:rsidRPr="00FA7706" w:rsidRDefault="009B4D81" w:rsidP="00DE2053">
      <w:pPr>
        <w:pStyle w:val="Bulletleft1"/>
      </w:pPr>
      <w:r w:rsidRPr="00FA7706">
        <w:t>A 2-year stopping rule for pembrolizumab is appropriate for decision making</w:t>
      </w:r>
      <w:r w:rsidR="00DE2053" w:rsidRPr="00FA7706">
        <w:t xml:space="preserve"> (table 3, page </w:t>
      </w:r>
      <w:r w:rsidRPr="00FA7706">
        <w:t>52</w:t>
      </w:r>
      <w:r w:rsidR="00DE2053" w:rsidRPr="00FA7706">
        <w:t xml:space="preserve"> of the technical report).</w:t>
      </w:r>
    </w:p>
    <w:p w14:paraId="58041F19" w14:textId="7C2A04DD" w:rsidR="001D0720" w:rsidRPr="00FA7706" w:rsidRDefault="000046F1" w:rsidP="00D86013">
      <w:pPr>
        <w:pStyle w:val="Bulletleft1last"/>
      </w:pPr>
      <w:r w:rsidRPr="00FA7706">
        <w:t>Pembrolizumab (monotherapy and in combination) meets the end</w:t>
      </w:r>
      <w:r w:rsidR="009977D6" w:rsidRPr="00FA7706">
        <w:t>-</w:t>
      </w:r>
      <w:r w:rsidRPr="00FA7706">
        <w:t>of</w:t>
      </w:r>
      <w:r w:rsidR="009977D6" w:rsidRPr="00FA7706">
        <w:t>-</w:t>
      </w:r>
      <w:r w:rsidRPr="00FA7706">
        <w:t xml:space="preserve">life criteria for the whole PD-L1 </w:t>
      </w:r>
      <w:r w:rsidR="00D801E1" w:rsidRPr="00FA7706">
        <w:t xml:space="preserve">with </w:t>
      </w:r>
      <w:r w:rsidR="008476CA" w:rsidRPr="00FA7706">
        <w:t>combined positive score (</w:t>
      </w:r>
      <w:r w:rsidRPr="00FA7706">
        <w:t>CPS</w:t>
      </w:r>
      <w:r w:rsidR="008476CA" w:rsidRPr="00FA7706">
        <w:t>)</w:t>
      </w:r>
      <w:r w:rsidRPr="00FA7706">
        <w:t xml:space="preserve"> </w:t>
      </w:r>
      <w:r w:rsidR="009977D6" w:rsidRPr="00FA7706">
        <w:t xml:space="preserve">of </w:t>
      </w:r>
      <w:r w:rsidRPr="00FA7706">
        <w:t>1</w:t>
      </w:r>
      <w:r w:rsidR="009977D6" w:rsidRPr="00FA7706">
        <w:t xml:space="preserve"> or more</w:t>
      </w:r>
      <w:r w:rsidRPr="00FA7706">
        <w:t xml:space="preserve"> population in KEYNOTE-048 (table 3, page 52 of the technical report).</w:t>
      </w:r>
      <w:r w:rsidR="009F68E2" w:rsidRPr="00FA7706">
        <w:t xml:space="preserve"> </w:t>
      </w:r>
      <w:r w:rsidR="00C97015" w:rsidRPr="00FA7706">
        <w:t xml:space="preserve">However, the committee had concerns </w:t>
      </w:r>
      <w:r w:rsidR="009F68E2" w:rsidRPr="00FA7706">
        <w:t xml:space="preserve">about </w:t>
      </w:r>
      <w:r w:rsidR="00C97015" w:rsidRPr="00FA7706">
        <w:t>whether it meets the end</w:t>
      </w:r>
      <w:r w:rsidR="009F68E2" w:rsidRPr="00FA7706">
        <w:t>-</w:t>
      </w:r>
      <w:r w:rsidR="00C97015" w:rsidRPr="00FA7706">
        <w:t>of</w:t>
      </w:r>
      <w:r w:rsidR="009F68E2" w:rsidRPr="00FA7706">
        <w:t>-</w:t>
      </w:r>
      <w:r w:rsidR="00C97015" w:rsidRPr="00FA7706">
        <w:t xml:space="preserve">life criteria for </w:t>
      </w:r>
      <w:r w:rsidR="001B54C7" w:rsidRPr="00FA7706">
        <w:t xml:space="preserve">the 2 subgroups: </w:t>
      </w:r>
      <w:r w:rsidR="00C97015" w:rsidRPr="00FA7706">
        <w:t>people whose cancer started inside or outside the oral cavity (see section 3.14)</w:t>
      </w:r>
      <w:r w:rsidR="009F68E2" w:rsidRPr="00FA7706">
        <w:t>.</w:t>
      </w:r>
    </w:p>
    <w:p w14:paraId="4CAE74C7" w14:textId="407E82BE" w:rsidR="00DE2053" w:rsidRPr="00FA7706" w:rsidRDefault="00DE2053" w:rsidP="00D86013">
      <w:pPr>
        <w:pStyle w:val="NICEnormal"/>
      </w:pPr>
      <w:r w:rsidRPr="00FA7706">
        <w:t xml:space="preserve">It recognised that there were remaining areas of uncertainty associated with the analyses presented (table 2, pages </w:t>
      </w:r>
      <w:r w:rsidR="009B4D81" w:rsidRPr="00FA7706">
        <w:t>50</w:t>
      </w:r>
      <w:r w:rsidRPr="00FA7706">
        <w:t xml:space="preserve"> </w:t>
      </w:r>
      <w:r w:rsidR="009B4D81" w:rsidRPr="00FA7706">
        <w:t>and 51</w:t>
      </w:r>
      <w:r w:rsidRPr="00FA7706">
        <w:t xml:space="preserve"> of the technical report), and took these into account in its decision making. It discussed the following issues</w:t>
      </w:r>
      <w:r w:rsidR="00255085" w:rsidRPr="00FA7706">
        <w:t>,</w:t>
      </w:r>
      <w:r w:rsidRPr="00FA7706">
        <w:t xml:space="preserve"> which were outstanding after </w:t>
      </w:r>
      <w:r w:rsidR="00255085" w:rsidRPr="00FA7706">
        <w:t xml:space="preserve">the </w:t>
      </w:r>
      <w:r w:rsidRPr="00FA7706">
        <w:t>technical engagement</w:t>
      </w:r>
      <w:r w:rsidR="00255085" w:rsidRPr="00FA7706">
        <w:t xml:space="preserve"> stage</w:t>
      </w:r>
      <w:r w:rsidRPr="00FA7706">
        <w:t>.</w:t>
      </w:r>
    </w:p>
    <w:p w14:paraId="1AB95E57" w14:textId="59DAC181" w:rsidR="004C356A" w:rsidRPr="00FA7706" w:rsidRDefault="00C00DCB" w:rsidP="004000E9">
      <w:pPr>
        <w:pStyle w:val="Heading2"/>
      </w:pPr>
      <w:r w:rsidRPr="00FA7706">
        <w:t>Clinical need</w:t>
      </w:r>
    </w:p>
    <w:p w14:paraId="6265E36E" w14:textId="6C312D3E" w:rsidR="009803E6" w:rsidRPr="00FA7706" w:rsidRDefault="009977D6" w:rsidP="00C20D50">
      <w:pPr>
        <w:pStyle w:val="Heading3"/>
      </w:pPr>
      <w:r w:rsidRPr="00FA7706">
        <w:t>A new treatment option is needed for people with recurrent or metastatic HNSCC</w:t>
      </w:r>
    </w:p>
    <w:p w14:paraId="69075ABB" w14:textId="286F94DD" w:rsidR="00FF1752" w:rsidRPr="00FA7706" w:rsidRDefault="00FF1752" w:rsidP="00FF1752">
      <w:pPr>
        <w:pStyle w:val="Numberedlevel2text"/>
        <w:numPr>
          <w:ilvl w:val="1"/>
          <w:numId w:val="1"/>
        </w:numPr>
        <w:rPr>
          <w:lang w:val="en-GB"/>
        </w:rPr>
      </w:pPr>
      <w:r w:rsidRPr="00FA7706">
        <w:rPr>
          <w:lang w:val="en-GB"/>
        </w:rPr>
        <w:t>The patient experts</w:t>
      </w:r>
      <w:r w:rsidR="00D801E1" w:rsidRPr="00FA7706">
        <w:rPr>
          <w:lang w:val="en-GB"/>
        </w:rPr>
        <w:t>’ submission</w:t>
      </w:r>
      <w:r w:rsidR="00DC44E9" w:rsidRPr="00FA7706">
        <w:rPr>
          <w:lang w:val="en-GB"/>
        </w:rPr>
        <w:t xml:space="preserve"> stated</w:t>
      </w:r>
      <w:r w:rsidR="00D801E1" w:rsidRPr="00FA7706">
        <w:rPr>
          <w:lang w:val="en-GB"/>
        </w:rPr>
        <w:t xml:space="preserve"> </w:t>
      </w:r>
      <w:r w:rsidRPr="00FA7706">
        <w:rPr>
          <w:lang w:val="en-GB"/>
        </w:rPr>
        <w:t xml:space="preserve">that </w:t>
      </w:r>
      <w:r w:rsidR="00572DFC" w:rsidRPr="00FA7706">
        <w:rPr>
          <w:lang w:val="en-GB"/>
        </w:rPr>
        <w:t xml:space="preserve">metastatic or unresectable </w:t>
      </w:r>
      <w:r w:rsidR="00826481" w:rsidRPr="00FA7706">
        <w:rPr>
          <w:lang w:val="en-GB"/>
        </w:rPr>
        <w:t>recurrent squamous cell head and neck cancer (HNSCC)</w:t>
      </w:r>
      <w:r w:rsidRPr="00FA7706">
        <w:rPr>
          <w:lang w:val="en-GB"/>
        </w:rPr>
        <w:t xml:space="preserve"> has a </w:t>
      </w:r>
      <w:r w:rsidR="00EB3AE6" w:rsidRPr="00FA7706">
        <w:rPr>
          <w:lang w:val="en-GB"/>
        </w:rPr>
        <w:t xml:space="preserve">big </w:t>
      </w:r>
      <w:r w:rsidRPr="00FA7706">
        <w:rPr>
          <w:lang w:val="en-GB"/>
        </w:rPr>
        <w:t>impact on the people living with</w:t>
      </w:r>
      <w:r w:rsidR="00826481" w:rsidRPr="00FA7706">
        <w:rPr>
          <w:lang w:val="en-GB"/>
        </w:rPr>
        <w:t xml:space="preserve"> the disease and</w:t>
      </w:r>
      <w:r w:rsidRPr="00FA7706">
        <w:rPr>
          <w:lang w:val="en-GB"/>
        </w:rPr>
        <w:t xml:space="preserve"> their </w:t>
      </w:r>
      <w:proofErr w:type="spellStart"/>
      <w:r w:rsidRPr="00FA7706">
        <w:rPr>
          <w:lang w:val="en-GB"/>
        </w:rPr>
        <w:t>carer</w:t>
      </w:r>
      <w:r w:rsidR="00826481" w:rsidRPr="00FA7706">
        <w:rPr>
          <w:lang w:val="en-GB"/>
        </w:rPr>
        <w:t>s</w:t>
      </w:r>
      <w:proofErr w:type="spellEnd"/>
      <w:r w:rsidRPr="00FA7706">
        <w:rPr>
          <w:lang w:val="en-GB"/>
        </w:rPr>
        <w:t xml:space="preserve"> and family. </w:t>
      </w:r>
      <w:r w:rsidR="005C6EB4" w:rsidRPr="00FA7706">
        <w:rPr>
          <w:lang w:val="en-GB"/>
        </w:rPr>
        <w:t>H</w:t>
      </w:r>
      <w:r w:rsidRPr="00FA7706">
        <w:rPr>
          <w:lang w:val="en-GB"/>
        </w:rPr>
        <w:t xml:space="preserve">aving a complete response to treatment or being progression free for as long as possible, </w:t>
      </w:r>
      <w:r w:rsidR="005C6EB4" w:rsidRPr="00FA7706">
        <w:rPr>
          <w:lang w:val="en-GB"/>
        </w:rPr>
        <w:t>as well as better</w:t>
      </w:r>
      <w:r w:rsidRPr="00FA7706">
        <w:rPr>
          <w:lang w:val="en-GB"/>
        </w:rPr>
        <w:t xml:space="preserve"> quality of life</w:t>
      </w:r>
      <w:r w:rsidR="00CA2A65">
        <w:rPr>
          <w:lang w:val="en-GB"/>
        </w:rPr>
        <w:t>,</w:t>
      </w:r>
      <w:r w:rsidR="007567ED" w:rsidRPr="00FA7706">
        <w:rPr>
          <w:lang w:val="en-GB"/>
        </w:rPr>
        <w:t xml:space="preserve"> is important to </w:t>
      </w:r>
      <w:r w:rsidR="00C97015" w:rsidRPr="00FA7706">
        <w:rPr>
          <w:lang w:val="en-GB"/>
        </w:rPr>
        <w:t>people</w:t>
      </w:r>
      <w:r w:rsidRPr="00FA7706">
        <w:rPr>
          <w:lang w:val="en-GB"/>
        </w:rPr>
        <w:t xml:space="preserve">. The clinical experts explained that this condition can be debilitating, with distressing symptoms such as </w:t>
      </w:r>
      <w:r w:rsidR="005C6EB4" w:rsidRPr="00FA7706">
        <w:rPr>
          <w:lang w:val="en-GB"/>
        </w:rPr>
        <w:t xml:space="preserve">a </w:t>
      </w:r>
      <w:r w:rsidRPr="00FA7706">
        <w:rPr>
          <w:lang w:val="en-GB"/>
        </w:rPr>
        <w:t xml:space="preserve">sore mouth, </w:t>
      </w:r>
      <w:r w:rsidR="005C6EB4" w:rsidRPr="00FA7706">
        <w:rPr>
          <w:lang w:val="en-GB"/>
        </w:rPr>
        <w:t xml:space="preserve">finding it hard </w:t>
      </w:r>
      <w:r w:rsidRPr="00FA7706">
        <w:rPr>
          <w:lang w:val="en-GB"/>
        </w:rPr>
        <w:t xml:space="preserve">to swallow or eat, loss of appetite and weight loss. </w:t>
      </w:r>
      <w:r w:rsidR="00B86FA1" w:rsidRPr="00FA7706">
        <w:rPr>
          <w:lang w:val="en-GB"/>
        </w:rPr>
        <w:t>T</w:t>
      </w:r>
      <w:r w:rsidRPr="00FA7706">
        <w:rPr>
          <w:lang w:val="en-GB"/>
        </w:rPr>
        <w:t xml:space="preserve">hey </w:t>
      </w:r>
      <w:r w:rsidR="00B86FA1" w:rsidRPr="00FA7706">
        <w:rPr>
          <w:lang w:val="en-GB"/>
        </w:rPr>
        <w:t xml:space="preserve">also said </w:t>
      </w:r>
      <w:r w:rsidRPr="00FA7706">
        <w:rPr>
          <w:lang w:val="en-GB"/>
        </w:rPr>
        <w:t>that many people have major surgery</w:t>
      </w:r>
      <w:r w:rsidR="00B86FA1" w:rsidRPr="00FA7706">
        <w:rPr>
          <w:lang w:val="en-GB"/>
        </w:rPr>
        <w:t>,</w:t>
      </w:r>
      <w:r w:rsidRPr="00FA7706">
        <w:rPr>
          <w:lang w:val="en-GB"/>
        </w:rPr>
        <w:t xml:space="preserve"> which can change </w:t>
      </w:r>
      <w:r w:rsidR="00B86FA1" w:rsidRPr="00FA7706">
        <w:rPr>
          <w:lang w:val="en-GB"/>
        </w:rPr>
        <w:t>their</w:t>
      </w:r>
      <w:r w:rsidRPr="00FA7706">
        <w:rPr>
          <w:lang w:val="en-GB"/>
        </w:rPr>
        <w:t xml:space="preserve"> appearance</w:t>
      </w:r>
      <w:r w:rsidR="00B86FA1" w:rsidRPr="00FA7706">
        <w:rPr>
          <w:lang w:val="en-GB"/>
        </w:rPr>
        <w:t xml:space="preserve"> and have</w:t>
      </w:r>
      <w:r w:rsidRPr="00FA7706">
        <w:rPr>
          <w:lang w:val="en-GB"/>
        </w:rPr>
        <w:t xml:space="preserve"> a psychological and social impact on their life. The clinical experts </w:t>
      </w:r>
      <w:r w:rsidR="00135027" w:rsidRPr="00FA7706">
        <w:rPr>
          <w:lang w:val="en-GB"/>
        </w:rPr>
        <w:t xml:space="preserve">said </w:t>
      </w:r>
      <w:r w:rsidRPr="00FA7706">
        <w:rPr>
          <w:lang w:val="en-GB"/>
        </w:rPr>
        <w:t>that pembrolizumab</w:t>
      </w:r>
      <w:r w:rsidR="00135027" w:rsidRPr="00FA7706">
        <w:rPr>
          <w:lang w:val="en-GB"/>
        </w:rPr>
        <w:t>’s benefit is that</w:t>
      </w:r>
      <w:r w:rsidRPr="00FA7706">
        <w:rPr>
          <w:lang w:val="en-GB"/>
        </w:rPr>
        <w:t xml:space="preserve"> it is better tolerated than existing treatments, with fewer </w:t>
      </w:r>
      <w:r w:rsidR="00135027" w:rsidRPr="00FA7706">
        <w:rPr>
          <w:lang w:val="en-GB"/>
        </w:rPr>
        <w:t xml:space="preserve">of the </w:t>
      </w:r>
      <w:r w:rsidRPr="00FA7706">
        <w:rPr>
          <w:lang w:val="en-GB"/>
        </w:rPr>
        <w:t>side effects</w:t>
      </w:r>
      <w:r w:rsidR="00135027" w:rsidRPr="00FA7706">
        <w:rPr>
          <w:lang w:val="en-GB"/>
        </w:rPr>
        <w:t xml:space="preserve"> seen with cetuximab</w:t>
      </w:r>
      <w:r w:rsidRPr="00FA7706">
        <w:rPr>
          <w:lang w:val="en-GB"/>
        </w:rPr>
        <w:t xml:space="preserve"> such as </w:t>
      </w:r>
      <w:r w:rsidRPr="00FA7706">
        <w:rPr>
          <w:lang w:val="en-GB"/>
        </w:rPr>
        <w:lastRenderedPageBreak/>
        <w:t>rash, diarrhoea and low magnesium. The committee concluded that</w:t>
      </w:r>
      <w:r w:rsidR="00135027" w:rsidRPr="00FA7706">
        <w:rPr>
          <w:lang w:val="en-GB"/>
        </w:rPr>
        <w:t xml:space="preserve"> there is a</w:t>
      </w:r>
      <w:r w:rsidR="00BD32EF" w:rsidRPr="00FA7706">
        <w:rPr>
          <w:lang w:val="en-GB"/>
        </w:rPr>
        <w:t xml:space="preserve"> clinical</w:t>
      </w:r>
      <w:r w:rsidR="00135027" w:rsidRPr="00FA7706">
        <w:rPr>
          <w:lang w:val="en-GB"/>
        </w:rPr>
        <w:t xml:space="preserve"> need for</w:t>
      </w:r>
      <w:r w:rsidRPr="00FA7706">
        <w:rPr>
          <w:lang w:val="en-GB"/>
        </w:rPr>
        <w:t xml:space="preserve"> </w:t>
      </w:r>
      <w:r w:rsidR="00E4078D" w:rsidRPr="00FA7706">
        <w:rPr>
          <w:lang w:val="en-GB"/>
        </w:rPr>
        <w:t xml:space="preserve">an </w:t>
      </w:r>
      <w:r w:rsidRPr="00FA7706">
        <w:rPr>
          <w:lang w:val="en-GB"/>
        </w:rPr>
        <w:t xml:space="preserve">effective treatment </w:t>
      </w:r>
      <w:r w:rsidR="00135027" w:rsidRPr="00FA7706">
        <w:rPr>
          <w:lang w:val="en-GB"/>
        </w:rPr>
        <w:t xml:space="preserve">that </w:t>
      </w:r>
      <w:r w:rsidRPr="00FA7706">
        <w:rPr>
          <w:lang w:val="en-GB"/>
        </w:rPr>
        <w:t>improv</w:t>
      </w:r>
      <w:r w:rsidR="00135027" w:rsidRPr="00FA7706">
        <w:rPr>
          <w:lang w:val="en-GB"/>
        </w:rPr>
        <w:t>e</w:t>
      </w:r>
      <w:r w:rsidR="00E4078D" w:rsidRPr="00FA7706">
        <w:rPr>
          <w:lang w:val="en-GB"/>
        </w:rPr>
        <w:t>s</w:t>
      </w:r>
      <w:r w:rsidRPr="00FA7706">
        <w:rPr>
          <w:lang w:val="en-GB"/>
        </w:rPr>
        <w:t xml:space="preserve"> quality of life.</w:t>
      </w:r>
    </w:p>
    <w:p w14:paraId="6943C092" w14:textId="1190FBF9" w:rsidR="00FF1752" w:rsidRPr="00FA7706" w:rsidRDefault="007F4403" w:rsidP="007F4403">
      <w:pPr>
        <w:pStyle w:val="Heading3"/>
      </w:pPr>
      <w:r w:rsidRPr="00FA7706">
        <w:t>The decision to use pembrolizumab monotherapy or combination therapy is made on a case-by-case basis</w:t>
      </w:r>
    </w:p>
    <w:p w14:paraId="2B3B73A9" w14:textId="5239EC17" w:rsidR="007F4403" w:rsidRPr="00FA7706" w:rsidRDefault="004B115C" w:rsidP="007F4403">
      <w:pPr>
        <w:pStyle w:val="Numberedlevel2text"/>
        <w:rPr>
          <w:lang w:val="en-GB"/>
        </w:rPr>
      </w:pPr>
      <w:r w:rsidRPr="00FA7706">
        <w:rPr>
          <w:lang w:val="en-GB"/>
        </w:rPr>
        <w:t>T</w:t>
      </w:r>
      <w:r w:rsidR="007F4403" w:rsidRPr="00FA7706">
        <w:rPr>
          <w:lang w:val="en-GB"/>
        </w:rPr>
        <w:t xml:space="preserve">he marketing authorisation for pembrolizumab is as a monotherapy </w:t>
      </w:r>
      <w:r w:rsidR="007567ED" w:rsidRPr="00FA7706">
        <w:rPr>
          <w:lang w:val="en-GB"/>
        </w:rPr>
        <w:t xml:space="preserve">or in combination </w:t>
      </w:r>
      <w:r w:rsidR="00950668" w:rsidRPr="00FA7706">
        <w:rPr>
          <w:lang w:val="en-GB"/>
        </w:rPr>
        <w:t>with</w:t>
      </w:r>
      <w:r w:rsidR="007F4403" w:rsidRPr="00FA7706">
        <w:rPr>
          <w:lang w:val="en-GB"/>
        </w:rPr>
        <w:t xml:space="preserve"> platinum </w:t>
      </w:r>
      <w:r w:rsidR="00AD73E1" w:rsidRPr="00FA7706">
        <w:rPr>
          <w:lang w:val="en-GB"/>
        </w:rPr>
        <w:t xml:space="preserve">chemotherapy </w:t>
      </w:r>
      <w:r w:rsidR="007F4403" w:rsidRPr="00FA7706">
        <w:rPr>
          <w:lang w:val="en-GB"/>
        </w:rPr>
        <w:t xml:space="preserve">and 5-fluorouracil (5-FU). The clinical experts explained that combination therapy </w:t>
      </w:r>
      <w:r w:rsidRPr="00FA7706">
        <w:rPr>
          <w:lang w:val="en-GB"/>
        </w:rPr>
        <w:t>is usually offered to</w:t>
      </w:r>
      <w:r w:rsidR="007F4403" w:rsidRPr="00FA7706">
        <w:rPr>
          <w:lang w:val="en-GB"/>
        </w:rPr>
        <w:t xml:space="preserve"> </w:t>
      </w:r>
      <w:r w:rsidR="00F07B8D" w:rsidRPr="00FA7706">
        <w:rPr>
          <w:lang w:val="en-GB"/>
        </w:rPr>
        <w:t>people</w:t>
      </w:r>
      <w:r w:rsidR="007F4403" w:rsidRPr="00FA7706">
        <w:rPr>
          <w:lang w:val="en-GB"/>
        </w:rPr>
        <w:t xml:space="preserve"> with </w:t>
      </w:r>
      <w:r w:rsidR="007B0997" w:rsidRPr="00FA7706">
        <w:rPr>
          <w:lang w:val="en-GB"/>
        </w:rPr>
        <w:t xml:space="preserve">a </w:t>
      </w:r>
      <w:r w:rsidRPr="00FA7706">
        <w:rPr>
          <w:lang w:val="en-GB"/>
        </w:rPr>
        <w:t xml:space="preserve">high </w:t>
      </w:r>
      <w:r w:rsidR="007F4403" w:rsidRPr="00FA7706">
        <w:rPr>
          <w:lang w:val="en-GB"/>
        </w:rPr>
        <w:t>disease</w:t>
      </w:r>
      <w:r w:rsidRPr="00FA7706">
        <w:rPr>
          <w:lang w:val="en-GB"/>
        </w:rPr>
        <w:t xml:space="preserve"> burden</w:t>
      </w:r>
      <w:r w:rsidR="007F4403" w:rsidRPr="00FA7706">
        <w:rPr>
          <w:lang w:val="en-GB"/>
        </w:rPr>
        <w:t>,</w:t>
      </w:r>
      <w:r w:rsidR="007B0997" w:rsidRPr="00FA7706">
        <w:rPr>
          <w:lang w:val="en-GB"/>
        </w:rPr>
        <w:t xml:space="preserve"> or</w:t>
      </w:r>
      <w:r w:rsidR="007F4403" w:rsidRPr="00FA7706">
        <w:rPr>
          <w:lang w:val="en-GB"/>
        </w:rPr>
        <w:t xml:space="preserve"> </w:t>
      </w:r>
      <w:r w:rsidR="007B0997" w:rsidRPr="00FA7706">
        <w:rPr>
          <w:lang w:val="en-GB"/>
        </w:rPr>
        <w:t>whose</w:t>
      </w:r>
      <w:r w:rsidR="007F4403" w:rsidRPr="00FA7706">
        <w:rPr>
          <w:lang w:val="en-GB"/>
        </w:rPr>
        <w:t xml:space="preserve"> disease</w:t>
      </w:r>
      <w:r w:rsidR="007B0997" w:rsidRPr="00FA7706">
        <w:rPr>
          <w:lang w:val="en-GB"/>
        </w:rPr>
        <w:t xml:space="preserve"> is</w:t>
      </w:r>
      <w:r w:rsidR="007F4403" w:rsidRPr="00FA7706">
        <w:rPr>
          <w:lang w:val="en-GB"/>
        </w:rPr>
        <w:t xml:space="preserve"> progressing rapidly or has relapsed after</w:t>
      </w:r>
      <w:r w:rsidR="007B0997" w:rsidRPr="00FA7706">
        <w:rPr>
          <w:lang w:val="en-GB"/>
        </w:rPr>
        <w:t xml:space="preserve"> </w:t>
      </w:r>
      <w:r w:rsidR="007F4403" w:rsidRPr="00FA7706">
        <w:rPr>
          <w:lang w:val="en-GB"/>
        </w:rPr>
        <w:t xml:space="preserve">chemotherapy. They also explained that monotherapy </w:t>
      </w:r>
      <w:r w:rsidRPr="00FA7706">
        <w:rPr>
          <w:lang w:val="en-GB"/>
        </w:rPr>
        <w:t>is</w:t>
      </w:r>
      <w:r w:rsidR="007F4403" w:rsidRPr="00FA7706">
        <w:rPr>
          <w:lang w:val="en-GB"/>
        </w:rPr>
        <w:t xml:space="preserve"> offered to </w:t>
      </w:r>
      <w:r w:rsidR="00A235C9" w:rsidRPr="00FA7706">
        <w:rPr>
          <w:lang w:val="en-GB"/>
        </w:rPr>
        <w:t xml:space="preserve">people </w:t>
      </w:r>
      <w:r w:rsidR="007F4403" w:rsidRPr="00FA7706">
        <w:rPr>
          <w:lang w:val="en-GB"/>
        </w:rPr>
        <w:t xml:space="preserve">with </w:t>
      </w:r>
      <w:r w:rsidRPr="00FA7706">
        <w:rPr>
          <w:lang w:val="en-GB"/>
        </w:rPr>
        <w:t xml:space="preserve">a </w:t>
      </w:r>
      <w:r w:rsidR="007F4403" w:rsidRPr="00FA7706">
        <w:rPr>
          <w:lang w:val="en-GB"/>
        </w:rPr>
        <w:t>low disease</w:t>
      </w:r>
      <w:r w:rsidRPr="00FA7706">
        <w:rPr>
          <w:lang w:val="en-GB"/>
        </w:rPr>
        <w:t xml:space="preserve"> burden</w:t>
      </w:r>
      <w:r w:rsidR="007F4403" w:rsidRPr="00FA7706">
        <w:rPr>
          <w:lang w:val="en-GB"/>
        </w:rPr>
        <w:t xml:space="preserve">, with disease progressing at the expected rate, or </w:t>
      </w:r>
      <w:r w:rsidR="00A235C9" w:rsidRPr="00FA7706">
        <w:rPr>
          <w:lang w:val="en-GB"/>
        </w:rPr>
        <w:t xml:space="preserve">to people </w:t>
      </w:r>
      <w:r w:rsidR="007F4403" w:rsidRPr="00FA7706">
        <w:rPr>
          <w:lang w:val="en-GB"/>
        </w:rPr>
        <w:t xml:space="preserve">who are not </w:t>
      </w:r>
      <w:r w:rsidRPr="00FA7706">
        <w:rPr>
          <w:lang w:val="en-GB"/>
        </w:rPr>
        <w:t>able</w:t>
      </w:r>
      <w:r w:rsidR="007F4403" w:rsidRPr="00FA7706">
        <w:rPr>
          <w:lang w:val="en-GB"/>
        </w:rPr>
        <w:t xml:space="preserve"> to tolerate combination therapy. </w:t>
      </w:r>
      <w:r w:rsidRPr="00FA7706">
        <w:rPr>
          <w:lang w:val="en-GB"/>
        </w:rPr>
        <w:t>T</w:t>
      </w:r>
      <w:r w:rsidR="007F4403" w:rsidRPr="00FA7706">
        <w:rPr>
          <w:lang w:val="en-GB"/>
        </w:rPr>
        <w:t>he summary of product characteristics also state</w:t>
      </w:r>
      <w:r w:rsidRPr="00FA7706">
        <w:rPr>
          <w:lang w:val="en-GB"/>
        </w:rPr>
        <w:t>s</w:t>
      </w:r>
      <w:r w:rsidR="007F4403" w:rsidRPr="00FA7706">
        <w:rPr>
          <w:lang w:val="en-GB"/>
        </w:rPr>
        <w:t xml:space="preserve"> that ‘the risk of adverse reactions with combination therapy relative to pembrolizumab monotherapy should be considered and the benefit/risk ratio of the combined therapy evaluated on an individual basis’. The committee </w:t>
      </w:r>
      <w:r w:rsidR="007763CD" w:rsidRPr="00FA7706">
        <w:rPr>
          <w:lang w:val="en-GB"/>
        </w:rPr>
        <w:t xml:space="preserve">accepted </w:t>
      </w:r>
      <w:r w:rsidR="007F4403" w:rsidRPr="00FA7706">
        <w:rPr>
          <w:lang w:val="en-GB"/>
        </w:rPr>
        <w:t xml:space="preserve">that the decision </w:t>
      </w:r>
      <w:r w:rsidR="00A235C9" w:rsidRPr="00FA7706">
        <w:rPr>
          <w:lang w:val="en-GB"/>
        </w:rPr>
        <w:t xml:space="preserve">about </w:t>
      </w:r>
      <w:r w:rsidR="007F4403" w:rsidRPr="00FA7706">
        <w:rPr>
          <w:lang w:val="en-GB"/>
        </w:rPr>
        <w:t>whether</w:t>
      </w:r>
      <w:r w:rsidR="00A235C9" w:rsidRPr="00FA7706">
        <w:rPr>
          <w:lang w:val="en-GB"/>
        </w:rPr>
        <w:t xml:space="preserve"> someone is offered</w:t>
      </w:r>
      <w:r w:rsidR="007F4403" w:rsidRPr="00FA7706">
        <w:rPr>
          <w:lang w:val="en-GB"/>
        </w:rPr>
        <w:t xml:space="preserve"> monotherapy or combination </w:t>
      </w:r>
      <w:r w:rsidR="00A235C9" w:rsidRPr="00FA7706">
        <w:rPr>
          <w:lang w:val="en-GB"/>
        </w:rPr>
        <w:t>is</w:t>
      </w:r>
      <w:r w:rsidR="007F4403" w:rsidRPr="00FA7706">
        <w:rPr>
          <w:lang w:val="en-GB"/>
        </w:rPr>
        <w:t xml:space="preserve"> on a case-by-case basis</w:t>
      </w:r>
      <w:r w:rsidR="00A235C9" w:rsidRPr="00FA7706">
        <w:rPr>
          <w:lang w:val="en-GB"/>
        </w:rPr>
        <w:t xml:space="preserve">. </w:t>
      </w:r>
      <w:r w:rsidR="007567ED" w:rsidRPr="00FA7706">
        <w:rPr>
          <w:lang w:val="en-GB"/>
        </w:rPr>
        <w:t xml:space="preserve">Several clinical factors are </w:t>
      </w:r>
      <w:proofErr w:type="gramStart"/>
      <w:r w:rsidR="007567ED" w:rsidRPr="00FA7706">
        <w:rPr>
          <w:lang w:val="en-GB"/>
        </w:rPr>
        <w:t>taken into account</w:t>
      </w:r>
      <w:proofErr w:type="gramEnd"/>
      <w:r w:rsidR="007567ED" w:rsidRPr="00FA7706">
        <w:rPr>
          <w:lang w:val="en-GB"/>
        </w:rPr>
        <w:t xml:space="preserve"> </w:t>
      </w:r>
      <w:r w:rsidR="007F4403" w:rsidRPr="00FA7706">
        <w:rPr>
          <w:lang w:val="en-GB"/>
        </w:rPr>
        <w:t>and</w:t>
      </w:r>
      <w:r w:rsidR="00A235C9" w:rsidRPr="00FA7706">
        <w:rPr>
          <w:lang w:val="en-GB"/>
        </w:rPr>
        <w:t>,</w:t>
      </w:r>
      <w:r w:rsidR="007F4403" w:rsidRPr="00FA7706">
        <w:rPr>
          <w:lang w:val="en-GB"/>
        </w:rPr>
        <w:t xml:space="preserve"> although some factors</w:t>
      </w:r>
      <w:r w:rsidR="00A235C9" w:rsidRPr="00FA7706">
        <w:rPr>
          <w:lang w:val="en-GB"/>
        </w:rPr>
        <w:t xml:space="preserve"> apply to</w:t>
      </w:r>
      <w:r w:rsidR="007F4403" w:rsidRPr="00FA7706">
        <w:rPr>
          <w:lang w:val="en-GB"/>
        </w:rPr>
        <w:t xml:space="preserve"> both groups, such as good performance status, there are differences, </w:t>
      </w:r>
      <w:r w:rsidR="00A235C9" w:rsidRPr="00FA7706">
        <w:rPr>
          <w:lang w:val="en-GB"/>
        </w:rPr>
        <w:t xml:space="preserve">for example in </w:t>
      </w:r>
      <w:r w:rsidR="007F4403" w:rsidRPr="00FA7706">
        <w:rPr>
          <w:lang w:val="en-GB"/>
        </w:rPr>
        <w:t>disease burden and speed of disease progression.</w:t>
      </w:r>
      <w:r w:rsidR="007763CD" w:rsidRPr="00FA7706">
        <w:rPr>
          <w:lang w:val="en-GB"/>
        </w:rPr>
        <w:t xml:space="preserve"> The committee concluded </w:t>
      </w:r>
      <w:r w:rsidR="00F049B7" w:rsidRPr="00FA7706">
        <w:rPr>
          <w:lang w:val="en-GB"/>
        </w:rPr>
        <w:t>that</w:t>
      </w:r>
      <w:r w:rsidR="009F68E2" w:rsidRPr="00FA7706">
        <w:rPr>
          <w:lang w:val="en-GB"/>
        </w:rPr>
        <w:t>, because</w:t>
      </w:r>
      <w:r w:rsidR="00F049B7" w:rsidRPr="00FA7706">
        <w:rPr>
          <w:lang w:val="en-GB"/>
        </w:rPr>
        <w:t xml:space="preserve"> the decision about whether someone is offered monotherapy or combination is </w:t>
      </w:r>
      <w:r w:rsidR="00FA159F" w:rsidRPr="00FA7706">
        <w:rPr>
          <w:lang w:val="en-GB"/>
        </w:rPr>
        <w:t xml:space="preserve">made </w:t>
      </w:r>
      <w:r w:rsidR="00F049B7" w:rsidRPr="00FA7706">
        <w:rPr>
          <w:lang w:val="en-GB"/>
        </w:rPr>
        <w:t>on a case-by-case</w:t>
      </w:r>
      <w:r w:rsidR="00FA159F" w:rsidRPr="00FA7706">
        <w:rPr>
          <w:lang w:val="en-GB"/>
        </w:rPr>
        <w:t xml:space="preserve"> basis</w:t>
      </w:r>
      <w:r w:rsidR="00F049B7" w:rsidRPr="00FA7706">
        <w:rPr>
          <w:lang w:val="en-GB"/>
        </w:rPr>
        <w:t>, it is not possible to clearly define different distinct patient populations who would be offered one treatment over the other.</w:t>
      </w:r>
    </w:p>
    <w:p w14:paraId="77D9AD80" w14:textId="132302CD" w:rsidR="00226533" w:rsidRPr="00FA7706" w:rsidRDefault="007F4403" w:rsidP="007F4403">
      <w:pPr>
        <w:pStyle w:val="Heading3"/>
      </w:pPr>
      <w:r w:rsidRPr="00FA7706">
        <w:t xml:space="preserve">The comparators </w:t>
      </w:r>
      <w:r w:rsidR="00572470" w:rsidRPr="00FA7706">
        <w:t xml:space="preserve">are </w:t>
      </w:r>
      <w:r w:rsidR="00BD32EF" w:rsidRPr="00FA7706">
        <w:t xml:space="preserve">cetuximab </w:t>
      </w:r>
      <w:r w:rsidR="009620D8" w:rsidRPr="00FA7706">
        <w:t>with platinum chemotherapy and 5-FU for cancer inside the oral cavity and platinum chemotherapy and 5-FU for cancer outside the oral cavity</w:t>
      </w:r>
    </w:p>
    <w:p w14:paraId="4BFBD954" w14:textId="2555614B" w:rsidR="007F4403" w:rsidRPr="00FA7706" w:rsidRDefault="007F4403" w:rsidP="007F4403">
      <w:pPr>
        <w:pStyle w:val="Numberedlevel2text"/>
        <w:rPr>
          <w:lang w:val="en-GB"/>
        </w:rPr>
      </w:pPr>
      <w:r w:rsidRPr="00FA7706">
        <w:rPr>
          <w:lang w:val="en-GB"/>
        </w:rPr>
        <w:t xml:space="preserve">The clinical experts explained that people with </w:t>
      </w:r>
      <w:r w:rsidR="00824E89" w:rsidRPr="00FA7706">
        <w:rPr>
          <w:lang w:val="en-GB"/>
        </w:rPr>
        <w:t xml:space="preserve">metastatic or unresectable recurrent </w:t>
      </w:r>
      <w:r w:rsidRPr="00FA7706">
        <w:rPr>
          <w:lang w:val="en-GB"/>
        </w:rPr>
        <w:t xml:space="preserve">HNSCC receive either cetuximab with platinum </w:t>
      </w:r>
      <w:r w:rsidR="00AD73E1" w:rsidRPr="00FA7706">
        <w:rPr>
          <w:lang w:val="en-GB"/>
        </w:rPr>
        <w:t xml:space="preserve">chemotherapy </w:t>
      </w:r>
      <w:r w:rsidRPr="00FA7706">
        <w:rPr>
          <w:lang w:val="en-GB"/>
        </w:rPr>
        <w:t>and 5-FU or platinum</w:t>
      </w:r>
      <w:r w:rsidR="00AD73E1" w:rsidRPr="00FA7706">
        <w:rPr>
          <w:lang w:val="en-GB"/>
        </w:rPr>
        <w:t xml:space="preserve"> chemotherapy</w:t>
      </w:r>
      <w:r w:rsidRPr="00FA7706">
        <w:rPr>
          <w:lang w:val="en-GB"/>
        </w:rPr>
        <w:t xml:space="preserve"> and 5-FU</w:t>
      </w:r>
      <w:r w:rsidR="00AD73E1" w:rsidRPr="00FA7706">
        <w:rPr>
          <w:lang w:val="en-GB"/>
        </w:rPr>
        <w:t>.</w:t>
      </w:r>
      <w:r w:rsidRPr="00FA7706">
        <w:rPr>
          <w:lang w:val="en-GB"/>
        </w:rPr>
        <w:t xml:space="preserve"> </w:t>
      </w:r>
      <w:r w:rsidR="00F07B8D" w:rsidRPr="00FA7706">
        <w:rPr>
          <w:lang w:val="en-GB"/>
        </w:rPr>
        <w:t>People</w:t>
      </w:r>
      <w:r w:rsidRPr="00FA7706">
        <w:rPr>
          <w:lang w:val="en-GB"/>
        </w:rPr>
        <w:t xml:space="preserve"> whose cancer started inside the oral cavity are offered cetuximab </w:t>
      </w:r>
      <w:r w:rsidR="00950668" w:rsidRPr="00FA7706">
        <w:rPr>
          <w:lang w:val="en-GB"/>
        </w:rPr>
        <w:t>with</w:t>
      </w:r>
      <w:r w:rsidRPr="00FA7706">
        <w:rPr>
          <w:lang w:val="en-GB"/>
        </w:rPr>
        <w:t xml:space="preserve"> platinum</w:t>
      </w:r>
      <w:r w:rsidR="00AD73E1" w:rsidRPr="00FA7706">
        <w:rPr>
          <w:lang w:val="en-GB"/>
        </w:rPr>
        <w:t xml:space="preserve"> </w:t>
      </w:r>
      <w:r w:rsidR="00AD73E1" w:rsidRPr="00FA7706">
        <w:rPr>
          <w:lang w:val="en-GB"/>
        </w:rPr>
        <w:lastRenderedPageBreak/>
        <w:t>chemotherapy</w:t>
      </w:r>
      <w:r w:rsidRPr="00FA7706">
        <w:rPr>
          <w:lang w:val="en-GB"/>
        </w:rPr>
        <w:t xml:space="preserve"> and 5-F</w:t>
      </w:r>
      <w:r w:rsidR="00AD73E1" w:rsidRPr="00FA7706">
        <w:rPr>
          <w:lang w:val="en-GB"/>
        </w:rPr>
        <w:t>U</w:t>
      </w:r>
      <w:r w:rsidRPr="00FA7706">
        <w:rPr>
          <w:lang w:val="en-GB"/>
        </w:rPr>
        <w:t xml:space="preserve"> in line with </w:t>
      </w:r>
      <w:hyperlink r:id="rId11" w:history="1">
        <w:r w:rsidR="00CD7F4F" w:rsidRPr="00FA7706">
          <w:rPr>
            <w:rStyle w:val="Hyperlink"/>
            <w:lang w:val="en-GB"/>
          </w:rPr>
          <w:t>NICE's technology appraisal guidance on cetuximab for HNSCC</w:t>
        </w:r>
      </w:hyperlink>
      <w:r w:rsidRPr="00FA7706">
        <w:rPr>
          <w:lang w:val="en-GB"/>
        </w:rPr>
        <w:t xml:space="preserve">. However, the committee heard that some </w:t>
      </w:r>
      <w:r w:rsidR="00F07B8D" w:rsidRPr="00FA7706">
        <w:rPr>
          <w:lang w:val="en-GB"/>
        </w:rPr>
        <w:t>people</w:t>
      </w:r>
      <w:r w:rsidRPr="00FA7706">
        <w:rPr>
          <w:lang w:val="en-GB"/>
        </w:rPr>
        <w:t xml:space="preserve"> whose cancer started in the oral cavity may not be considered fit enough to </w:t>
      </w:r>
      <w:r w:rsidR="00950668" w:rsidRPr="00FA7706">
        <w:rPr>
          <w:lang w:val="en-GB"/>
        </w:rPr>
        <w:t xml:space="preserve">have </w:t>
      </w:r>
      <w:r w:rsidRPr="00FA7706">
        <w:rPr>
          <w:lang w:val="en-GB"/>
        </w:rPr>
        <w:t>cetuximab with platinum chemotherapy and 5-FU because of toxicity</w:t>
      </w:r>
      <w:r w:rsidR="00950668" w:rsidRPr="00FA7706">
        <w:rPr>
          <w:lang w:val="en-GB"/>
        </w:rPr>
        <w:t>. They’</w:t>
      </w:r>
      <w:r w:rsidRPr="00FA7706">
        <w:rPr>
          <w:lang w:val="en-GB"/>
        </w:rPr>
        <w:t xml:space="preserve">re offered platinum chemotherapy and 5-FU only. </w:t>
      </w:r>
      <w:r w:rsidR="00F07B8D" w:rsidRPr="00FA7706">
        <w:rPr>
          <w:lang w:val="en-GB"/>
        </w:rPr>
        <w:t>People</w:t>
      </w:r>
      <w:r w:rsidRPr="00FA7706">
        <w:rPr>
          <w:lang w:val="en-GB"/>
        </w:rPr>
        <w:t xml:space="preserve"> whose cancer started outside the oral cavity </w:t>
      </w:r>
      <w:r w:rsidR="00950668" w:rsidRPr="00FA7706">
        <w:rPr>
          <w:lang w:val="en-GB"/>
        </w:rPr>
        <w:t xml:space="preserve">are offered </w:t>
      </w:r>
      <w:r w:rsidRPr="00FA7706">
        <w:rPr>
          <w:lang w:val="en-GB"/>
        </w:rPr>
        <w:t>platinum chemotherapy and 5-FU. After cetuximab with platinum and 5-FU chemotherapy or platinum and 5-FU chemotherapy people may be offered either further platinum-based chemotherapy</w:t>
      </w:r>
      <w:r w:rsidR="00CD7F4F" w:rsidRPr="00FA7706">
        <w:rPr>
          <w:lang w:val="en-GB"/>
        </w:rPr>
        <w:t>,</w:t>
      </w:r>
      <w:r w:rsidRPr="00FA7706">
        <w:rPr>
          <w:lang w:val="en-GB"/>
        </w:rPr>
        <w:t xml:space="preserve"> or </w:t>
      </w:r>
      <w:r w:rsidR="00CD7F4F" w:rsidRPr="00FA7706">
        <w:rPr>
          <w:lang w:val="en-GB"/>
        </w:rPr>
        <w:t xml:space="preserve">nivolumab through the Cancer Drugs Fund (see </w:t>
      </w:r>
      <w:hyperlink r:id="rId12" w:history="1">
        <w:r w:rsidR="00CD7F4F" w:rsidRPr="00FA7706">
          <w:rPr>
            <w:rStyle w:val="Hyperlink"/>
            <w:lang w:val="en-GB"/>
          </w:rPr>
          <w:t>NICE's technology appraisal guidance on nivolumab for HNSCC</w:t>
        </w:r>
      </w:hyperlink>
      <w:r w:rsidR="00CD7F4F" w:rsidRPr="00FA7706">
        <w:rPr>
          <w:lang w:val="en-GB"/>
        </w:rPr>
        <w:t>)</w:t>
      </w:r>
      <w:r w:rsidRPr="00FA7706">
        <w:rPr>
          <w:lang w:val="en-GB"/>
        </w:rPr>
        <w:t xml:space="preserve">. People who are not well enough to have further treatment </w:t>
      </w:r>
      <w:r w:rsidR="00950668" w:rsidRPr="00FA7706">
        <w:rPr>
          <w:lang w:val="en-GB"/>
        </w:rPr>
        <w:t>are</w:t>
      </w:r>
      <w:r w:rsidRPr="00FA7706">
        <w:rPr>
          <w:lang w:val="en-GB"/>
        </w:rPr>
        <w:t xml:space="preserve"> offered best supportive care. The committee noted that the marketing authorisation for pembrolizumab monotherapy or </w:t>
      </w:r>
      <w:r w:rsidR="00950668" w:rsidRPr="00FA7706">
        <w:rPr>
          <w:lang w:val="en-GB"/>
        </w:rPr>
        <w:t>with</w:t>
      </w:r>
      <w:r w:rsidRPr="00FA7706">
        <w:rPr>
          <w:lang w:val="en-GB"/>
        </w:rPr>
        <w:t xml:space="preserve"> cetuximab and platinum chemotherapy and 5-FU was as a first</w:t>
      </w:r>
      <w:r w:rsidR="0099435B" w:rsidRPr="00FA7706">
        <w:rPr>
          <w:lang w:val="en-GB"/>
        </w:rPr>
        <w:t>-</w:t>
      </w:r>
      <w:r w:rsidRPr="00FA7706">
        <w:rPr>
          <w:lang w:val="en-GB"/>
        </w:rPr>
        <w:t xml:space="preserve">line treatment for recurrent or metastatic HNSCC but did not specify tumour location. The committee agreed that cetuximab </w:t>
      </w:r>
      <w:r w:rsidR="00950668" w:rsidRPr="00FA7706">
        <w:rPr>
          <w:lang w:val="en-GB"/>
        </w:rPr>
        <w:t>with</w:t>
      </w:r>
      <w:r w:rsidRPr="00FA7706">
        <w:rPr>
          <w:lang w:val="en-GB"/>
        </w:rPr>
        <w:t xml:space="preserve"> platinum and 5-FU chemotherapy was the relevant comparator for pembrolizumab for </w:t>
      </w:r>
      <w:r w:rsidR="00F07B8D" w:rsidRPr="00FA7706">
        <w:rPr>
          <w:lang w:val="en-GB"/>
        </w:rPr>
        <w:t>people</w:t>
      </w:r>
      <w:r w:rsidRPr="00FA7706">
        <w:rPr>
          <w:lang w:val="en-GB"/>
        </w:rPr>
        <w:t xml:space="preserve"> whose cancer started inside the oral cavity</w:t>
      </w:r>
      <w:r w:rsidR="00950668" w:rsidRPr="00FA7706">
        <w:rPr>
          <w:lang w:val="en-GB"/>
        </w:rPr>
        <w:t>.</w:t>
      </w:r>
      <w:r w:rsidRPr="00FA7706">
        <w:rPr>
          <w:lang w:val="en-GB"/>
        </w:rPr>
        <w:t xml:space="preserve"> </w:t>
      </w:r>
      <w:r w:rsidR="00950668" w:rsidRPr="00FA7706">
        <w:rPr>
          <w:lang w:val="en-GB"/>
        </w:rPr>
        <w:t>This is because</w:t>
      </w:r>
      <w:r w:rsidRPr="00FA7706">
        <w:rPr>
          <w:lang w:val="en-GB"/>
        </w:rPr>
        <w:t xml:space="preserve"> most people offered pembrolizumab are likely to have similar patient characteristics </w:t>
      </w:r>
      <w:r w:rsidR="00950668" w:rsidRPr="00FA7706">
        <w:rPr>
          <w:lang w:val="en-GB"/>
        </w:rPr>
        <w:t xml:space="preserve">to people </w:t>
      </w:r>
      <w:r w:rsidRPr="00FA7706">
        <w:rPr>
          <w:lang w:val="en-GB"/>
        </w:rPr>
        <w:t xml:space="preserve">offered the cetuximab combination, such as a good performance status. The committee also agreed that platinum chemotherapy and 5-FU was the relevant comparator for pembrolizumab for </w:t>
      </w:r>
      <w:r w:rsidR="00F07B8D" w:rsidRPr="00FA7706">
        <w:rPr>
          <w:lang w:val="en-GB"/>
        </w:rPr>
        <w:t>people</w:t>
      </w:r>
      <w:r w:rsidRPr="00FA7706">
        <w:rPr>
          <w:lang w:val="en-GB"/>
        </w:rPr>
        <w:t xml:space="preserve"> whose cancer started outside the oral cavity.</w:t>
      </w:r>
    </w:p>
    <w:p w14:paraId="2FCE6E2D" w14:textId="32C313DD" w:rsidR="007F4403" w:rsidRPr="00FA7706" w:rsidRDefault="007F4403" w:rsidP="00BE48D4">
      <w:pPr>
        <w:pStyle w:val="Heading2"/>
      </w:pPr>
      <w:r w:rsidRPr="00FA7706">
        <w:t>Clinical evidence</w:t>
      </w:r>
    </w:p>
    <w:p w14:paraId="00DDDB02" w14:textId="4ABA24AF" w:rsidR="007F4403" w:rsidRPr="00FA7706" w:rsidRDefault="00950668" w:rsidP="007F4403">
      <w:pPr>
        <w:pStyle w:val="Heading3"/>
      </w:pPr>
      <w:r w:rsidRPr="00FA7706">
        <w:t>People with PD-L1 positive CPS 1</w:t>
      </w:r>
      <w:r w:rsidR="00F05F4C" w:rsidRPr="00FA7706">
        <w:t xml:space="preserve"> or more</w:t>
      </w:r>
      <w:r w:rsidRPr="00FA7706">
        <w:t xml:space="preserve"> HNSCC who have p</w:t>
      </w:r>
      <w:r w:rsidR="007F4403" w:rsidRPr="00FA7706">
        <w:t xml:space="preserve">embrolizumab </w:t>
      </w:r>
      <w:r w:rsidRPr="00FA7706">
        <w:t xml:space="preserve">live longer than people who have </w:t>
      </w:r>
      <w:r w:rsidR="007F4403" w:rsidRPr="00FA7706">
        <w:t xml:space="preserve">cetuximab </w:t>
      </w:r>
      <w:r w:rsidRPr="00FA7706">
        <w:t>with</w:t>
      </w:r>
      <w:r w:rsidR="007F4403" w:rsidRPr="00FA7706">
        <w:t xml:space="preserve"> platinum </w:t>
      </w:r>
      <w:r w:rsidR="00377AF7" w:rsidRPr="00FA7706">
        <w:t xml:space="preserve">chemotherapy </w:t>
      </w:r>
      <w:r w:rsidR="007F4403" w:rsidRPr="00FA7706">
        <w:t>and 5-FU</w:t>
      </w:r>
    </w:p>
    <w:p w14:paraId="4082F087" w14:textId="21C60248" w:rsidR="007F4403" w:rsidRPr="00FA7706" w:rsidRDefault="007F4403" w:rsidP="007F4403">
      <w:pPr>
        <w:pStyle w:val="Numberedlevel2text"/>
        <w:numPr>
          <w:ilvl w:val="1"/>
          <w:numId w:val="1"/>
        </w:numPr>
        <w:rPr>
          <w:lang w:val="en-GB"/>
        </w:rPr>
      </w:pPr>
      <w:r w:rsidRPr="00FA7706">
        <w:rPr>
          <w:lang w:val="en-GB"/>
        </w:rPr>
        <w:t xml:space="preserve">The clinical evidence for pembrolizumab came from the ongoing KEYNOTE-048 randomised controlled trial. </w:t>
      </w:r>
      <w:r w:rsidR="00F07B8D" w:rsidRPr="00FA7706">
        <w:rPr>
          <w:lang w:val="en-GB"/>
        </w:rPr>
        <w:t>People</w:t>
      </w:r>
      <w:r w:rsidRPr="00FA7706">
        <w:rPr>
          <w:lang w:val="en-GB"/>
        </w:rPr>
        <w:t xml:space="preserve"> in the trial had recurrent or metastatic HNSCC</w:t>
      </w:r>
      <w:r w:rsidR="00F05F4C" w:rsidRPr="00FA7706">
        <w:rPr>
          <w:lang w:val="en-GB"/>
        </w:rPr>
        <w:t xml:space="preserve"> and</w:t>
      </w:r>
      <w:r w:rsidRPr="00FA7706">
        <w:rPr>
          <w:lang w:val="en-GB"/>
        </w:rPr>
        <w:t xml:space="preserve"> were randomised to receive pembrolizumab monotherapy (n=301), pembrolizumab </w:t>
      </w:r>
      <w:r w:rsidR="00950668" w:rsidRPr="00FA7706">
        <w:rPr>
          <w:lang w:val="en-GB"/>
        </w:rPr>
        <w:t>with</w:t>
      </w:r>
      <w:r w:rsidRPr="00FA7706">
        <w:rPr>
          <w:lang w:val="en-GB"/>
        </w:rPr>
        <w:t xml:space="preserve"> platinum</w:t>
      </w:r>
      <w:r w:rsidR="00AD73E1" w:rsidRPr="00FA7706">
        <w:rPr>
          <w:lang w:val="en-GB"/>
        </w:rPr>
        <w:t xml:space="preserve"> </w:t>
      </w:r>
      <w:r w:rsidR="00AD73E1" w:rsidRPr="00FA7706">
        <w:rPr>
          <w:lang w:val="en-GB"/>
        </w:rPr>
        <w:lastRenderedPageBreak/>
        <w:t>chemotherapy</w:t>
      </w:r>
      <w:r w:rsidRPr="00FA7706">
        <w:rPr>
          <w:lang w:val="en-GB"/>
        </w:rPr>
        <w:t xml:space="preserve"> and 5-FU</w:t>
      </w:r>
      <w:r w:rsidR="00F05F4C" w:rsidRPr="00FA7706">
        <w:rPr>
          <w:lang w:val="en-GB"/>
        </w:rPr>
        <w:t xml:space="preserve"> </w:t>
      </w:r>
      <w:r w:rsidRPr="00FA7706">
        <w:rPr>
          <w:lang w:val="en-GB"/>
        </w:rPr>
        <w:t xml:space="preserve">(n=281) or cetuximab </w:t>
      </w:r>
      <w:r w:rsidR="00950668" w:rsidRPr="00FA7706">
        <w:rPr>
          <w:lang w:val="en-GB"/>
        </w:rPr>
        <w:t>with</w:t>
      </w:r>
      <w:r w:rsidRPr="00FA7706">
        <w:rPr>
          <w:lang w:val="en-GB"/>
        </w:rPr>
        <w:t xml:space="preserve"> platinum </w:t>
      </w:r>
      <w:r w:rsidR="00AD73E1" w:rsidRPr="00FA7706">
        <w:rPr>
          <w:lang w:val="en-GB"/>
        </w:rPr>
        <w:t xml:space="preserve">chemotherapy </w:t>
      </w:r>
      <w:r w:rsidRPr="00FA7706">
        <w:rPr>
          <w:lang w:val="en-GB"/>
        </w:rPr>
        <w:t>and 5-FU</w:t>
      </w:r>
      <w:r w:rsidR="00976597" w:rsidRPr="00FA7706">
        <w:rPr>
          <w:lang w:val="en-GB"/>
        </w:rPr>
        <w:t xml:space="preserve"> (n=300)</w:t>
      </w:r>
      <w:r w:rsidRPr="00FA7706">
        <w:rPr>
          <w:lang w:val="en-GB"/>
        </w:rPr>
        <w:t xml:space="preserve">. </w:t>
      </w:r>
      <w:r w:rsidR="00F05F4C" w:rsidRPr="00FA7706">
        <w:rPr>
          <w:lang w:val="en-GB"/>
        </w:rPr>
        <w:t xml:space="preserve">After </w:t>
      </w:r>
      <w:r w:rsidRPr="00FA7706">
        <w:rPr>
          <w:lang w:val="en-GB"/>
        </w:rPr>
        <w:t xml:space="preserve">disease progression </w:t>
      </w:r>
      <w:r w:rsidR="00F07B8D" w:rsidRPr="00FA7706">
        <w:rPr>
          <w:lang w:val="en-GB"/>
        </w:rPr>
        <w:t>people</w:t>
      </w:r>
      <w:r w:rsidRPr="00FA7706">
        <w:rPr>
          <w:lang w:val="en-GB"/>
        </w:rPr>
        <w:t xml:space="preserve"> were </w:t>
      </w:r>
      <w:r w:rsidR="00F05F4C" w:rsidRPr="00FA7706">
        <w:rPr>
          <w:lang w:val="en-GB"/>
        </w:rPr>
        <w:t>able to have further treatment</w:t>
      </w:r>
      <w:r w:rsidRPr="00FA7706">
        <w:rPr>
          <w:lang w:val="en-GB"/>
        </w:rPr>
        <w:t xml:space="preserve">, including the anti-PD-L1 </w:t>
      </w:r>
      <w:r w:rsidR="00F05F4C" w:rsidRPr="00FA7706">
        <w:rPr>
          <w:lang w:val="en-GB"/>
        </w:rPr>
        <w:t>drug</w:t>
      </w:r>
      <w:r w:rsidRPr="00FA7706">
        <w:rPr>
          <w:lang w:val="en-GB"/>
        </w:rPr>
        <w:t xml:space="preserve"> nivolumab. The population in the marketing authorisation is adults whose tumours express PD-L1 with a CPS </w:t>
      </w:r>
      <w:r w:rsidR="00F05F4C" w:rsidRPr="00FA7706">
        <w:rPr>
          <w:lang w:val="en-GB"/>
        </w:rPr>
        <w:t xml:space="preserve">of </w:t>
      </w:r>
      <w:r w:rsidRPr="00FA7706">
        <w:rPr>
          <w:lang w:val="en-GB"/>
        </w:rPr>
        <w:t>1</w:t>
      </w:r>
      <w:r w:rsidR="00F05F4C" w:rsidRPr="00FA7706">
        <w:rPr>
          <w:lang w:val="en-GB"/>
        </w:rPr>
        <w:t xml:space="preserve"> or more.</w:t>
      </w:r>
      <w:r w:rsidRPr="00FA7706">
        <w:rPr>
          <w:lang w:val="en-GB"/>
        </w:rPr>
        <w:t xml:space="preserve"> </w:t>
      </w:r>
      <w:r w:rsidR="00F05F4C" w:rsidRPr="00FA7706">
        <w:rPr>
          <w:lang w:val="en-GB"/>
        </w:rPr>
        <w:t>T</w:t>
      </w:r>
      <w:r w:rsidRPr="00FA7706">
        <w:rPr>
          <w:lang w:val="en-GB"/>
        </w:rPr>
        <w:t>his was based on a prespecified subgroup analysis of KEYNOTE</w:t>
      </w:r>
      <w:r w:rsidR="00F05F4C" w:rsidRPr="00FA7706">
        <w:rPr>
          <w:lang w:val="en-GB"/>
        </w:rPr>
        <w:noBreakHyphen/>
      </w:r>
      <w:r w:rsidRPr="00FA7706">
        <w:rPr>
          <w:lang w:val="en-GB"/>
        </w:rPr>
        <w:t xml:space="preserve">048. </w:t>
      </w:r>
      <w:r w:rsidR="00F05F4C" w:rsidRPr="00FA7706">
        <w:rPr>
          <w:lang w:val="en-GB"/>
        </w:rPr>
        <w:t>Because</w:t>
      </w:r>
      <w:r w:rsidRPr="00FA7706">
        <w:rPr>
          <w:lang w:val="en-GB"/>
        </w:rPr>
        <w:t xml:space="preserve"> nivolumab is only available in the NHS through the Cancer Drugs Fund it cannot be considered as a comparator in the appraisal</w:t>
      </w:r>
      <w:r w:rsidR="00F05F4C" w:rsidRPr="00FA7706">
        <w:rPr>
          <w:lang w:val="en-GB"/>
        </w:rPr>
        <w:t xml:space="preserve">. </w:t>
      </w:r>
      <w:r w:rsidR="009620D8" w:rsidRPr="00FA7706">
        <w:rPr>
          <w:lang w:val="en-GB"/>
        </w:rPr>
        <w:t>So,</w:t>
      </w:r>
      <w:r w:rsidRPr="00FA7706">
        <w:rPr>
          <w:lang w:val="en-GB"/>
        </w:rPr>
        <w:t xml:space="preserve"> the company adjusted the overall survival data to account for this by using the simplified 2-stage method. Analysis of KEYNOTE-048 </w:t>
      </w:r>
      <w:r w:rsidR="00196ABF" w:rsidRPr="00FA7706">
        <w:rPr>
          <w:lang w:val="en-GB"/>
        </w:rPr>
        <w:t xml:space="preserve">data </w:t>
      </w:r>
      <w:r w:rsidRPr="00FA7706">
        <w:rPr>
          <w:lang w:val="en-GB"/>
        </w:rPr>
        <w:t xml:space="preserve">showed that pembrolizumab (monotherapy and in combination) extended overall survival compared with cetuximab </w:t>
      </w:r>
      <w:r w:rsidR="00950668" w:rsidRPr="00FA7706">
        <w:rPr>
          <w:lang w:val="en-GB"/>
        </w:rPr>
        <w:t>with</w:t>
      </w:r>
      <w:r w:rsidRPr="00FA7706">
        <w:rPr>
          <w:lang w:val="en-GB"/>
        </w:rPr>
        <w:t xml:space="preserve"> platinum</w:t>
      </w:r>
      <w:r w:rsidR="00AD73E1" w:rsidRPr="00FA7706">
        <w:rPr>
          <w:lang w:val="en-GB"/>
        </w:rPr>
        <w:t xml:space="preserve"> chemotherapy</w:t>
      </w:r>
      <w:r w:rsidRPr="00FA7706">
        <w:rPr>
          <w:lang w:val="en-GB"/>
        </w:rPr>
        <w:t xml:space="preserve"> and 5-FU for the PD-L1 CPS</w:t>
      </w:r>
      <w:r w:rsidR="00E81EC5">
        <w:rPr>
          <w:lang w:val="en-GB"/>
        </w:rPr>
        <w:t> </w:t>
      </w:r>
      <w:r w:rsidRPr="00FA7706">
        <w:rPr>
          <w:lang w:val="en-GB"/>
        </w:rPr>
        <w:t>1</w:t>
      </w:r>
      <w:r w:rsidR="00F05F4C" w:rsidRPr="00FA7706">
        <w:rPr>
          <w:lang w:val="en-GB"/>
        </w:rPr>
        <w:t xml:space="preserve"> or more</w:t>
      </w:r>
      <w:r w:rsidRPr="00FA7706">
        <w:rPr>
          <w:lang w:val="en-GB"/>
        </w:rPr>
        <w:t xml:space="preserve"> subgroup population</w:t>
      </w:r>
      <w:r w:rsidR="00A7466A" w:rsidRPr="00FA7706">
        <w:rPr>
          <w:lang w:val="en-GB"/>
        </w:rPr>
        <w:t xml:space="preserve"> with recurrent or metastatic HNSCC.</w:t>
      </w:r>
      <w:r w:rsidRPr="00FA7706">
        <w:rPr>
          <w:lang w:val="en-GB"/>
        </w:rPr>
        <w:t xml:space="preserve"> This produced a hazard ratio of 0.71 (95% </w:t>
      </w:r>
      <w:r w:rsidR="00F05F4C" w:rsidRPr="00FA7706">
        <w:rPr>
          <w:lang w:val="en-GB"/>
        </w:rPr>
        <w:t>confidence interval [</w:t>
      </w:r>
      <w:r w:rsidRPr="00FA7706">
        <w:rPr>
          <w:lang w:val="en-GB"/>
        </w:rPr>
        <w:t>CI</w:t>
      </w:r>
      <w:r w:rsidR="00CC5C13" w:rsidRPr="00FA7706">
        <w:rPr>
          <w:lang w:val="en-GB"/>
        </w:rPr>
        <w:t>]</w:t>
      </w:r>
      <w:r w:rsidR="00C37DD6" w:rsidRPr="00FA7706">
        <w:rPr>
          <w:lang w:val="en-GB"/>
        </w:rPr>
        <w:t>:</w:t>
      </w:r>
      <w:r w:rsidRPr="00FA7706">
        <w:rPr>
          <w:lang w:val="en-GB"/>
        </w:rPr>
        <w:t xml:space="preserve"> 0.57 to 0.89; p=0.0027) for pembrolizumab monotherapy and 0.62 (</w:t>
      </w:r>
      <w:r w:rsidR="00C37DD6" w:rsidRPr="00FA7706">
        <w:rPr>
          <w:lang w:val="en-GB"/>
        </w:rPr>
        <w:t xml:space="preserve">95% CI: </w:t>
      </w:r>
      <w:r w:rsidRPr="00FA7706">
        <w:rPr>
          <w:lang w:val="en-GB"/>
        </w:rPr>
        <w:t xml:space="preserve">0.50 to 0.78; p&lt;0.0001) for pembrolizumab </w:t>
      </w:r>
      <w:r w:rsidR="00950668" w:rsidRPr="00FA7706">
        <w:rPr>
          <w:lang w:val="en-GB"/>
        </w:rPr>
        <w:t>with</w:t>
      </w:r>
      <w:r w:rsidRPr="00FA7706">
        <w:rPr>
          <w:lang w:val="en-GB"/>
        </w:rPr>
        <w:t xml:space="preserve"> platinum </w:t>
      </w:r>
      <w:r w:rsidR="00A7466A" w:rsidRPr="00FA7706">
        <w:rPr>
          <w:lang w:val="en-GB"/>
        </w:rPr>
        <w:t xml:space="preserve">chemotherapy </w:t>
      </w:r>
      <w:r w:rsidRPr="00FA7706">
        <w:rPr>
          <w:lang w:val="en-GB"/>
        </w:rPr>
        <w:t>and 5</w:t>
      </w:r>
      <w:r w:rsidR="00E81EC5">
        <w:rPr>
          <w:lang w:val="en-GB"/>
        </w:rPr>
        <w:noBreakHyphen/>
      </w:r>
      <w:r w:rsidRPr="00FA7706">
        <w:rPr>
          <w:lang w:val="en-GB"/>
        </w:rPr>
        <w:t xml:space="preserve">FU. The committee noted that the results showed a statistically significant difference in overall survival at 18 months and concluded that pembrolizumab (monotherapy or in combination) compared with cetuximab </w:t>
      </w:r>
      <w:r w:rsidR="00950668" w:rsidRPr="00FA7706">
        <w:rPr>
          <w:lang w:val="en-GB"/>
        </w:rPr>
        <w:t>with</w:t>
      </w:r>
      <w:r w:rsidRPr="00FA7706">
        <w:rPr>
          <w:lang w:val="en-GB"/>
        </w:rPr>
        <w:t xml:space="preserve"> platinum chemotherapy and 5-FU improved overall survival in the PD-L1 CPS </w:t>
      </w:r>
      <w:r w:rsidR="00F05F4C" w:rsidRPr="00FA7706">
        <w:rPr>
          <w:lang w:val="en-GB"/>
        </w:rPr>
        <w:t>1 or more</w:t>
      </w:r>
      <w:r w:rsidRPr="00FA7706">
        <w:rPr>
          <w:lang w:val="en-GB"/>
        </w:rPr>
        <w:t xml:space="preserve"> subgroup of KEYNOTE-048.</w:t>
      </w:r>
    </w:p>
    <w:p w14:paraId="0B8BC1C3" w14:textId="152D9CF1" w:rsidR="007F4403" w:rsidRPr="00FA7706" w:rsidRDefault="001461CE" w:rsidP="00BE48D4">
      <w:pPr>
        <w:pStyle w:val="Heading3"/>
      </w:pPr>
      <w:r w:rsidRPr="00FA7706">
        <w:t>The KEYNOTE-48</w:t>
      </w:r>
      <w:r w:rsidR="007F4403" w:rsidRPr="00FA7706">
        <w:t xml:space="preserve"> </w:t>
      </w:r>
      <w:r w:rsidRPr="00FA7706">
        <w:t xml:space="preserve">clinical trial </w:t>
      </w:r>
      <w:r w:rsidR="007F4403" w:rsidRPr="00FA7706">
        <w:t>is not wholly applicable to clinical practice in England</w:t>
      </w:r>
    </w:p>
    <w:p w14:paraId="0699CA58" w14:textId="159329D5" w:rsidR="007F4403" w:rsidRPr="00FA7706" w:rsidRDefault="00A369D2" w:rsidP="007F4403">
      <w:pPr>
        <w:pStyle w:val="Numberedlevel2text"/>
        <w:rPr>
          <w:lang w:val="en-GB"/>
        </w:rPr>
      </w:pPr>
      <w:r w:rsidRPr="00FA7706">
        <w:rPr>
          <w:lang w:val="en-GB"/>
        </w:rPr>
        <w:t>Peop</w:t>
      </w:r>
      <w:r w:rsidR="00480317" w:rsidRPr="00FA7706">
        <w:rPr>
          <w:lang w:val="en-GB"/>
        </w:rPr>
        <w:t>l</w:t>
      </w:r>
      <w:r w:rsidRPr="00FA7706">
        <w:rPr>
          <w:lang w:val="en-GB"/>
        </w:rPr>
        <w:t>e included in KEYNOTE-48 had</w:t>
      </w:r>
      <w:r w:rsidR="007F4403" w:rsidRPr="00FA7706">
        <w:rPr>
          <w:lang w:val="en-GB"/>
        </w:rPr>
        <w:t xml:space="preserve"> an Eastern Cooperative Oncology Group (ECOG) performance score of 0 or 1</w:t>
      </w:r>
      <w:r w:rsidRPr="00FA7706">
        <w:rPr>
          <w:lang w:val="en-GB"/>
        </w:rPr>
        <w:t>.</w:t>
      </w:r>
      <w:r w:rsidR="007F4403" w:rsidRPr="00FA7706">
        <w:rPr>
          <w:lang w:val="en-GB"/>
        </w:rPr>
        <w:t xml:space="preserve"> </w:t>
      </w:r>
      <w:r w:rsidRPr="00FA7706">
        <w:rPr>
          <w:lang w:val="en-GB"/>
        </w:rPr>
        <w:t xml:space="preserve">They </w:t>
      </w:r>
      <w:r w:rsidR="007F4403" w:rsidRPr="00FA7706">
        <w:rPr>
          <w:lang w:val="en-GB"/>
        </w:rPr>
        <w:t xml:space="preserve">may be in better health than people with recurrent or metastatic HNSCC in the NHS. </w:t>
      </w:r>
      <w:r w:rsidRPr="00FA7706">
        <w:rPr>
          <w:lang w:val="en-GB"/>
        </w:rPr>
        <w:t>I</w:t>
      </w:r>
      <w:r w:rsidR="007F4403" w:rsidRPr="00FA7706">
        <w:rPr>
          <w:lang w:val="en-GB"/>
        </w:rPr>
        <w:t xml:space="preserve">n the comparator arm of KEYNOTE-048, only 31% of </w:t>
      </w:r>
      <w:r w:rsidR="00F07B8D" w:rsidRPr="00FA7706">
        <w:rPr>
          <w:lang w:val="en-GB"/>
        </w:rPr>
        <w:t>people</w:t>
      </w:r>
      <w:r w:rsidR="007F4403" w:rsidRPr="00FA7706">
        <w:rPr>
          <w:lang w:val="en-GB"/>
        </w:rPr>
        <w:t xml:space="preserve"> had cancer that started in the oral cavity</w:t>
      </w:r>
      <w:r w:rsidRPr="00FA7706">
        <w:rPr>
          <w:lang w:val="en-GB"/>
        </w:rPr>
        <w:t>.</w:t>
      </w:r>
      <w:r w:rsidR="007F4403" w:rsidRPr="00FA7706">
        <w:rPr>
          <w:lang w:val="en-GB"/>
        </w:rPr>
        <w:t xml:space="preserve"> </w:t>
      </w:r>
      <w:r w:rsidR="00480317" w:rsidRPr="00FA7706">
        <w:rPr>
          <w:lang w:val="en-GB"/>
        </w:rPr>
        <w:t xml:space="preserve">The </w:t>
      </w:r>
      <w:r w:rsidR="007F4403" w:rsidRPr="00FA7706">
        <w:rPr>
          <w:lang w:val="en-GB"/>
        </w:rPr>
        <w:t xml:space="preserve">69% of </w:t>
      </w:r>
      <w:r w:rsidR="00F07B8D" w:rsidRPr="00FA7706">
        <w:rPr>
          <w:lang w:val="en-GB"/>
        </w:rPr>
        <w:t>people</w:t>
      </w:r>
      <w:r w:rsidR="007F4403" w:rsidRPr="00FA7706">
        <w:rPr>
          <w:lang w:val="en-GB"/>
        </w:rPr>
        <w:t xml:space="preserve"> </w:t>
      </w:r>
      <w:r w:rsidR="00480317" w:rsidRPr="00FA7706">
        <w:rPr>
          <w:lang w:val="en-GB"/>
        </w:rPr>
        <w:t xml:space="preserve">whose cancer had started outside the oral cavity </w:t>
      </w:r>
      <w:r w:rsidRPr="00FA7706">
        <w:rPr>
          <w:lang w:val="en-GB"/>
        </w:rPr>
        <w:t>had</w:t>
      </w:r>
      <w:r w:rsidR="007F4403" w:rsidRPr="00FA7706">
        <w:rPr>
          <w:lang w:val="en-GB"/>
        </w:rPr>
        <w:t xml:space="preserve"> treatment that is not standard care in the NHS</w:t>
      </w:r>
      <w:r w:rsidRPr="00FA7706">
        <w:rPr>
          <w:lang w:val="en-GB"/>
        </w:rPr>
        <w:t>:</w:t>
      </w:r>
      <w:r w:rsidR="007F4403" w:rsidRPr="00FA7706">
        <w:rPr>
          <w:lang w:val="en-GB"/>
        </w:rPr>
        <w:t xml:space="preserve"> cetuximab </w:t>
      </w:r>
      <w:r w:rsidR="00950668" w:rsidRPr="00FA7706">
        <w:rPr>
          <w:lang w:val="en-GB"/>
        </w:rPr>
        <w:t>with</w:t>
      </w:r>
      <w:r w:rsidR="007F4403" w:rsidRPr="00FA7706">
        <w:rPr>
          <w:lang w:val="en-GB"/>
        </w:rPr>
        <w:t xml:space="preserve"> platinum and 5-FU</w:t>
      </w:r>
      <w:r w:rsidRPr="00FA7706">
        <w:rPr>
          <w:lang w:val="en-GB"/>
        </w:rPr>
        <w:t>. In the NHS</w:t>
      </w:r>
      <w:r w:rsidR="00377AF7" w:rsidRPr="00FA7706">
        <w:rPr>
          <w:lang w:val="en-GB"/>
        </w:rPr>
        <w:t xml:space="preserve"> in England</w:t>
      </w:r>
      <w:r w:rsidRPr="00FA7706">
        <w:rPr>
          <w:lang w:val="en-GB"/>
        </w:rPr>
        <w:t>, these people are offered</w:t>
      </w:r>
      <w:r w:rsidR="007F4403" w:rsidRPr="00FA7706">
        <w:rPr>
          <w:lang w:val="en-GB"/>
        </w:rPr>
        <w:t xml:space="preserve"> platinum chemotherapy and 5-FU </w:t>
      </w:r>
      <w:r w:rsidRPr="00FA7706">
        <w:rPr>
          <w:lang w:val="en-GB"/>
        </w:rPr>
        <w:t>(</w:t>
      </w:r>
      <w:r w:rsidR="007F4403" w:rsidRPr="00FA7706">
        <w:rPr>
          <w:lang w:val="en-GB"/>
        </w:rPr>
        <w:t xml:space="preserve">see section 3.3). </w:t>
      </w:r>
      <w:r w:rsidR="00204F93" w:rsidRPr="00FA7706">
        <w:rPr>
          <w:lang w:val="en-GB"/>
        </w:rPr>
        <w:t xml:space="preserve">The committee agreed that it was not clear what effect this would have on the </w:t>
      </w:r>
      <w:r w:rsidR="00204F93" w:rsidRPr="00FA7706">
        <w:rPr>
          <w:lang w:val="en-GB"/>
        </w:rPr>
        <w:lastRenderedPageBreak/>
        <w:t xml:space="preserve">relative effectiveness of pembrolizumab monotherapy or combination therapy in </w:t>
      </w:r>
      <w:r w:rsidR="002E1578" w:rsidRPr="00FA7706">
        <w:rPr>
          <w:lang w:val="en-GB"/>
        </w:rPr>
        <w:t xml:space="preserve">the whole PD-L1 CPS 1 or more population in the trial. </w:t>
      </w:r>
      <w:r w:rsidR="007F4403" w:rsidRPr="00FA7706">
        <w:rPr>
          <w:lang w:val="en-GB"/>
        </w:rPr>
        <w:t>The committee recognised that KEYNOTE-048 was a well</w:t>
      </w:r>
      <w:r w:rsidR="00E81EC5">
        <w:rPr>
          <w:lang w:val="en-GB"/>
        </w:rPr>
        <w:t>-</w:t>
      </w:r>
      <w:r w:rsidR="007F4403" w:rsidRPr="00FA7706">
        <w:rPr>
          <w:lang w:val="en-GB"/>
        </w:rPr>
        <w:t>conducted trial and was the best available evidence for pembrolizumab</w:t>
      </w:r>
      <w:r w:rsidR="00E81EC5">
        <w:rPr>
          <w:lang w:val="en-GB"/>
        </w:rPr>
        <w:t>.</w:t>
      </w:r>
      <w:r w:rsidR="007F4403" w:rsidRPr="00FA7706">
        <w:rPr>
          <w:lang w:val="en-GB"/>
        </w:rPr>
        <w:t xml:space="preserve"> </w:t>
      </w:r>
      <w:r w:rsidR="00E81EC5">
        <w:rPr>
          <w:lang w:val="en-GB"/>
        </w:rPr>
        <w:t>B</w:t>
      </w:r>
      <w:r w:rsidR="007F4403" w:rsidRPr="00FA7706">
        <w:rPr>
          <w:lang w:val="en-GB"/>
        </w:rPr>
        <w:t>ut</w:t>
      </w:r>
      <w:r w:rsidR="00E81EC5">
        <w:rPr>
          <w:lang w:val="en-GB"/>
        </w:rPr>
        <w:t xml:space="preserve"> it</w:t>
      </w:r>
      <w:r w:rsidR="007F4403" w:rsidRPr="00FA7706">
        <w:rPr>
          <w:lang w:val="en-GB"/>
        </w:rPr>
        <w:t xml:space="preserve"> concluded that </w:t>
      </w:r>
      <w:r w:rsidR="00F06988" w:rsidRPr="00FA7706">
        <w:rPr>
          <w:lang w:val="en-GB"/>
        </w:rPr>
        <w:t xml:space="preserve">the results of the trial </w:t>
      </w:r>
      <w:r w:rsidR="00F66D5F" w:rsidRPr="00FA7706">
        <w:rPr>
          <w:lang w:val="en-GB"/>
        </w:rPr>
        <w:t>may not be</w:t>
      </w:r>
      <w:r w:rsidR="00F06988" w:rsidRPr="00FA7706">
        <w:rPr>
          <w:lang w:val="en-GB"/>
        </w:rPr>
        <w:t xml:space="preserve"> generalisable to clinical practice</w:t>
      </w:r>
      <w:r w:rsidR="00E81EC5">
        <w:rPr>
          <w:lang w:val="en-GB"/>
        </w:rPr>
        <w:t xml:space="preserve"> </w:t>
      </w:r>
      <w:r w:rsidR="00974B02" w:rsidRPr="00FA7706">
        <w:rPr>
          <w:lang w:val="en-GB"/>
        </w:rPr>
        <w:t>because</w:t>
      </w:r>
      <w:r w:rsidR="00F06988" w:rsidRPr="00FA7706">
        <w:rPr>
          <w:lang w:val="en-GB"/>
        </w:rPr>
        <w:t xml:space="preserve"> </w:t>
      </w:r>
      <w:r w:rsidR="00097337" w:rsidRPr="00FA7706">
        <w:rPr>
          <w:lang w:val="en-GB"/>
        </w:rPr>
        <w:t>the trial</w:t>
      </w:r>
      <w:r w:rsidR="007F4403" w:rsidRPr="00FA7706">
        <w:rPr>
          <w:lang w:val="en-GB"/>
        </w:rPr>
        <w:t xml:space="preserve"> was not wholly applicable to current clinical practice in England.</w:t>
      </w:r>
    </w:p>
    <w:p w14:paraId="02C2CC98" w14:textId="584CF6EA" w:rsidR="007F4403" w:rsidRPr="00FA7706" w:rsidRDefault="00957255" w:rsidP="007F4403">
      <w:pPr>
        <w:pStyle w:val="Heading3"/>
      </w:pPr>
      <w:r w:rsidRPr="00FA7706">
        <w:t xml:space="preserve">Pembrolizumab’s </w:t>
      </w:r>
      <w:r w:rsidR="007F4403" w:rsidRPr="00FA7706">
        <w:t>clinical effectiveness in cancer start</w:t>
      </w:r>
      <w:r w:rsidRPr="00FA7706">
        <w:t>ing</w:t>
      </w:r>
      <w:r w:rsidR="007F4403" w:rsidRPr="00FA7706">
        <w:t xml:space="preserve"> inside the oral cavity</w:t>
      </w:r>
      <w:r w:rsidRPr="00FA7706">
        <w:t xml:space="preserve"> </w:t>
      </w:r>
      <w:r w:rsidR="00E87655" w:rsidRPr="00FA7706">
        <w:t>and in</w:t>
      </w:r>
      <w:r w:rsidRPr="00FA7706">
        <w:t xml:space="preserve"> </w:t>
      </w:r>
      <w:r w:rsidR="007F4403" w:rsidRPr="00FA7706">
        <w:t>cancer start</w:t>
      </w:r>
      <w:r w:rsidRPr="00FA7706">
        <w:t>ing</w:t>
      </w:r>
      <w:r w:rsidR="007F4403" w:rsidRPr="00FA7706">
        <w:t xml:space="preserve"> outside is unclear</w:t>
      </w:r>
    </w:p>
    <w:p w14:paraId="21A72A0A" w14:textId="133E7A6E" w:rsidR="007F4403" w:rsidRPr="00FA7706" w:rsidRDefault="007F4403" w:rsidP="00157812">
      <w:pPr>
        <w:pStyle w:val="Numberedlevel2text"/>
        <w:rPr>
          <w:lang w:val="en-GB"/>
        </w:rPr>
      </w:pPr>
      <w:r w:rsidRPr="00FA7706">
        <w:rPr>
          <w:lang w:val="en-GB"/>
        </w:rPr>
        <w:t>The committee agreed that</w:t>
      </w:r>
      <w:r w:rsidR="00624326" w:rsidRPr="00FA7706">
        <w:rPr>
          <w:lang w:val="en-GB"/>
        </w:rPr>
        <w:t>,</w:t>
      </w:r>
      <w:r w:rsidR="00D118C7" w:rsidRPr="00FA7706">
        <w:rPr>
          <w:lang w:val="en-GB"/>
        </w:rPr>
        <w:t xml:space="preserve"> </w:t>
      </w:r>
      <w:r w:rsidR="009F68E2" w:rsidRPr="00FA7706">
        <w:rPr>
          <w:lang w:val="en-GB"/>
        </w:rPr>
        <w:t xml:space="preserve">because </w:t>
      </w:r>
      <w:r w:rsidR="00E87655" w:rsidRPr="00FA7706">
        <w:rPr>
          <w:lang w:val="en-GB"/>
        </w:rPr>
        <w:t>current treatment options are different for cancer that started inside or outside the oral cavity</w:t>
      </w:r>
      <w:r w:rsidR="0073387A" w:rsidRPr="00FA7706">
        <w:rPr>
          <w:lang w:val="en-GB"/>
        </w:rPr>
        <w:t xml:space="preserve"> </w:t>
      </w:r>
      <w:r w:rsidRPr="00FA7706">
        <w:rPr>
          <w:lang w:val="en-GB"/>
        </w:rPr>
        <w:t xml:space="preserve">in </w:t>
      </w:r>
      <w:r w:rsidR="00624326" w:rsidRPr="00FA7706">
        <w:rPr>
          <w:lang w:val="en-GB"/>
        </w:rPr>
        <w:t xml:space="preserve">the NHS </w:t>
      </w:r>
      <w:r w:rsidRPr="00FA7706">
        <w:rPr>
          <w:lang w:val="en-GB"/>
        </w:rPr>
        <w:t xml:space="preserve">in England (see section 3.3), it was appropriate to consider the clinical effectiveness of pembrolizumab </w:t>
      </w:r>
      <w:r w:rsidR="00624326" w:rsidRPr="00FA7706">
        <w:rPr>
          <w:lang w:val="en-GB"/>
        </w:rPr>
        <w:t>in the 2 population subgroups:</w:t>
      </w:r>
      <w:r w:rsidRPr="00FA7706">
        <w:rPr>
          <w:lang w:val="en-GB"/>
        </w:rPr>
        <w:t xml:space="preserve"> cancer start</w:t>
      </w:r>
      <w:r w:rsidR="00C759D4">
        <w:rPr>
          <w:lang w:val="en-GB"/>
        </w:rPr>
        <w:t>ing</w:t>
      </w:r>
      <w:r w:rsidRPr="00FA7706">
        <w:rPr>
          <w:lang w:val="en-GB"/>
        </w:rPr>
        <w:t xml:space="preserve"> </w:t>
      </w:r>
      <w:r w:rsidR="00175B2B" w:rsidRPr="00FA7706">
        <w:rPr>
          <w:lang w:val="en-GB"/>
        </w:rPr>
        <w:t>inside or outside</w:t>
      </w:r>
      <w:r w:rsidR="00624326" w:rsidRPr="00FA7706">
        <w:rPr>
          <w:lang w:val="en-GB"/>
        </w:rPr>
        <w:t xml:space="preserve"> </w:t>
      </w:r>
      <w:r w:rsidRPr="00FA7706">
        <w:rPr>
          <w:lang w:val="en-GB"/>
        </w:rPr>
        <w:t xml:space="preserve">the oral cavity. The company had provided overall survival results from KEYNOTE-048 for the subgroup of </w:t>
      </w:r>
      <w:r w:rsidR="00F07B8D" w:rsidRPr="00FA7706">
        <w:rPr>
          <w:lang w:val="en-GB"/>
        </w:rPr>
        <w:t>people</w:t>
      </w:r>
      <w:r w:rsidRPr="00FA7706">
        <w:rPr>
          <w:lang w:val="en-GB"/>
        </w:rPr>
        <w:t xml:space="preserve"> whose cancer started inside the oral cavity (these results are confidential and therefore cannot be reported here). The </w:t>
      </w:r>
      <w:r w:rsidR="00F66D5F" w:rsidRPr="00FA7706">
        <w:rPr>
          <w:lang w:val="en-GB"/>
        </w:rPr>
        <w:t xml:space="preserve">committee heard from the </w:t>
      </w:r>
      <w:r w:rsidRPr="00FA7706">
        <w:rPr>
          <w:lang w:val="en-GB"/>
        </w:rPr>
        <w:t xml:space="preserve">company that </w:t>
      </w:r>
      <w:r w:rsidR="00A7466A" w:rsidRPr="00FA7706">
        <w:rPr>
          <w:lang w:val="en-GB"/>
        </w:rPr>
        <w:t xml:space="preserve">the </w:t>
      </w:r>
      <w:r w:rsidRPr="00FA7706">
        <w:rPr>
          <w:lang w:val="en-GB"/>
        </w:rPr>
        <w:t xml:space="preserve">analysis of this subgroup should be viewed with caution </w:t>
      </w:r>
      <w:r w:rsidR="00DB54CA" w:rsidRPr="00FA7706">
        <w:rPr>
          <w:lang w:val="en-GB"/>
        </w:rPr>
        <w:t xml:space="preserve">because </w:t>
      </w:r>
      <w:r w:rsidRPr="00FA7706">
        <w:rPr>
          <w:lang w:val="en-GB"/>
        </w:rPr>
        <w:t>it was a post-hoc analysis not powered to show a difference between treatments</w:t>
      </w:r>
      <w:r w:rsidR="00624326" w:rsidRPr="00FA7706">
        <w:rPr>
          <w:lang w:val="en-GB"/>
        </w:rPr>
        <w:t>.</w:t>
      </w:r>
      <w:r w:rsidRPr="00FA7706">
        <w:rPr>
          <w:lang w:val="en-GB"/>
        </w:rPr>
        <w:t xml:space="preserve"> </w:t>
      </w:r>
      <w:r w:rsidR="00A861C1" w:rsidRPr="00FA7706">
        <w:rPr>
          <w:lang w:val="en-GB"/>
        </w:rPr>
        <w:t xml:space="preserve">The committee noted that the company had provided the </w:t>
      </w:r>
      <w:r w:rsidR="00667D01" w:rsidRPr="00FA7706">
        <w:rPr>
          <w:lang w:val="en-GB"/>
        </w:rPr>
        <w:t xml:space="preserve">baseline characteristics in this subgroup. The </w:t>
      </w:r>
      <w:r w:rsidR="00C60571" w:rsidRPr="00FA7706">
        <w:rPr>
          <w:lang w:val="en-GB"/>
        </w:rPr>
        <w:t xml:space="preserve">committee heard </w:t>
      </w:r>
      <w:r w:rsidR="00624326" w:rsidRPr="00FA7706">
        <w:rPr>
          <w:lang w:val="en-GB"/>
        </w:rPr>
        <w:t xml:space="preserve">that </w:t>
      </w:r>
      <w:r w:rsidRPr="00FA7706">
        <w:rPr>
          <w:lang w:val="en-GB"/>
        </w:rPr>
        <w:t xml:space="preserve">there were imbalances in the prognostic baseline characteristics of the </w:t>
      </w:r>
      <w:r w:rsidR="00F07B8D" w:rsidRPr="00FA7706">
        <w:rPr>
          <w:lang w:val="en-GB"/>
        </w:rPr>
        <w:t>people</w:t>
      </w:r>
      <w:r w:rsidRPr="00FA7706">
        <w:rPr>
          <w:lang w:val="en-GB"/>
        </w:rPr>
        <w:t xml:space="preserve"> in this subgroup. </w:t>
      </w:r>
      <w:r w:rsidR="00C60571" w:rsidRPr="00FA7706">
        <w:rPr>
          <w:lang w:val="en-GB"/>
        </w:rPr>
        <w:t xml:space="preserve">The committee also heard from the company </w:t>
      </w:r>
      <w:r w:rsidRPr="00FA7706">
        <w:rPr>
          <w:lang w:val="en-GB"/>
        </w:rPr>
        <w:t xml:space="preserve">that it </w:t>
      </w:r>
      <w:r w:rsidR="004F072D" w:rsidRPr="00FA7706">
        <w:rPr>
          <w:lang w:val="en-GB"/>
        </w:rPr>
        <w:t xml:space="preserve">did </w:t>
      </w:r>
      <w:r w:rsidRPr="00FA7706">
        <w:rPr>
          <w:lang w:val="en-GB"/>
        </w:rPr>
        <w:t xml:space="preserve">not look at the prognostic baseline characteristics of the </w:t>
      </w:r>
      <w:r w:rsidR="00F07B8D" w:rsidRPr="00FA7706">
        <w:rPr>
          <w:lang w:val="en-GB"/>
        </w:rPr>
        <w:t>people</w:t>
      </w:r>
      <w:r w:rsidRPr="00FA7706">
        <w:rPr>
          <w:lang w:val="en-GB"/>
        </w:rPr>
        <w:t xml:space="preserve"> in </w:t>
      </w:r>
      <w:r w:rsidR="00C60571" w:rsidRPr="00FA7706">
        <w:rPr>
          <w:lang w:val="en-GB"/>
        </w:rPr>
        <w:t>the subgroup of people whose cancer started outside the oral cavity</w:t>
      </w:r>
      <w:r w:rsidRPr="00FA7706">
        <w:rPr>
          <w:lang w:val="en-GB"/>
        </w:rPr>
        <w:t xml:space="preserve">. The committee recognised that the analyses for these subgroups </w:t>
      </w:r>
      <w:r w:rsidR="00950668" w:rsidRPr="00FA7706">
        <w:rPr>
          <w:lang w:val="en-GB"/>
        </w:rPr>
        <w:t>are</w:t>
      </w:r>
      <w:r w:rsidRPr="00FA7706">
        <w:rPr>
          <w:lang w:val="en-GB"/>
        </w:rPr>
        <w:t xml:space="preserve"> uncertain because they were not prespecified and therefore not powered for such analyses. </w:t>
      </w:r>
      <w:r w:rsidR="00C60571" w:rsidRPr="00FA7706">
        <w:rPr>
          <w:lang w:val="en-GB"/>
        </w:rPr>
        <w:t>However, t</w:t>
      </w:r>
      <w:r w:rsidRPr="00FA7706">
        <w:rPr>
          <w:lang w:val="en-GB"/>
        </w:rPr>
        <w:t xml:space="preserve">he committee concluded that it would </w:t>
      </w:r>
      <w:r w:rsidR="00F447BA" w:rsidRPr="00FA7706">
        <w:rPr>
          <w:lang w:val="en-GB"/>
        </w:rPr>
        <w:t>like to see</w:t>
      </w:r>
      <w:r w:rsidRPr="00FA7706">
        <w:rPr>
          <w:lang w:val="en-GB"/>
        </w:rPr>
        <w:t xml:space="preserve"> clinical effectiveness analyses for the</w:t>
      </w:r>
      <w:r w:rsidR="00F447BA" w:rsidRPr="00FA7706">
        <w:rPr>
          <w:lang w:val="en-GB"/>
        </w:rPr>
        <w:t xml:space="preserve"> 2 subgroups of </w:t>
      </w:r>
      <w:r w:rsidR="00F07B8D" w:rsidRPr="00FA7706">
        <w:rPr>
          <w:lang w:val="en-GB"/>
        </w:rPr>
        <w:t>people</w:t>
      </w:r>
      <w:r w:rsidR="00F447BA" w:rsidRPr="00FA7706">
        <w:rPr>
          <w:lang w:val="en-GB"/>
        </w:rPr>
        <w:t>:</w:t>
      </w:r>
      <w:r w:rsidRPr="00FA7706">
        <w:rPr>
          <w:lang w:val="en-GB"/>
        </w:rPr>
        <w:t xml:space="preserve"> </w:t>
      </w:r>
      <w:r w:rsidR="00F447BA" w:rsidRPr="00FA7706">
        <w:rPr>
          <w:lang w:val="en-GB"/>
        </w:rPr>
        <w:t>those</w:t>
      </w:r>
      <w:r w:rsidRPr="00FA7706">
        <w:rPr>
          <w:lang w:val="en-GB"/>
        </w:rPr>
        <w:t xml:space="preserve"> whose cancer started inside the oral cavity and outside, </w:t>
      </w:r>
      <w:proofErr w:type="gramStart"/>
      <w:r w:rsidR="00F447BA" w:rsidRPr="00FA7706">
        <w:rPr>
          <w:lang w:val="en-GB"/>
        </w:rPr>
        <w:t>taking</w:t>
      </w:r>
      <w:r w:rsidRPr="00FA7706">
        <w:rPr>
          <w:lang w:val="en-GB"/>
        </w:rPr>
        <w:t xml:space="preserve"> into account</w:t>
      </w:r>
      <w:proofErr w:type="gramEnd"/>
      <w:r w:rsidRPr="00FA7706">
        <w:rPr>
          <w:lang w:val="en-GB"/>
        </w:rPr>
        <w:t xml:space="preserve"> any imbalances in the baseline patient characteristics in each of the subgroups.</w:t>
      </w:r>
    </w:p>
    <w:p w14:paraId="0CE8CE6A" w14:textId="77777777" w:rsidR="008D562F" w:rsidRPr="00FA7706" w:rsidRDefault="008D562F" w:rsidP="008D562F">
      <w:pPr>
        <w:keepNext/>
        <w:tabs>
          <w:tab w:val="left" w:pos="1134"/>
        </w:tabs>
        <w:spacing w:before="240" w:after="60" w:line="360" w:lineRule="auto"/>
        <w:outlineLvl w:val="1"/>
        <w:rPr>
          <w:rFonts w:ascii="Arial" w:hAnsi="Arial" w:cs="Arial"/>
          <w:b/>
          <w:bCs/>
          <w:i/>
          <w:iCs/>
          <w:sz w:val="28"/>
          <w:szCs w:val="28"/>
        </w:rPr>
      </w:pPr>
      <w:r w:rsidRPr="00FA7706">
        <w:rPr>
          <w:rFonts w:ascii="Arial" w:hAnsi="Arial" w:cs="Arial"/>
          <w:b/>
          <w:bCs/>
          <w:i/>
          <w:iCs/>
          <w:sz w:val="28"/>
          <w:szCs w:val="28"/>
        </w:rPr>
        <w:lastRenderedPageBreak/>
        <w:t>Indirect treatment comparisons</w:t>
      </w:r>
    </w:p>
    <w:p w14:paraId="77778DB1" w14:textId="5D96B3C5" w:rsidR="007F4403" w:rsidRPr="00FA7706" w:rsidRDefault="008D562F" w:rsidP="008D562F">
      <w:pPr>
        <w:pStyle w:val="Heading3"/>
      </w:pPr>
      <w:r w:rsidRPr="00FA7706">
        <w:t xml:space="preserve">The </w:t>
      </w:r>
      <w:r w:rsidR="005B30C1" w:rsidRPr="00FA7706">
        <w:t xml:space="preserve">most appropriate </w:t>
      </w:r>
      <w:r w:rsidRPr="00FA7706">
        <w:t xml:space="preserve">analysis </w:t>
      </w:r>
      <w:r w:rsidR="005B30C1" w:rsidRPr="00FA7706">
        <w:t>for comparing</w:t>
      </w:r>
      <w:r w:rsidRPr="00FA7706">
        <w:t xml:space="preserve"> pembrolizumab with platinum </w:t>
      </w:r>
      <w:r w:rsidR="00AE314C" w:rsidRPr="00FA7706">
        <w:t xml:space="preserve">chemotherapy </w:t>
      </w:r>
      <w:r w:rsidRPr="00FA7706">
        <w:t>and 5-</w:t>
      </w:r>
      <w:r w:rsidR="005B30C1" w:rsidRPr="00FA7706">
        <w:t xml:space="preserve">FU </w:t>
      </w:r>
      <w:r w:rsidRPr="00FA7706">
        <w:t xml:space="preserve">is </w:t>
      </w:r>
      <w:r w:rsidR="00AF77B9" w:rsidRPr="00FA7706">
        <w:t>not certain</w:t>
      </w:r>
    </w:p>
    <w:p w14:paraId="163858EE" w14:textId="49B87A57" w:rsidR="008D562F" w:rsidRPr="00FA7706" w:rsidRDefault="008D562F" w:rsidP="008D562F">
      <w:pPr>
        <w:pStyle w:val="Numberedlevel2text"/>
        <w:rPr>
          <w:lang w:val="en-GB"/>
        </w:rPr>
      </w:pPr>
      <w:r w:rsidRPr="00FA7706">
        <w:rPr>
          <w:lang w:val="en-GB"/>
        </w:rPr>
        <w:t>The company did a fractional polynomial network meta-analysis to compare pembrolizumab (monotherapy and in combination) with platinum</w:t>
      </w:r>
      <w:r w:rsidR="00A7466A" w:rsidRPr="00FA7706">
        <w:rPr>
          <w:lang w:val="en-GB"/>
        </w:rPr>
        <w:t xml:space="preserve"> chemotherapy</w:t>
      </w:r>
      <w:r w:rsidRPr="00FA7706">
        <w:rPr>
          <w:lang w:val="en-GB"/>
        </w:rPr>
        <w:t xml:space="preserve"> and 5-</w:t>
      </w:r>
      <w:r w:rsidR="00A7466A" w:rsidRPr="00FA7706">
        <w:rPr>
          <w:lang w:val="en-GB"/>
        </w:rPr>
        <w:t>FU</w:t>
      </w:r>
      <w:r w:rsidRPr="00FA7706">
        <w:rPr>
          <w:lang w:val="en-GB"/>
        </w:rPr>
        <w:t xml:space="preserve">. </w:t>
      </w:r>
      <w:r w:rsidR="00EC6FE6" w:rsidRPr="00FA7706">
        <w:rPr>
          <w:lang w:val="en-GB"/>
        </w:rPr>
        <w:t xml:space="preserve">This was done because </w:t>
      </w:r>
      <w:r w:rsidR="006068CD" w:rsidRPr="00FA7706">
        <w:rPr>
          <w:lang w:val="en-GB"/>
        </w:rPr>
        <w:t xml:space="preserve">there was </w:t>
      </w:r>
      <w:r w:rsidRPr="00FA7706">
        <w:rPr>
          <w:lang w:val="en-GB"/>
        </w:rPr>
        <w:t>no direct evidence</w:t>
      </w:r>
      <w:r w:rsidR="006068CD" w:rsidRPr="00FA7706">
        <w:rPr>
          <w:lang w:val="en-GB"/>
        </w:rPr>
        <w:t xml:space="preserve"> comparing</w:t>
      </w:r>
      <w:r w:rsidRPr="00FA7706">
        <w:rPr>
          <w:lang w:val="en-GB"/>
        </w:rPr>
        <w:t xml:space="preserve"> pembrolizumab (monotherapy and in combination) with platinum </w:t>
      </w:r>
      <w:r w:rsidR="00A7466A" w:rsidRPr="00FA7706">
        <w:rPr>
          <w:lang w:val="en-GB"/>
        </w:rPr>
        <w:t xml:space="preserve">chemotherapy </w:t>
      </w:r>
      <w:r w:rsidRPr="00FA7706">
        <w:rPr>
          <w:lang w:val="en-GB"/>
        </w:rPr>
        <w:t>and 5-FU</w:t>
      </w:r>
      <w:r w:rsidR="006068CD" w:rsidRPr="00FA7706">
        <w:rPr>
          <w:lang w:val="en-GB"/>
        </w:rPr>
        <w:t xml:space="preserve">. </w:t>
      </w:r>
      <w:r w:rsidR="00EC6FE6" w:rsidRPr="00FA7706">
        <w:rPr>
          <w:lang w:val="en-GB"/>
        </w:rPr>
        <w:t xml:space="preserve">The committee heard from the company that this type of </w:t>
      </w:r>
      <w:r w:rsidR="006068CD" w:rsidRPr="00FA7706">
        <w:rPr>
          <w:lang w:val="en-GB"/>
        </w:rPr>
        <w:t>analysis</w:t>
      </w:r>
      <w:r w:rsidRPr="00FA7706">
        <w:rPr>
          <w:lang w:val="en-GB"/>
        </w:rPr>
        <w:t xml:space="preserve"> best accounted for any study-observed differences. The ERG explained </w:t>
      </w:r>
      <w:r w:rsidR="006068CD" w:rsidRPr="00FA7706">
        <w:rPr>
          <w:lang w:val="en-GB"/>
        </w:rPr>
        <w:t xml:space="preserve">that </w:t>
      </w:r>
      <w:r w:rsidRPr="00FA7706">
        <w:rPr>
          <w:lang w:val="en-GB"/>
        </w:rPr>
        <w:t>it was concerned</w:t>
      </w:r>
      <w:r w:rsidR="009620D8" w:rsidRPr="00FA7706">
        <w:rPr>
          <w:lang w:val="en-GB"/>
        </w:rPr>
        <w:t xml:space="preserve"> </w:t>
      </w:r>
      <w:r w:rsidRPr="00FA7706">
        <w:rPr>
          <w:lang w:val="en-GB"/>
        </w:rPr>
        <w:t xml:space="preserve">about the </w:t>
      </w:r>
      <w:r w:rsidR="005E30C5" w:rsidRPr="00FA7706">
        <w:rPr>
          <w:lang w:val="en-GB"/>
        </w:rPr>
        <w:t>analysis</w:t>
      </w:r>
      <w:r w:rsidR="006068CD" w:rsidRPr="00FA7706">
        <w:rPr>
          <w:lang w:val="en-GB"/>
        </w:rPr>
        <w:t>’s validity</w:t>
      </w:r>
      <w:r w:rsidR="005E30C5" w:rsidRPr="00FA7706">
        <w:rPr>
          <w:lang w:val="en-GB"/>
        </w:rPr>
        <w:t xml:space="preserve"> </w:t>
      </w:r>
      <w:r w:rsidRPr="00FA7706">
        <w:rPr>
          <w:lang w:val="en-GB"/>
        </w:rPr>
        <w:t xml:space="preserve">because </w:t>
      </w:r>
      <w:r w:rsidR="006068CD" w:rsidRPr="00FA7706">
        <w:rPr>
          <w:lang w:val="en-GB"/>
        </w:rPr>
        <w:t xml:space="preserve">the company did </w:t>
      </w:r>
      <w:r w:rsidR="00D50FF8">
        <w:rPr>
          <w:lang w:val="en-GB"/>
        </w:rPr>
        <w:t xml:space="preserve">not </w:t>
      </w:r>
      <w:r w:rsidR="00EC6FE6" w:rsidRPr="00FA7706">
        <w:rPr>
          <w:lang w:val="en-GB"/>
        </w:rPr>
        <w:t>consider the</w:t>
      </w:r>
      <w:r w:rsidR="006068CD" w:rsidRPr="00FA7706">
        <w:rPr>
          <w:lang w:val="en-GB"/>
        </w:rPr>
        <w:t xml:space="preserve"> </w:t>
      </w:r>
      <w:r w:rsidRPr="00FA7706">
        <w:rPr>
          <w:lang w:val="en-GB"/>
        </w:rPr>
        <w:t xml:space="preserve">plausibility </w:t>
      </w:r>
      <w:r w:rsidR="00EC6FE6" w:rsidRPr="00FA7706">
        <w:rPr>
          <w:lang w:val="en-GB"/>
        </w:rPr>
        <w:t xml:space="preserve">of the </w:t>
      </w:r>
      <w:r w:rsidRPr="00FA7706">
        <w:rPr>
          <w:lang w:val="en-GB"/>
        </w:rPr>
        <w:t>hazard ratios estimated by the fractional polynomial model</w:t>
      </w:r>
      <w:r w:rsidR="006068CD" w:rsidRPr="00FA7706">
        <w:rPr>
          <w:lang w:val="en-GB"/>
        </w:rPr>
        <w:t>.</w:t>
      </w:r>
      <w:r w:rsidRPr="00FA7706">
        <w:rPr>
          <w:lang w:val="en-GB"/>
        </w:rPr>
        <w:t xml:space="preserve"> </w:t>
      </w:r>
      <w:r w:rsidR="006068CD" w:rsidRPr="00FA7706">
        <w:rPr>
          <w:lang w:val="en-GB"/>
        </w:rPr>
        <w:t>The company did not say</w:t>
      </w:r>
      <w:r w:rsidRPr="00FA7706">
        <w:rPr>
          <w:lang w:val="en-GB"/>
        </w:rPr>
        <w:t xml:space="preserve"> how the 2 categories of fractional polynomial models were assessed. </w:t>
      </w:r>
      <w:r w:rsidR="009620D8" w:rsidRPr="00FA7706">
        <w:rPr>
          <w:lang w:val="en-GB"/>
        </w:rPr>
        <w:t xml:space="preserve">The ERG </w:t>
      </w:r>
      <w:r w:rsidR="006C195D" w:rsidRPr="00FA7706">
        <w:rPr>
          <w:lang w:val="en-GB"/>
        </w:rPr>
        <w:t>was also concerned</w:t>
      </w:r>
      <w:r w:rsidR="009620D8" w:rsidRPr="00FA7706">
        <w:rPr>
          <w:lang w:val="en-GB"/>
        </w:rPr>
        <w:t xml:space="preserve"> that the populations in the trials included in the meta-analysis were different from those in KEYNOTE-048</w:t>
      </w:r>
      <w:r w:rsidR="009F68E2" w:rsidRPr="00FA7706">
        <w:rPr>
          <w:lang w:val="en-GB"/>
        </w:rPr>
        <w:t>. F</w:t>
      </w:r>
      <w:r w:rsidR="001B54C7" w:rsidRPr="00FA7706">
        <w:rPr>
          <w:lang w:val="en-GB"/>
        </w:rPr>
        <w:t>or example, the trials were not restricted to people with</w:t>
      </w:r>
      <w:r w:rsidR="009620D8" w:rsidRPr="00FA7706">
        <w:rPr>
          <w:lang w:val="en-GB"/>
        </w:rPr>
        <w:t xml:space="preserve"> PD-L1</w:t>
      </w:r>
      <w:r w:rsidR="00BB6C0C" w:rsidRPr="00FA7706">
        <w:rPr>
          <w:lang w:val="en-GB"/>
        </w:rPr>
        <w:t xml:space="preserve"> CPS 1 or more</w:t>
      </w:r>
      <w:r w:rsidR="009620D8" w:rsidRPr="00FA7706">
        <w:rPr>
          <w:lang w:val="en-GB"/>
        </w:rPr>
        <w:t xml:space="preserve"> status</w:t>
      </w:r>
      <w:r w:rsidR="009F68E2" w:rsidRPr="00FA7706">
        <w:rPr>
          <w:lang w:val="en-GB"/>
        </w:rPr>
        <w:t>,</w:t>
      </w:r>
      <w:r w:rsidR="009620D8" w:rsidRPr="00FA7706">
        <w:rPr>
          <w:lang w:val="en-GB"/>
        </w:rPr>
        <w:t xml:space="preserve"> </w:t>
      </w:r>
      <w:r w:rsidR="001B54C7" w:rsidRPr="00FA7706">
        <w:rPr>
          <w:lang w:val="en-GB"/>
        </w:rPr>
        <w:t>as in KEYNOTE-48</w:t>
      </w:r>
      <w:r w:rsidR="009F68E2" w:rsidRPr="00FA7706">
        <w:rPr>
          <w:lang w:val="en-GB"/>
        </w:rPr>
        <w:t>,</w:t>
      </w:r>
      <w:r w:rsidR="00BF3F9E" w:rsidRPr="00FA7706">
        <w:rPr>
          <w:lang w:val="en-GB"/>
        </w:rPr>
        <w:t xml:space="preserve"> </w:t>
      </w:r>
      <w:r w:rsidR="00BB6C0C" w:rsidRPr="00FA7706">
        <w:rPr>
          <w:lang w:val="en-GB"/>
        </w:rPr>
        <w:t xml:space="preserve">which </w:t>
      </w:r>
      <w:r w:rsidR="00A7466A" w:rsidRPr="00FA7706">
        <w:rPr>
          <w:lang w:val="en-GB"/>
        </w:rPr>
        <w:t>was</w:t>
      </w:r>
      <w:r w:rsidRPr="00FA7706">
        <w:rPr>
          <w:lang w:val="en-GB"/>
        </w:rPr>
        <w:t xml:space="preserve"> likely </w:t>
      </w:r>
      <w:r w:rsidR="00A7466A" w:rsidRPr="00FA7706">
        <w:rPr>
          <w:lang w:val="en-GB"/>
        </w:rPr>
        <w:t xml:space="preserve">to </w:t>
      </w:r>
      <w:r w:rsidRPr="00FA7706">
        <w:rPr>
          <w:lang w:val="en-GB"/>
        </w:rPr>
        <w:t xml:space="preserve">introduce heterogeneity. </w:t>
      </w:r>
      <w:r w:rsidR="00BB6C0C" w:rsidRPr="00FA7706">
        <w:rPr>
          <w:lang w:val="en-GB"/>
        </w:rPr>
        <w:t xml:space="preserve">In addition, </w:t>
      </w:r>
      <w:r w:rsidR="0045000D" w:rsidRPr="00FA7706">
        <w:rPr>
          <w:lang w:val="en-GB"/>
        </w:rPr>
        <w:t>the</w:t>
      </w:r>
      <w:r w:rsidRPr="00FA7706">
        <w:rPr>
          <w:lang w:val="en-GB"/>
        </w:rPr>
        <w:t xml:space="preserve"> ERG </w:t>
      </w:r>
      <w:r w:rsidR="009620D8" w:rsidRPr="00FA7706">
        <w:rPr>
          <w:lang w:val="en-GB"/>
        </w:rPr>
        <w:t>was concerned</w:t>
      </w:r>
      <w:r w:rsidRPr="00FA7706">
        <w:rPr>
          <w:lang w:val="en-GB"/>
        </w:rPr>
        <w:t xml:space="preserve"> that the </w:t>
      </w:r>
      <w:r w:rsidR="009C43CE" w:rsidRPr="00FA7706">
        <w:rPr>
          <w:lang w:val="en-GB"/>
        </w:rPr>
        <w:t xml:space="preserve">meta-analysis </w:t>
      </w:r>
      <w:r w:rsidRPr="00FA7706">
        <w:rPr>
          <w:lang w:val="en-GB"/>
        </w:rPr>
        <w:t xml:space="preserve">was not stratified by </w:t>
      </w:r>
      <w:r w:rsidR="009620D8" w:rsidRPr="00FA7706">
        <w:rPr>
          <w:lang w:val="en-GB"/>
        </w:rPr>
        <w:t xml:space="preserve">where the cancer started. </w:t>
      </w:r>
      <w:r w:rsidR="00964C39" w:rsidRPr="00FA7706">
        <w:rPr>
          <w:lang w:val="en-GB"/>
        </w:rPr>
        <w:t>It</w:t>
      </w:r>
      <w:r w:rsidRPr="00FA7706">
        <w:rPr>
          <w:lang w:val="en-GB"/>
        </w:rPr>
        <w:t xml:space="preserve"> preferred to use Kaplan</w:t>
      </w:r>
      <w:r w:rsidR="00964C39" w:rsidRPr="00FA7706">
        <w:rPr>
          <w:lang w:val="en-GB"/>
        </w:rPr>
        <w:t>–</w:t>
      </w:r>
      <w:r w:rsidRPr="00FA7706">
        <w:rPr>
          <w:lang w:val="en-GB"/>
        </w:rPr>
        <w:t>Mei</w:t>
      </w:r>
      <w:r w:rsidR="00964C39" w:rsidRPr="00FA7706">
        <w:rPr>
          <w:lang w:val="en-GB"/>
        </w:rPr>
        <w:t>e</w:t>
      </w:r>
      <w:r w:rsidRPr="00FA7706">
        <w:rPr>
          <w:lang w:val="en-GB"/>
        </w:rPr>
        <w:t xml:space="preserve">r data from the cetuximab </w:t>
      </w:r>
      <w:r w:rsidR="00950668" w:rsidRPr="00FA7706">
        <w:rPr>
          <w:lang w:val="en-GB"/>
        </w:rPr>
        <w:t>with</w:t>
      </w:r>
      <w:r w:rsidRPr="00FA7706">
        <w:rPr>
          <w:lang w:val="en-GB"/>
        </w:rPr>
        <w:t xml:space="preserve"> platinum </w:t>
      </w:r>
      <w:r w:rsidR="00AE314C" w:rsidRPr="00FA7706">
        <w:rPr>
          <w:lang w:val="en-GB"/>
        </w:rPr>
        <w:t xml:space="preserve">chemotherapy </w:t>
      </w:r>
      <w:r w:rsidRPr="00FA7706">
        <w:rPr>
          <w:lang w:val="en-GB"/>
        </w:rPr>
        <w:t>and 5-</w:t>
      </w:r>
      <w:r w:rsidR="0073387A" w:rsidRPr="00FA7706">
        <w:rPr>
          <w:lang w:val="en-GB"/>
        </w:rPr>
        <w:t>FU arm</w:t>
      </w:r>
      <w:r w:rsidRPr="00FA7706">
        <w:rPr>
          <w:lang w:val="en-GB"/>
        </w:rPr>
        <w:t xml:space="preserve"> of KEYNOTE-048 to represent </w:t>
      </w:r>
      <w:r w:rsidR="00964C39" w:rsidRPr="00FA7706">
        <w:rPr>
          <w:lang w:val="en-GB"/>
        </w:rPr>
        <w:t xml:space="preserve">people </w:t>
      </w:r>
      <w:r w:rsidRPr="00FA7706">
        <w:rPr>
          <w:lang w:val="en-GB"/>
        </w:rPr>
        <w:t xml:space="preserve">whose cancer </w:t>
      </w:r>
      <w:r w:rsidR="00964C39" w:rsidRPr="00FA7706">
        <w:rPr>
          <w:lang w:val="en-GB"/>
        </w:rPr>
        <w:t>started outside</w:t>
      </w:r>
      <w:r w:rsidRPr="00FA7706">
        <w:rPr>
          <w:lang w:val="en-GB"/>
        </w:rPr>
        <w:t xml:space="preserve"> the oral cavity. The ERG </w:t>
      </w:r>
      <w:r w:rsidR="00964C39" w:rsidRPr="00FA7706">
        <w:rPr>
          <w:lang w:val="en-GB"/>
        </w:rPr>
        <w:t>said that</w:t>
      </w:r>
      <w:r w:rsidRPr="00FA7706">
        <w:rPr>
          <w:lang w:val="en-GB"/>
        </w:rPr>
        <w:t xml:space="preserve"> this method was simple, transparent and based on data from a high-quality trial. The clinical experts agreed that the ERG approach was reasonable because</w:t>
      </w:r>
      <w:r w:rsidR="00AE27DF" w:rsidRPr="00FA7706">
        <w:rPr>
          <w:lang w:val="en-GB"/>
        </w:rPr>
        <w:t>,</w:t>
      </w:r>
      <w:r w:rsidRPr="00FA7706">
        <w:rPr>
          <w:lang w:val="en-GB"/>
        </w:rPr>
        <w:t xml:space="preserve"> in the trial</w:t>
      </w:r>
      <w:r w:rsidR="00BF3F9E" w:rsidRPr="00FA7706">
        <w:rPr>
          <w:lang w:val="en-GB"/>
        </w:rPr>
        <w:t xml:space="preserve"> that supported the use of</w:t>
      </w:r>
      <w:r w:rsidRPr="00FA7706">
        <w:rPr>
          <w:lang w:val="en-GB"/>
        </w:rPr>
        <w:t xml:space="preserve"> cetuximab </w:t>
      </w:r>
      <w:r w:rsidR="00950668" w:rsidRPr="00FA7706">
        <w:rPr>
          <w:lang w:val="en-GB"/>
        </w:rPr>
        <w:t>with</w:t>
      </w:r>
      <w:r w:rsidRPr="00FA7706">
        <w:rPr>
          <w:lang w:val="en-GB"/>
        </w:rPr>
        <w:t xml:space="preserve"> platinum chemotherapy and 5-FU </w:t>
      </w:r>
      <w:r w:rsidR="00BF3F9E" w:rsidRPr="00FA7706">
        <w:rPr>
          <w:lang w:val="en-GB"/>
        </w:rPr>
        <w:t>for head and neck cancer</w:t>
      </w:r>
      <w:r w:rsidR="001B54C7" w:rsidRPr="00FA7706">
        <w:rPr>
          <w:lang w:val="en-GB"/>
        </w:rPr>
        <w:t xml:space="preserve"> (the EXTREME trial)</w:t>
      </w:r>
      <w:r w:rsidR="00446FF6">
        <w:rPr>
          <w:lang w:val="en-GB"/>
        </w:rPr>
        <w:t xml:space="preserve">. The trial showed a benefit with </w:t>
      </w:r>
      <w:r w:rsidR="00D50FF8">
        <w:rPr>
          <w:lang w:val="en-GB"/>
        </w:rPr>
        <w:t>cetuximab</w:t>
      </w:r>
      <w:r w:rsidR="00871DAA">
        <w:rPr>
          <w:lang w:val="en-GB"/>
        </w:rPr>
        <w:t xml:space="preserve"> with</w:t>
      </w:r>
      <w:r w:rsidR="00871DAA" w:rsidRPr="00871DAA">
        <w:t xml:space="preserve"> </w:t>
      </w:r>
      <w:r w:rsidR="00871DAA" w:rsidRPr="00871DAA">
        <w:rPr>
          <w:lang w:val="en-GB"/>
        </w:rPr>
        <w:t>platinum chemotherapy and 5-FU</w:t>
      </w:r>
      <w:r w:rsidR="00871DAA">
        <w:rPr>
          <w:lang w:val="en-GB"/>
        </w:rPr>
        <w:t xml:space="preserve"> </w:t>
      </w:r>
      <w:r w:rsidRPr="00FA7706">
        <w:rPr>
          <w:lang w:val="en-GB"/>
        </w:rPr>
        <w:t xml:space="preserve">only </w:t>
      </w:r>
      <w:r w:rsidR="00446FF6">
        <w:rPr>
          <w:lang w:val="en-GB"/>
        </w:rPr>
        <w:t xml:space="preserve">in </w:t>
      </w:r>
      <w:r w:rsidRPr="00FA7706">
        <w:rPr>
          <w:lang w:val="en-GB"/>
        </w:rPr>
        <w:t xml:space="preserve">cancers that started inside the oral cavity when compared with platinum chemotherapy and 5-FU. </w:t>
      </w:r>
      <w:r w:rsidR="00AE27DF" w:rsidRPr="00FA7706">
        <w:rPr>
          <w:lang w:val="en-GB"/>
        </w:rPr>
        <w:t xml:space="preserve">The results from the company’s fractional polynomial network meta-analysis and the ERG’s approach are considered academic in confidence and therefore cannot be reported here. </w:t>
      </w:r>
      <w:r w:rsidRPr="00FA7706">
        <w:rPr>
          <w:lang w:val="en-GB"/>
        </w:rPr>
        <w:t xml:space="preserve">The committee noted the results from the 2 approaches </w:t>
      </w:r>
      <w:r w:rsidRPr="00FA7706">
        <w:rPr>
          <w:lang w:val="en-GB"/>
        </w:rPr>
        <w:lastRenderedPageBreak/>
        <w:t>and considered that the company’s approach may overestimate the effectiveness of pembrolizumab (monotherapy and in combination), whil</w:t>
      </w:r>
      <w:r w:rsidR="0052538F" w:rsidRPr="00FA7706">
        <w:rPr>
          <w:lang w:val="en-GB"/>
        </w:rPr>
        <w:t>e</w:t>
      </w:r>
      <w:r w:rsidRPr="00FA7706">
        <w:rPr>
          <w:lang w:val="en-GB"/>
        </w:rPr>
        <w:t xml:space="preserve"> the ERG’s approach may overestimate the effectiveness of platinum and 5-FU chemotherapy. The committee agreed that both approaches were subject to uncertainty and</w:t>
      </w:r>
      <w:r w:rsidR="0052538F" w:rsidRPr="00FA7706">
        <w:rPr>
          <w:lang w:val="en-GB"/>
        </w:rPr>
        <w:t>,</w:t>
      </w:r>
      <w:r w:rsidRPr="00FA7706">
        <w:rPr>
          <w:lang w:val="en-GB"/>
        </w:rPr>
        <w:t xml:space="preserve"> given the differing results from the 2 approaches, the true treatment effect of pembrolizumab (monotherapy and in combination) compared with platinum</w:t>
      </w:r>
      <w:r w:rsidR="00A7466A" w:rsidRPr="00FA7706">
        <w:rPr>
          <w:lang w:val="en-GB"/>
        </w:rPr>
        <w:t xml:space="preserve"> chemotherapy</w:t>
      </w:r>
      <w:r w:rsidRPr="00FA7706">
        <w:rPr>
          <w:lang w:val="en-GB"/>
        </w:rPr>
        <w:t xml:space="preserve"> and 5-FU was uncertain. The committee concluded that it would take both approaches into account in its decision making.</w:t>
      </w:r>
    </w:p>
    <w:p w14:paraId="18E8CABC" w14:textId="2DDE36D5" w:rsidR="008D562F" w:rsidRPr="00FA7706" w:rsidRDefault="00873C48" w:rsidP="00873C48">
      <w:pPr>
        <w:keepNext/>
        <w:spacing w:before="240" w:after="60" w:line="360" w:lineRule="auto"/>
        <w:outlineLvl w:val="2"/>
        <w:rPr>
          <w:rFonts w:ascii="Arial" w:hAnsi="Arial" w:cs="Arial"/>
          <w:b/>
          <w:bCs/>
        </w:rPr>
      </w:pPr>
      <w:r w:rsidRPr="00FA7706">
        <w:rPr>
          <w:rFonts w:ascii="Arial" w:hAnsi="Arial" w:cs="Arial"/>
          <w:b/>
          <w:bCs/>
        </w:rPr>
        <w:t>The company’s modelling approach is appropriate for decision making</w:t>
      </w:r>
    </w:p>
    <w:p w14:paraId="70FBFA9C" w14:textId="780456A8" w:rsidR="00873C48" w:rsidRPr="00FA7706" w:rsidRDefault="00873C48" w:rsidP="00873C48">
      <w:pPr>
        <w:pStyle w:val="Numberedlevel2text"/>
        <w:rPr>
          <w:lang w:val="en-GB"/>
        </w:rPr>
      </w:pPr>
      <w:r w:rsidRPr="00FA7706">
        <w:rPr>
          <w:lang w:val="en-GB"/>
        </w:rPr>
        <w:t>The company presented a 3-state partitioned survival model (progression</w:t>
      </w:r>
      <w:r w:rsidR="0099435B" w:rsidRPr="00FA7706">
        <w:rPr>
          <w:lang w:val="en-GB"/>
        </w:rPr>
        <w:t xml:space="preserve"> </w:t>
      </w:r>
      <w:r w:rsidRPr="00FA7706">
        <w:rPr>
          <w:lang w:val="en-GB"/>
        </w:rPr>
        <w:t xml:space="preserve">free, progressed disease and death) comparing pembrolizumab (monotherapy or in combination) with cetuximab </w:t>
      </w:r>
      <w:r w:rsidR="00950668" w:rsidRPr="00FA7706">
        <w:rPr>
          <w:lang w:val="en-GB"/>
        </w:rPr>
        <w:t>with</w:t>
      </w:r>
      <w:r w:rsidRPr="00FA7706">
        <w:rPr>
          <w:lang w:val="en-GB"/>
        </w:rPr>
        <w:t xml:space="preserve"> platinum </w:t>
      </w:r>
      <w:r w:rsidR="00AE314C" w:rsidRPr="00FA7706">
        <w:rPr>
          <w:lang w:val="en-GB"/>
        </w:rPr>
        <w:t xml:space="preserve">chemotherapy </w:t>
      </w:r>
      <w:r w:rsidRPr="00FA7706">
        <w:rPr>
          <w:lang w:val="en-GB"/>
        </w:rPr>
        <w:t xml:space="preserve">and 5-FU. The company included a 2-year treatment stopping rule in the model. The summary of product characteristics for pembrolizumab states that treatment should continue until disease progression or unacceptable toxicity. </w:t>
      </w:r>
      <w:r w:rsidR="00267F26" w:rsidRPr="00FA7706">
        <w:rPr>
          <w:lang w:val="en-GB"/>
        </w:rPr>
        <w:t>I</w:t>
      </w:r>
      <w:r w:rsidRPr="00FA7706">
        <w:rPr>
          <w:lang w:val="en-GB"/>
        </w:rPr>
        <w:t>mplementing a 2-year stopping rule is consistent with NICE</w:t>
      </w:r>
      <w:r w:rsidR="005C3916">
        <w:rPr>
          <w:lang w:val="en-GB"/>
        </w:rPr>
        <w:t>’</w:t>
      </w:r>
      <w:r w:rsidRPr="00FA7706">
        <w:rPr>
          <w:lang w:val="en-GB"/>
        </w:rPr>
        <w:t xml:space="preserve">s technology appraisal guidance on pembrolizumab for other indications. </w:t>
      </w:r>
      <w:r w:rsidR="00267F26" w:rsidRPr="00FA7706">
        <w:rPr>
          <w:lang w:val="en-GB"/>
        </w:rPr>
        <w:t>T</w:t>
      </w:r>
      <w:r w:rsidRPr="00FA7706">
        <w:rPr>
          <w:lang w:val="en-GB"/>
        </w:rPr>
        <w:t>he clinical experts</w:t>
      </w:r>
      <w:r w:rsidR="00267F26" w:rsidRPr="00FA7706">
        <w:rPr>
          <w:lang w:val="en-GB"/>
        </w:rPr>
        <w:t xml:space="preserve"> also</w:t>
      </w:r>
      <w:r w:rsidRPr="00FA7706">
        <w:rPr>
          <w:lang w:val="en-GB"/>
        </w:rPr>
        <w:t xml:space="preserve"> considered </w:t>
      </w:r>
      <w:r w:rsidR="00267F26" w:rsidRPr="00FA7706">
        <w:rPr>
          <w:lang w:val="en-GB"/>
        </w:rPr>
        <w:t xml:space="preserve">that </w:t>
      </w:r>
      <w:r w:rsidRPr="00FA7706">
        <w:rPr>
          <w:lang w:val="en-GB"/>
        </w:rPr>
        <w:t>a 2-year stopping rule was appropriate for pembrolizumab in this appraisal. The committee concluded that the modelling approach was appropriate for decision making.</w:t>
      </w:r>
    </w:p>
    <w:p w14:paraId="5783A36C" w14:textId="45D43C60" w:rsidR="008D562F" w:rsidRPr="00FA7706" w:rsidRDefault="00873C48" w:rsidP="00873C48">
      <w:pPr>
        <w:pStyle w:val="Heading3"/>
      </w:pPr>
      <w:r w:rsidRPr="00FA7706">
        <w:t>A 5-year treatment benefit for pembrolizumab is appropriate</w:t>
      </w:r>
    </w:p>
    <w:p w14:paraId="6AEF2971" w14:textId="7A2800E9" w:rsidR="00873C48" w:rsidRPr="00FA7706" w:rsidRDefault="00873C48" w:rsidP="00873C48">
      <w:pPr>
        <w:pStyle w:val="Numberedlevel2text"/>
        <w:rPr>
          <w:lang w:val="en-GB"/>
        </w:rPr>
      </w:pPr>
      <w:r w:rsidRPr="00FA7706">
        <w:rPr>
          <w:lang w:val="en-GB"/>
        </w:rPr>
        <w:t>The company used a time horizon of 20</w:t>
      </w:r>
      <w:r w:rsidR="00AE314C" w:rsidRPr="00FA7706">
        <w:rPr>
          <w:lang w:val="en-GB"/>
        </w:rPr>
        <w:t> </w:t>
      </w:r>
      <w:r w:rsidRPr="00FA7706">
        <w:rPr>
          <w:lang w:val="en-GB"/>
        </w:rPr>
        <w:t>years to capture all relevant costs and benefits for people having treatment. The company assumed a treatment benefit for pembrolizumab (monotherapy or in combination) for the full 20</w:t>
      </w:r>
      <w:r w:rsidR="00AE314C" w:rsidRPr="00FA7706">
        <w:rPr>
          <w:lang w:val="en-GB"/>
        </w:rPr>
        <w:t> </w:t>
      </w:r>
      <w:r w:rsidRPr="00FA7706">
        <w:rPr>
          <w:lang w:val="en-GB"/>
        </w:rPr>
        <w:t xml:space="preserve">years from starting treatment. The committee agreed with the ERG and clinical experts that this assumption was optimistic. The ERG’s preferred analyses used treatment effect </w:t>
      </w:r>
      <w:r w:rsidR="00973E95" w:rsidRPr="00FA7706">
        <w:rPr>
          <w:lang w:val="en-GB"/>
        </w:rPr>
        <w:t>over</w:t>
      </w:r>
      <w:r w:rsidRPr="00FA7706">
        <w:rPr>
          <w:lang w:val="en-GB"/>
        </w:rPr>
        <w:t xml:space="preserve"> 5</w:t>
      </w:r>
      <w:r w:rsidR="00AE314C" w:rsidRPr="00FA7706">
        <w:rPr>
          <w:lang w:val="en-GB"/>
        </w:rPr>
        <w:t> </w:t>
      </w:r>
      <w:r w:rsidRPr="00FA7706">
        <w:rPr>
          <w:lang w:val="en-GB"/>
        </w:rPr>
        <w:t xml:space="preserve">years (that is, applying a hazard ratio of 1 to both the pembrolizumab and cetuximab </w:t>
      </w:r>
      <w:r w:rsidR="00950668" w:rsidRPr="00FA7706">
        <w:rPr>
          <w:lang w:val="en-GB"/>
        </w:rPr>
        <w:t>with</w:t>
      </w:r>
      <w:r w:rsidRPr="00FA7706">
        <w:rPr>
          <w:lang w:val="en-GB"/>
        </w:rPr>
        <w:t xml:space="preserve"> platinum and 5-FU arms 5</w:t>
      </w:r>
      <w:r w:rsidR="00291ACB" w:rsidRPr="00FA7706">
        <w:rPr>
          <w:lang w:val="en-GB"/>
        </w:rPr>
        <w:t> </w:t>
      </w:r>
      <w:r w:rsidRPr="00FA7706">
        <w:rPr>
          <w:lang w:val="en-GB"/>
        </w:rPr>
        <w:t>years after starting treatment</w:t>
      </w:r>
      <w:r w:rsidR="00314E42" w:rsidRPr="00FA7706">
        <w:rPr>
          <w:lang w:val="en-GB"/>
        </w:rPr>
        <w:t>, which is</w:t>
      </w:r>
      <w:r w:rsidR="009C05CB" w:rsidRPr="00FA7706">
        <w:rPr>
          <w:lang w:val="en-GB"/>
        </w:rPr>
        <w:t xml:space="preserve"> </w:t>
      </w:r>
      <w:r w:rsidR="00291ACB" w:rsidRPr="00FA7706">
        <w:rPr>
          <w:lang w:val="en-GB"/>
        </w:rPr>
        <w:t xml:space="preserve">3 years after </w:t>
      </w:r>
      <w:r w:rsidR="00291ACB" w:rsidRPr="00FA7706">
        <w:rPr>
          <w:lang w:val="en-GB"/>
        </w:rPr>
        <w:lastRenderedPageBreak/>
        <w:t>stopping treatment</w:t>
      </w:r>
      <w:r w:rsidRPr="00FA7706">
        <w:rPr>
          <w:lang w:val="en-GB"/>
        </w:rPr>
        <w:t>)</w:t>
      </w:r>
      <w:r w:rsidR="00BF3F9E" w:rsidRPr="00FA7706">
        <w:rPr>
          <w:lang w:val="en-GB"/>
        </w:rPr>
        <w:t xml:space="preserve"> because i</w:t>
      </w:r>
      <w:r w:rsidR="000B6302" w:rsidRPr="00FA7706">
        <w:rPr>
          <w:lang w:val="en-GB"/>
        </w:rPr>
        <w:t xml:space="preserve">n </w:t>
      </w:r>
      <w:hyperlink r:id="rId13" w:history="1">
        <w:r w:rsidR="000B6302" w:rsidRPr="00FA7706">
          <w:rPr>
            <w:rStyle w:val="Hyperlink"/>
            <w:lang w:val="en-GB"/>
          </w:rPr>
          <w:t>NICE's technology appraisal guidance for nivolumab for recurrent or metastatic HNSCC</w:t>
        </w:r>
      </w:hyperlink>
      <w:r w:rsidR="000B6302" w:rsidRPr="00FA7706">
        <w:rPr>
          <w:lang w:val="en-GB"/>
        </w:rPr>
        <w:t xml:space="preserve"> the preferred duration of treatment effect was 5 years. </w:t>
      </w:r>
      <w:r w:rsidRPr="00FA7706">
        <w:rPr>
          <w:lang w:val="en-GB"/>
        </w:rPr>
        <w:t>The clinical experts</w:t>
      </w:r>
      <w:r w:rsidR="00EC2B8A" w:rsidRPr="00FA7706">
        <w:rPr>
          <w:lang w:val="en-GB"/>
        </w:rPr>
        <w:t xml:space="preserve"> said</w:t>
      </w:r>
      <w:r w:rsidRPr="00FA7706">
        <w:rPr>
          <w:lang w:val="en-GB"/>
        </w:rPr>
        <w:t xml:space="preserve"> that conceptually it was possible that pembrolizumab</w:t>
      </w:r>
      <w:r w:rsidR="00EC2B8A" w:rsidRPr="00FA7706">
        <w:rPr>
          <w:lang w:val="en-GB"/>
        </w:rPr>
        <w:t>’s treatment effect</w:t>
      </w:r>
      <w:r w:rsidRPr="00FA7706">
        <w:rPr>
          <w:lang w:val="en-GB"/>
        </w:rPr>
        <w:t xml:space="preserve"> could last </w:t>
      </w:r>
      <w:proofErr w:type="gramStart"/>
      <w:r w:rsidRPr="00FA7706">
        <w:rPr>
          <w:lang w:val="en-GB"/>
        </w:rPr>
        <w:t>as long as</w:t>
      </w:r>
      <w:proofErr w:type="gramEnd"/>
      <w:r w:rsidRPr="00FA7706">
        <w:rPr>
          <w:lang w:val="en-GB"/>
        </w:rPr>
        <w:t xml:space="preserve"> 10</w:t>
      </w:r>
      <w:r w:rsidR="00AE314C" w:rsidRPr="00FA7706">
        <w:rPr>
          <w:lang w:val="en-GB"/>
        </w:rPr>
        <w:t> </w:t>
      </w:r>
      <w:r w:rsidRPr="00FA7706">
        <w:rPr>
          <w:lang w:val="en-GB"/>
        </w:rPr>
        <w:t xml:space="preserve">years </w:t>
      </w:r>
      <w:r w:rsidR="00EC2B8A" w:rsidRPr="00FA7706">
        <w:rPr>
          <w:lang w:val="en-GB"/>
        </w:rPr>
        <w:t xml:space="preserve">because </w:t>
      </w:r>
      <w:r w:rsidRPr="00FA7706">
        <w:rPr>
          <w:lang w:val="en-GB"/>
        </w:rPr>
        <w:t xml:space="preserve">immunotherapies such as pembrolizumab have a different mechanism to cytotoxic therapies. Once antitumour immunotherapy </w:t>
      </w:r>
      <w:r w:rsidR="00BF3F9E" w:rsidRPr="00FA7706">
        <w:rPr>
          <w:lang w:val="en-GB"/>
        </w:rPr>
        <w:t>occurs,</w:t>
      </w:r>
      <w:r w:rsidRPr="00FA7706">
        <w:rPr>
          <w:lang w:val="en-GB"/>
        </w:rPr>
        <w:t xml:space="preserve"> it is plausible that </w:t>
      </w:r>
      <w:r w:rsidR="00BF3F9E" w:rsidRPr="00FA7706">
        <w:rPr>
          <w:lang w:val="en-GB"/>
        </w:rPr>
        <w:t>the effect of treatment</w:t>
      </w:r>
      <w:r w:rsidRPr="00FA7706">
        <w:rPr>
          <w:lang w:val="en-GB"/>
        </w:rPr>
        <w:t xml:space="preserve"> could be maintained</w:t>
      </w:r>
      <w:r w:rsidR="000B77F2" w:rsidRPr="00FA7706">
        <w:rPr>
          <w:lang w:val="en-GB"/>
        </w:rPr>
        <w:t>. But</w:t>
      </w:r>
      <w:r w:rsidRPr="00FA7706">
        <w:rPr>
          <w:lang w:val="en-GB"/>
        </w:rPr>
        <w:t xml:space="preserve"> the clinical experts highlighted that this was only speculative </w:t>
      </w:r>
      <w:r w:rsidR="000B77F2" w:rsidRPr="00FA7706">
        <w:rPr>
          <w:lang w:val="en-GB"/>
        </w:rPr>
        <w:t xml:space="preserve">because </w:t>
      </w:r>
      <w:r w:rsidRPr="00FA7706">
        <w:rPr>
          <w:lang w:val="en-GB"/>
        </w:rPr>
        <w:t xml:space="preserve">there was </w:t>
      </w:r>
      <w:r w:rsidR="000B77F2" w:rsidRPr="00FA7706">
        <w:rPr>
          <w:lang w:val="en-GB"/>
        </w:rPr>
        <w:t xml:space="preserve">not much </w:t>
      </w:r>
      <w:r w:rsidRPr="00FA7706">
        <w:rPr>
          <w:lang w:val="en-GB"/>
        </w:rPr>
        <w:t xml:space="preserve">long-term data for pembrolizumab from KEYNOTE-048. </w:t>
      </w:r>
      <w:r w:rsidR="000B77F2" w:rsidRPr="00FA7706">
        <w:rPr>
          <w:lang w:val="en-GB"/>
        </w:rPr>
        <w:t>T</w:t>
      </w:r>
      <w:r w:rsidRPr="00FA7706">
        <w:rPr>
          <w:lang w:val="en-GB"/>
        </w:rPr>
        <w:t xml:space="preserve">he clinical expert </w:t>
      </w:r>
      <w:r w:rsidR="000B77F2" w:rsidRPr="00FA7706">
        <w:rPr>
          <w:lang w:val="en-GB"/>
        </w:rPr>
        <w:t xml:space="preserve">said </w:t>
      </w:r>
      <w:r w:rsidRPr="00FA7706">
        <w:rPr>
          <w:lang w:val="en-GB"/>
        </w:rPr>
        <w:t xml:space="preserve">that </w:t>
      </w:r>
      <w:r w:rsidR="000B77F2" w:rsidRPr="00FA7706">
        <w:rPr>
          <w:lang w:val="en-GB"/>
        </w:rPr>
        <w:t>the treatment effect duration for</w:t>
      </w:r>
      <w:r w:rsidRPr="00FA7706">
        <w:rPr>
          <w:lang w:val="en-GB"/>
        </w:rPr>
        <w:t xml:space="preserve"> pembrolizumab</w:t>
      </w:r>
      <w:r w:rsidR="000B77F2" w:rsidRPr="00FA7706">
        <w:rPr>
          <w:lang w:val="en-GB"/>
        </w:rPr>
        <w:t xml:space="preserve"> could not be transferred</w:t>
      </w:r>
      <w:r w:rsidRPr="00FA7706">
        <w:rPr>
          <w:lang w:val="en-GB"/>
        </w:rPr>
        <w:t xml:space="preserve"> </w:t>
      </w:r>
      <w:r w:rsidR="000B77F2" w:rsidRPr="00FA7706">
        <w:rPr>
          <w:lang w:val="en-GB"/>
        </w:rPr>
        <w:t>from</w:t>
      </w:r>
      <w:r w:rsidRPr="00FA7706">
        <w:rPr>
          <w:lang w:val="en-GB"/>
        </w:rPr>
        <w:t xml:space="preserve"> one disease area to another because of differences in the physiology and genetic profile of the tumours. The committee agreed that, although it was biologically plausible for the treatment effect to continue after stopping pembrolizumab, its duration was uncertain. The committee concluded that a 20-year duration of treatment </w:t>
      </w:r>
      <w:r w:rsidR="00170D25" w:rsidRPr="00FA7706">
        <w:rPr>
          <w:lang w:val="en-GB"/>
        </w:rPr>
        <w:t xml:space="preserve">benefit </w:t>
      </w:r>
      <w:r w:rsidRPr="00FA7706">
        <w:rPr>
          <w:lang w:val="en-GB"/>
        </w:rPr>
        <w:t xml:space="preserve">for pembrolizumab (monotherapy and in combination) was </w:t>
      </w:r>
      <w:r w:rsidR="000B6302" w:rsidRPr="00FA7706">
        <w:rPr>
          <w:lang w:val="en-GB"/>
        </w:rPr>
        <w:t>not supported by the evidence</w:t>
      </w:r>
      <w:r w:rsidRPr="00FA7706">
        <w:rPr>
          <w:lang w:val="en-GB"/>
        </w:rPr>
        <w:t>,</w:t>
      </w:r>
      <w:r w:rsidR="00BF3F9E" w:rsidRPr="00FA7706">
        <w:rPr>
          <w:lang w:val="en-GB"/>
        </w:rPr>
        <w:t xml:space="preserve"> </w:t>
      </w:r>
      <w:r w:rsidR="002C7102" w:rsidRPr="00FA7706">
        <w:rPr>
          <w:lang w:val="en-GB"/>
        </w:rPr>
        <w:t>therefore</w:t>
      </w:r>
      <w:r w:rsidRPr="00FA7706">
        <w:rPr>
          <w:lang w:val="en-GB"/>
        </w:rPr>
        <w:t xml:space="preserve"> the ERG’s analyses using a 5-year duration </w:t>
      </w:r>
      <w:r w:rsidR="00F743D3">
        <w:rPr>
          <w:lang w:val="en-GB"/>
        </w:rPr>
        <w:t>were</w:t>
      </w:r>
      <w:r w:rsidR="00F743D3" w:rsidRPr="00FA7706">
        <w:rPr>
          <w:lang w:val="en-GB"/>
        </w:rPr>
        <w:t xml:space="preserve"> </w:t>
      </w:r>
      <w:r w:rsidRPr="00FA7706">
        <w:rPr>
          <w:lang w:val="en-GB"/>
        </w:rPr>
        <w:t>more appropriate</w:t>
      </w:r>
      <w:r w:rsidR="000B6302" w:rsidRPr="00FA7706">
        <w:rPr>
          <w:lang w:val="en-GB"/>
        </w:rPr>
        <w:t xml:space="preserve"> and consistent with </w:t>
      </w:r>
      <w:r w:rsidR="002C7102" w:rsidRPr="00FA7706">
        <w:rPr>
          <w:lang w:val="en-GB"/>
        </w:rPr>
        <w:t xml:space="preserve">the </w:t>
      </w:r>
      <w:r w:rsidR="000B6302" w:rsidRPr="00FA7706">
        <w:rPr>
          <w:lang w:val="en-GB"/>
        </w:rPr>
        <w:t xml:space="preserve">previous </w:t>
      </w:r>
      <w:r w:rsidR="00BF3F9E" w:rsidRPr="00FA7706">
        <w:rPr>
          <w:lang w:val="en-GB"/>
        </w:rPr>
        <w:t xml:space="preserve">head and neck cancer immunotherapy </w:t>
      </w:r>
      <w:r w:rsidR="000B6302" w:rsidRPr="00FA7706">
        <w:rPr>
          <w:lang w:val="en-GB"/>
        </w:rPr>
        <w:t>appraisal</w:t>
      </w:r>
      <w:r w:rsidRPr="00FA7706">
        <w:rPr>
          <w:lang w:val="en-GB"/>
        </w:rPr>
        <w:t>.</w:t>
      </w:r>
    </w:p>
    <w:p w14:paraId="274C23CA" w14:textId="2F6BC56D" w:rsidR="007F4403" w:rsidRPr="00FA7706" w:rsidRDefault="00873C48" w:rsidP="00873C48">
      <w:pPr>
        <w:pStyle w:val="Heading3"/>
      </w:pPr>
      <w:r w:rsidRPr="00FA7706">
        <w:t xml:space="preserve">Overall survival should be modelled for the </w:t>
      </w:r>
      <w:r w:rsidR="006C2922" w:rsidRPr="00FA7706">
        <w:t xml:space="preserve">2 </w:t>
      </w:r>
      <w:r w:rsidRPr="00FA7706">
        <w:t>subgroup</w:t>
      </w:r>
      <w:r w:rsidR="006C2922" w:rsidRPr="00FA7706">
        <w:t>s:</w:t>
      </w:r>
      <w:r w:rsidRPr="00FA7706">
        <w:t xml:space="preserve"> cancer start</w:t>
      </w:r>
      <w:r w:rsidR="006C2922" w:rsidRPr="00FA7706">
        <w:t>ing</w:t>
      </w:r>
      <w:r w:rsidRPr="00FA7706">
        <w:t xml:space="preserve"> inside the oral cavity </w:t>
      </w:r>
      <w:r w:rsidR="00E9798E" w:rsidRPr="00FA7706">
        <w:t xml:space="preserve">or </w:t>
      </w:r>
      <w:r w:rsidRPr="00FA7706">
        <w:t>outside</w:t>
      </w:r>
    </w:p>
    <w:p w14:paraId="755D257C" w14:textId="55BB4C9E" w:rsidR="00873C48" w:rsidRPr="00FA7706" w:rsidRDefault="00873C48" w:rsidP="00AE314C">
      <w:pPr>
        <w:pStyle w:val="Numberedlevel2text"/>
        <w:rPr>
          <w:lang w:val="en-GB"/>
        </w:rPr>
      </w:pPr>
      <w:r w:rsidRPr="00FA7706">
        <w:rPr>
          <w:lang w:val="en-GB"/>
        </w:rPr>
        <w:t xml:space="preserve">To estimate overall survival in KEYNOTE-048 the company used a piecewise log-logistic extrapolation of the Kaplan–Meier curve from KEYNOTE-048 for pembrolizumab monotherapy and a log-normal for pembrolizumab combination therapy. This estimated the mean overall survival to be </w:t>
      </w:r>
      <w:r w:rsidR="00A7466A" w:rsidRPr="00FA7706">
        <w:rPr>
          <w:lang w:val="en-GB"/>
        </w:rPr>
        <w:t>12.72 months</w:t>
      </w:r>
      <w:r w:rsidRPr="00FA7706">
        <w:rPr>
          <w:lang w:val="en-GB"/>
        </w:rPr>
        <w:t xml:space="preserve"> with pembrolizumab monotherapy, and 14.28</w:t>
      </w:r>
      <w:r w:rsidR="00891D56" w:rsidRPr="00FA7706">
        <w:rPr>
          <w:lang w:val="en-GB"/>
        </w:rPr>
        <w:t> </w:t>
      </w:r>
      <w:r w:rsidRPr="00FA7706">
        <w:rPr>
          <w:lang w:val="en-GB"/>
        </w:rPr>
        <w:t>months with pembrolizumab combination therapy</w:t>
      </w:r>
      <w:r w:rsidR="00D054FD" w:rsidRPr="00FA7706">
        <w:rPr>
          <w:lang w:val="en-GB"/>
        </w:rPr>
        <w:t>,</w:t>
      </w:r>
      <w:r w:rsidRPr="00FA7706">
        <w:rPr>
          <w:lang w:val="en-GB"/>
        </w:rPr>
        <w:t xml:space="preserve"> assuming a 20</w:t>
      </w:r>
      <w:r w:rsidR="00903B57">
        <w:rPr>
          <w:lang w:val="en-GB"/>
        </w:rPr>
        <w:noBreakHyphen/>
      </w:r>
      <w:r w:rsidRPr="00FA7706">
        <w:rPr>
          <w:lang w:val="en-GB"/>
        </w:rPr>
        <w:t>year time horizon in the model. The ERG highlighted that</w:t>
      </w:r>
      <w:r w:rsidR="00D054FD" w:rsidRPr="00FA7706">
        <w:rPr>
          <w:lang w:val="en-GB"/>
        </w:rPr>
        <w:t xml:space="preserve"> using </w:t>
      </w:r>
      <w:r w:rsidRPr="00FA7706">
        <w:rPr>
          <w:lang w:val="en-GB"/>
        </w:rPr>
        <w:t xml:space="preserve">log-logistic and log-normal distributions results in implausible survival estimates because of the long tails associated with </w:t>
      </w:r>
      <w:r w:rsidR="00D054FD" w:rsidRPr="00FA7706">
        <w:rPr>
          <w:lang w:val="en-GB"/>
        </w:rPr>
        <w:t>them</w:t>
      </w:r>
      <w:r w:rsidR="003B1F83" w:rsidRPr="00FA7706">
        <w:rPr>
          <w:lang w:val="en-GB"/>
        </w:rPr>
        <w:t xml:space="preserve"> (that is, a small number of people live for a long period of time)</w:t>
      </w:r>
      <w:r w:rsidRPr="00FA7706">
        <w:rPr>
          <w:lang w:val="en-GB"/>
        </w:rPr>
        <w:t xml:space="preserve">. It explained that </w:t>
      </w:r>
      <w:r w:rsidR="00D054FD" w:rsidRPr="00FA7706">
        <w:rPr>
          <w:lang w:val="en-GB"/>
        </w:rPr>
        <w:t xml:space="preserve">its </w:t>
      </w:r>
      <w:r w:rsidRPr="00FA7706">
        <w:rPr>
          <w:lang w:val="en-GB"/>
        </w:rPr>
        <w:lastRenderedPageBreak/>
        <w:t xml:space="preserve">preferred distribution was Weibull as this gave the most clinically plausible results. </w:t>
      </w:r>
      <w:r w:rsidR="002B2999" w:rsidRPr="00FA7706">
        <w:rPr>
          <w:lang w:val="en-GB"/>
        </w:rPr>
        <w:t>T</w:t>
      </w:r>
      <w:r w:rsidRPr="00FA7706">
        <w:rPr>
          <w:lang w:val="en-GB"/>
        </w:rPr>
        <w:t xml:space="preserve">he clinical experts </w:t>
      </w:r>
      <w:r w:rsidR="002B2999" w:rsidRPr="00FA7706">
        <w:rPr>
          <w:lang w:val="en-GB"/>
        </w:rPr>
        <w:t>said</w:t>
      </w:r>
      <w:r w:rsidRPr="00FA7706">
        <w:rPr>
          <w:lang w:val="en-GB"/>
        </w:rPr>
        <w:t xml:space="preserve"> that the company</w:t>
      </w:r>
      <w:r w:rsidR="0076753A" w:rsidRPr="00FA7706">
        <w:rPr>
          <w:lang w:val="en-GB"/>
        </w:rPr>
        <w:t>’s</w:t>
      </w:r>
      <w:r w:rsidRPr="00FA7706">
        <w:rPr>
          <w:lang w:val="en-GB"/>
        </w:rPr>
        <w:t xml:space="preserve"> and ERG</w:t>
      </w:r>
      <w:r w:rsidR="00A7466A" w:rsidRPr="00FA7706">
        <w:rPr>
          <w:lang w:val="en-GB"/>
        </w:rPr>
        <w:t>’s</w:t>
      </w:r>
      <w:r w:rsidRPr="00FA7706">
        <w:rPr>
          <w:lang w:val="en-GB"/>
        </w:rPr>
        <w:t xml:space="preserve"> preferred survival estimates were </w:t>
      </w:r>
      <w:r w:rsidR="002B2999" w:rsidRPr="00FA7706">
        <w:rPr>
          <w:lang w:val="en-GB"/>
        </w:rPr>
        <w:t xml:space="preserve">both </w:t>
      </w:r>
      <w:r w:rsidRPr="00FA7706">
        <w:rPr>
          <w:lang w:val="en-GB"/>
        </w:rPr>
        <w:t xml:space="preserve">plausible for cetuximab </w:t>
      </w:r>
      <w:r w:rsidR="00950668" w:rsidRPr="00FA7706">
        <w:rPr>
          <w:lang w:val="en-GB"/>
        </w:rPr>
        <w:t>with</w:t>
      </w:r>
      <w:r w:rsidRPr="00FA7706">
        <w:rPr>
          <w:lang w:val="en-GB"/>
        </w:rPr>
        <w:t xml:space="preserve"> platinum </w:t>
      </w:r>
      <w:r w:rsidR="0076753A" w:rsidRPr="00FA7706">
        <w:rPr>
          <w:lang w:val="en-GB"/>
        </w:rPr>
        <w:t xml:space="preserve">chemotherapy </w:t>
      </w:r>
      <w:r w:rsidRPr="00FA7706">
        <w:rPr>
          <w:lang w:val="en-GB"/>
        </w:rPr>
        <w:t xml:space="preserve">and 5-FU and platinum </w:t>
      </w:r>
      <w:r w:rsidR="0076753A" w:rsidRPr="00FA7706">
        <w:rPr>
          <w:lang w:val="en-GB"/>
        </w:rPr>
        <w:t xml:space="preserve">chemotherapy </w:t>
      </w:r>
      <w:r w:rsidRPr="00FA7706">
        <w:rPr>
          <w:lang w:val="en-GB"/>
        </w:rPr>
        <w:t xml:space="preserve">and 5-FU treatments. </w:t>
      </w:r>
      <w:r w:rsidR="002B2999" w:rsidRPr="00FA7706">
        <w:rPr>
          <w:lang w:val="en-GB"/>
        </w:rPr>
        <w:t>But they</w:t>
      </w:r>
      <w:r w:rsidR="0076753A" w:rsidRPr="00FA7706">
        <w:rPr>
          <w:lang w:val="en-GB"/>
        </w:rPr>
        <w:t xml:space="preserve"> considered</w:t>
      </w:r>
      <w:r w:rsidR="002B2999" w:rsidRPr="00FA7706">
        <w:rPr>
          <w:lang w:val="en-GB"/>
        </w:rPr>
        <w:t xml:space="preserve"> that</w:t>
      </w:r>
      <w:r w:rsidR="0076753A" w:rsidRPr="00FA7706">
        <w:rPr>
          <w:lang w:val="en-GB"/>
        </w:rPr>
        <w:t xml:space="preserve"> the </w:t>
      </w:r>
      <w:r w:rsidRPr="00FA7706">
        <w:rPr>
          <w:lang w:val="en-GB"/>
        </w:rPr>
        <w:t>ERG</w:t>
      </w:r>
      <w:r w:rsidR="0076753A" w:rsidRPr="00FA7706">
        <w:rPr>
          <w:lang w:val="en-GB"/>
        </w:rPr>
        <w:t>’s</w:t>
      </w:r>
      <w:r w:rsidRPr="00FA7706">
        <w:rPr>
          <w:lang w:val="en-GB"/>
        </w:rPr>
        <w:t xml:space="preserve"> survival estimates for pembrolizumab (monotherapy and in combination) were the most plausible. </w:t>
      </w:r>
      <w:r w:rsidR="002B2999" w:rsidRPr="00FA7706">
        <w:rPr>
          <w:lang w:val="en-GB"/>
        </w:rPr>
        <w:t>T</w:t>
      </w:r>
      <w:r w:rsidR="0076753A" w:rsidRPr="00FA7706">
        <w:rPr>
          <w:lang w:val="en-GB"/>
        </w:rPr>
        <w:t>he company</w:t>
      </w:r>
      <w:r w:rsidR="002B2999" w:rsidRPr="00FA7706">
        <w:rPr>
          <w:lang w:val="en-GB"/>
        </w:rPr>
        <w:t>’s</w:t>
      </w:r>
      <w:r w:rsidR="0076753A" w:rsidRPr="00FA7706">
        <w:rPr>
          <w:lang w:val="en-GB"/>
        </w:rPr>
        <w:t xml:space="preserve"> and </w:t>
      </w:r>
      <w:r w:rsidR="002B2999" w:rsidRPr="00FA7706">
        <w:rPr>
          <w:lang w:val="en-GB"/>
        </w:rPr>
        <w:t xml:space="preserve">the </w:t>
      </w:r>
      <w:r w:rsidR="0076753A" w:rsidRPr="00FA7706">
        <w:rPr>
          <w:lang w:val="en-GB"/>
        </w:rPr>
        <w:t>ERG</w:t>
      </w:r>
      <w:r w:rsidR="002B2999" w:rsidRPr="00FA7706">
        <w:rPr>
          <w:lang w:val="en-GB"/>
        </w:rPr>
        <w:t>’s extrapolation of overall survival</w:t>
      </w:r>
      <w:r w:rsidR="0076753A" w:rsidRPr="00FA7706">
        <w:rPr>
          <w:lang w:val="en-GB"/>
        </w:rPr>
        <w:t xml:space="preserve"> </w:t>
      </w:r>
      <w:r w:rsidRPr="00FA7706">
        <w:rPr>
          <w:lang w:val="en-GB"/>
        </w:rPr>
        <w:t xml:space="preserve">was for the PD-L1 CPS </w:t>
      </w:r>
      <w:r w:rsidR="00F05F4C" w:rsidRPr="00FA7706">
        <w:rPr>
          <w:lang w:val="en-GB"/>
        </w:rPr>
        <w:t>1 or more</w:t>
      </w:r>
      <w:r w:rsidRPr="00FA7706">
        <w:rPr>
          <w:lang w:val="en-GB"/>
        </w:rPr>
        <w:t xml:space="preserve"> subgroup of KEYNOTE-048</w:t>
      </w:r>
      <w:r w:rsidR="002B2999" w:rsidRPr="00FA7706">
        <w:rPr>
          <w:lang w:val="en-GB"/>
        </w:rPr>
        <w:t xml:space="preserve">. </w:t>
      </w:r>
      <w:r w:rsidR="003B1F83" w:rsidRPr="00FA7706">
        <w:rPr>
          <w:lang w:val="en-GB"/>
        </w:rPr>
        <w:t>Separate a</w:t>
      </w:r>
      <w:r w:rsidRPr="00FA7706">
        <w:rPr>
          <w:lang w:val="en-GB"/>
        </w:rPr>
        <w:t xml:space="preserve">nalysis of the populations whose cancer started inside or outside the oral cavity </w:t>
      </w:r>
      <w:r w:rsidR="002B2999" w:rsidRPr="00FA7706">
        <w:rPr>
          <w:lang w:val="en-GB"/>
        </w:rPr>
        <w:t xml:space="preserve">was </w:t>
      </w:r>
      <w:r w:rsidRPr="00FA7706">
        <w:rPr>
          <w:lang w:val="en-GB"/>
        </w:rPr>
        <w:t xml:space="preserve">not provided. </w:t>
      </w:r>
      <w:r w:rsidR="002B2999" w:rsidRPr="00FA7706">
        <w:rPr>
          <w:lang w:val="en-GB"/>
        </w:rPr>
        <w:t xml:space="preserve">The committee </w:t>
      </w:r>
      <w:r w:rsidRPr="00FA7706">
        <w:rPr>
          <w:lang w:val="en-GB"/>
        </w:rPr>
        <w:t xml:space="preserve">concluded that it would </w:t>
      </w:r>
      <w:r w:rsidR="002B2999" w:rsidRPr="00FA7706">
        <w:rPr>
          <w:lang w:val="en-GB"/>
        </w:rPr>
        <w:t>like</w:t>
      </w:r>
      <w:r w:rsidRPr="00FA7706">
        <w:rPr>
          <w:lang w:val="en-GB"/>
        </w:rPr>
        <w:t xml:space="preserve"> to see overall survival modelled, </w:t>
      </w:r>
      <w:r w:rsidR="002B2999" w:rsidRPr="00FA7706">
        <w:rPr>
          <w:lang w:val="en-GB"/>
        </w:rPr>
        <w:t>adjusted</w:t>
      </w:r>
      <w:r w:rsidRPr="00FA7706">
        <w:rPr>
          <w:lang w:val="en-GB"/>
        </w:rPr>
        <w:t xml:space="preserve"> for imbalances in the baseline patient characteristics, for the</w:t>
      </w:r>
      <w:r w:rsidR="002B2999" w:rsidRPr="00FA7706">
        <w:rPr>
          <w:lang w:val="en-GB"/>
        </w:rPr>
        <w:t xml:space="preserve"> 2</w:t>
      </w:r>
      <w:r w:rsidRPr="00FA7706">
        <w:rPr>
          <w:lang w:val="en-GB"/>
        </w:rPr>
        <w:t xml:space="preserve"> subgroup</w:t>
      </w:r>
      <w:r w:rsidR="002B2999" w:rsidRPr="00FA7706">
        <w:rPr>
          <w:lang w:val="en-GB"/>
        </w:rPr>
        <w:t xml:space="preserve">s: </w:t>
      </w:r>
      <w:r w:rsidR="00F07B8D" w:rsidRPr="00FA7706">
        <w:rPr>
          <w:lang w:val="en-GB"/>
        </w:rPr>
        <w:t>people</w:t>
      </w:r>
      <w:r w:rsidR="002B2999" w:rsidRPr="00FA7706">
        <w:rPr>
          <w:lang w:val="en-GB"/>
        </w:rPr>
        <w:t xml:space="preserve"> whose </w:t>
      </w:r>
      <w:r w:rsidR="00C13C99" w:rsidRPr="00FA7706">
        <w:rPr>
          <w:lang w:val="en-GB"/>
        </w:rPr>
        <w:t>cancer</w:t>
      </w:r>
      <w:r w:rsidR="002B2999" w:rsidRPr="00FA7706">
        <w:rPr>
          <w:lang w:val="en-GB"/>
        </w:rPr>
        <w:t xml:space="preserve"> started </w:t>
      </w:r>
      <w:r w:rsidR="00175B2B" w:rsidRPr="00FA7706">
        <w:rPr>
          <w:lang w:val="en-GB"/>
        </w:rPr>
        <w:t>inside or outside</w:t>
      </w:r>
      <w:r w:rsidR="002B2999" w:rsidRPr="00FA7706">
        <w:rPr>
          <w:lang w:val="en-GB"/>
        </w:rPr>
        <w:t xml:space="preserve"> the oral cavity</w:t>
      </w:r>
      <w:r w:rsidRPr="00FA7706">
        <w:rPr>
          <w:lang w:val="en-GB"/>
        </w:rPr>
        <w:t>.</w:t>
      </w:r>
    </w:p>
    <w:p w14:paraId="2ECBB40F" w14:textId="38652F2B" w:rsidR="007F4403" w:rsidRPr="00FA7706" w:rsidRDefault="00873C48" w:rsidP="00BE48D4">
      <w:pPr>
        <w:pStyle w:val="Heading3"/>
      </w:pPr>
      <w:r w:rsidRPr="00FA7706">
        <w:t>A lower utility value for progressed disease should be used</w:t>
      </w:r>
      <w:r w:rsidR="002B2999" w:rsidRPr="00FA7706">
        <w:t>,</w:t>
      </w:r>
      <w:r w:rsidRPr="00FA7706">
        <w:t xml:space="preserve"> sourced from published literature</w:t>
      </w:r>
    </w:p>
    <w:p w14:paraId="70733ABB" w14:textId="6BB7EF1E" w:rsidR="00873C48" w:rsidRPr="00FA7706" w:rsidRDefault="00873C48" w:rsidP="00873C48">
      <w:pPr>
        <w:pStyle w:val="Numberedlevel2text"/>
        <w:rPr>
          <w:lang w:val="en-GB"/>
        </w:rPr>
      </w:pPr>
      <w:r w:rsidRPr="00FA7706">
        <w:rPr>
          <w:lang w:val="en-GB"/>
        </w:rPr>
        <w:t>The company used a health-related quality of life utility value of 0.71 in its base</w:t>
      </w:r>
      <w:r w:rsidR="002B2999" w:rsidRPr="00FA7706">
        <w:rPr>
          <w:lang w:val="en-GB"/>
        </w:rPr>
        <w:t xml:space="preserve"> </w:t>
      </w:r>
      <w:r w:rsidRPr="00FA7706">
        <w:rPr>
          <w:lang w:val="en-GB"/>
        </w:rPr>
        <w:t xml:space="preserve">case for people with progressed metastatic disease. </w:t>
      </w:r>
      <w:r w:rsidR="00B031A1" w:rsidRPr="00FA7706">
        <w:rPr>
          <w:lang w:val="en-GB"/>
        </w:rPr>
        <w:t>Based on the description of the health states in the model, t</w:t>
      </w:r>
      <w:r w:rsidRPr="00FA7706">
        <w:rPr>
          <w:lang w:val="en-GB"/>
        </w:rPr>
        <w:t>he clinical experts</w:t>
      </w:r>
      <w:r w:rsidR="002B2999" w:rsidRPr="00FA7706">
        <w:rPr>
          <w:lang w:val="en-GB"/>
        </w:rPr>
        <w:t xml:space="preserve"> said</w:t>
      </w:r>
      <w:r w:rsidRPr="00FA7706">
        <w:rPr>
          <w:lang w:val="en-GB"/>
        </w:rPr>
        <w:t xml:space="preserve"> that this was high for people who </w:t>
      </w:r>
      <w:r w:rsidR="00950668" w:rsidRPr="00FA7706">
        <w:rPr>
          <w:lang w:val="en-GB"/>
        </w:rPr>
        <w:t>are</w:t>
      </w:r>
      <w:r w:rsidRPr="00FA7706">
        <w:rPr>
          <w:lang w:val="en-GB"/>
        </w:rPr>
        <w:t xml:space="preserve"> normally in very poor health</w:t>
      </w:r>
      <w:r w:rsidR="002B2999" w:rsidRPr="00FA7706">
        <w:rPr>
          <w:lang w:val="en-GB"/>
        </w:rPr>
        <w:t xml:space="preserve"> and </w:t>
      </w:r>
      <w:r w:rsidRPr="00FA7706">
        <w:rPr>
          <w:lang w:val="en-GB"/>
        </w:rPr>
        <w:t xml:space="preserve">therefore may </w:t>
      </w:r>
      <w:r w:rsidR="003B1F83" w:rsidRPr="00FA7706">
        <w:rPr>
          <w:lang w:val="en-GB"/>
        </w:rPr>
        <w:t xml:space="preserve">be overestimated. The committee </w:t>
      </w:r>
      <w:r w:rsidRPr="00FA7706">
        <w:rPr>
          <w:lang w:val="en-GB"/>
        </w:rPr>
        <w:t xml:space="preserve">noted that </w:t>
      </w:r>
      <w:r w:rsidR="00AF77B9" w:rsidRPr="00FA7706">
        <w:rPr>
          <w:lang w:val="en-GB"/>
        </w:rPr>
        <w:t xml:space="preserve">health-related quality of life </w:t>
      </w:r>
      <w:r w:rsidRPr="00FA7706">
        <w:rPr>
          <w:lang w:val="en-GB"/>
        </w:rPr>
        <w:t>was measured in the trial 30 days after progression</w:t>
      </w:r>
      <w:r w:rsidR="002B2999" w:rsidRPr="00FA7706">
        <w:rPr>
          <w:lang w:val="en-GB"/>
        </w:rPr>
        <w:t>,</w:t>
      </w:r>
      <w:r w:rsidRPr="00FA7706">
        <w:rPr>
          <w:lang w:val="en-GB"/>
        </w:rPr>
        <w:t xml:space="preserve"> so there was a possibility of informative censoring (that is, participants in the trial are lost to follow-up because of reasons related to the study</w:t>
      </w:r>
      <w:r w:rsidR="00B031A1" w:rsidRPr="00FA7706">
        <w:rPr>
          <w:lang w:val="en-GB"/>
        </w:rPr>
        <w:t xml:space="preserve"> design</w:t>
      </w:r>
      <w:r w:rsidRPr="00FA7706">
        <w:rPr>
          <w:lang w:val="en-GB"/>
        </w:rPr>
        <w:t xml:space="preserve">). The committee agreed that the utility value for progressed disease used in the company’s model was too high. The committee concluded that it would </w:t>
      </w:r>
      <w:r w:rsidR="002B2999" w:rsidRPr="00FA7706">
        <w:rPr>
          <w:lang w:val="en-GB"/>
        </w:rPr>
        <w:t>like to see</w:t>
      </w:r>
      <w:r w:rsidRPr="00FA7706">
        <w:rPr>
          <w:lang w:val="en-GB"/>
        </w:rPr>
        <w:t xml:space="preserve"> cost</w:t>
      </w:r>
      <w:r w:rsidR="002B2999" w:rsidRPr="00FA7706">
        <w:rPr>
          <w:lang w:val="en-GB"/>
        </w:rPr>
        <w:t>-</w:t>
      </w:r>
      <w:r w:rsidRPr="00FA7706">
        <w:rPr>
          <w:lang w:val="en-GB"/>
        </w:rPr>
        <w:t>effectiveness analyses using a lower utility value for progressed disease than used in the company</w:t>
      </w:r>
      <w:r w:rsidR="00903B57">
        <w:rPr>
          <w:lang w:val="en-GB"/>
        </w:rPr>
        <w:t>’</w:t>
      </w:r>
      <w:r w:rsidRPr="00FA7706">
        <w:rPr>
          <w:lang w:val="en-GB"/>
        </w:rPr>
        <w:t>s base</w:t>
      </w:r>
      <w:r w:rsidR="002B2999" w:rsidRPr="00FA7706">
        <w:rPr>
          <w:lang w:val="en-GB"/>
        </w:rPr>
        <w:t xml:space="preserve"> </w:t>
      </w:r>
      <w:r w:rsidRPr="00FA7706">
        <w:rPr>
          <w:lang w:val="en-GB"/>
        </w:rPr>
        <w:t>case and that it should be sourced from published literature.</w:t>
      </w:r>
    </w:p>
    <w:p w14:paraId="7F2E5B16" w14:textId="77777777" w:rsidR="00873C48" w:rsidRPr="00FA7706" w:rsidRDefault="00873C48" w:rsidP="00873C48">
      <w:pPr>
        <w:pStyle w:val="Heading2"/>
      </w:pPr>
      <w:r w:rsidRPr="00FA7706">
        <w:lastRenderedPageBreak/>
        <w:t>Cost-effectiveness results</w:t>
      </w:r>
    </w:p>
    <w:p w14:paraId="6547B3E3" w14:textId="1CCF49C8" w:rsidR="00A61480" w:rsidRPr="00FA7706" w:rsidRDefault="00873C48" w:rsidP="0048741A">
      <w:pPr>
        <w:pStyle w:val="Heading3"/>
      </w:pPr>
      <w:r w:rsidRPr="00FA7706">
        <w:t>The company’s cost</w:t>
      </w:r>
      <w:r w:rsidR="0099435B" w:rsidRPr="00FA7706">
        <w:t>-</w:t>
      </w:r>
      <w:r w:rsidRPr="00FA7706">
        <w:t>effectiveness results are not appropriate for decision making</w:t>
      </w:r>
    </w:p>
    <w:p w14:paraId="6D676A95" w14:textId="68B2BEDF" w:rsidR="00DB6A1C" w:rsidRPr="00FA7706" w:rsidRDefault="0030571A" w:rsidP="0030571A">
      <w:pPr>
        <w:pStyle w:val="Numberedlevel2text"/>
        <w:rPr>
          <w:lang w:val="en-GB"/>
        </w:rPr>
      </w:pPr>
      <w:bookmarkStart w:id="2" w:name="_Hlk27995812"/>
      <w:r w:rsidRPr="00FA7706">
        <w:rPr>
          <w:lang w:val="en-GB"/>
        </w:rPr>
        <w:t>The company’s base-case pairwise analyses based on the whole trial population (PD-L1 CPS 1 or more)</w:t>
      </w:r>
      <w:r w:rsidR="008E1190">
        <w:rPr>
          <w:lang w:val="en-GB"/>
        </w:rPr>
        <w:t>:</w:t>
      </w:r>
      <w:r w:rsidRPr="00FA7706">
        <w:rPr>
          <w:lang w:val="en-GB"/>
        </w:rPr>
        <w:t xml:space="preserve"> </w:t>
      </w:r>
    </w:p>
    <w:p w14:paraId="5F372025" w14:textId="1D07B958" w:rsidR="00DB6A1C" w:rsidRPr="00FA7706" w:rsidRDefault="0030571A" w:rsidP="00DB6A1C">
      <w:pPr>
        <w:pStyle w:val="Bulletindent1"/>
      </w:pPr>
      <w:r w:rsidRPr="00FA7706">
        <w:t>assumed a 20-year duration of treatment effect</w:t>
      </w:r>
      <w:r w:rsidR="00C11CAE" w:rsidRPr="00FA7706">
        <w:t xml:space="preserve"> (see section 3.9)</w:t>
      </w:r>
    </w:p>
    <w:p w14:paraId="5251936C" w14:textId="453A2AA8" w:rsidR="00DB6A1C" w:rsidRDefault="0030571A" w:rsidP="00DB6A1C">
      <w:pPr>
        <w:pStyle w:val="Bulletindent1"/>
      </w:pPr>
      <w:r w:rsidRPr="00FA7706">
        <w:t>us</w:t>
      </w:r>
      <w:r w:rsidR="00D74ACA" w:rsidRPr="00FA7706">
        <w:t>ed</w:t>
      </w:r>
      <w:r w:rsidRPr="00FA7706">
        <w:t xml:space="preserve"> a log-logistic distribution curve for pembrolizumab monotherapy</w:t>
      </w:r>
      <w:r w:rsidR="00707609">
        <w:t xml:space="preserve"> to model overall survival</w:t>
      </w:r>
      <w:r w:rsidR="00944AB9">
        <w:t xml:space="preserve"> (see section 3.</w:t>
      </w:r>
      <w:r w:rsidR="00707609">
        <w:t>10</w:t>
      </w:r>
      <w:r w:rsidR="00944AB9">
        <w:t>)</w:t>
      </w:r>
    </w:p>
    <w:p w14:paraId="4642786C" w14:textId="4C5E13F3" w:rsidR="00B42E5E" w:rsidRPr="00FA7706" w:rsidRDefault="00DB6A1C" w:rsidP="00446FF6">
      <w:pPr>
        <w:pStyle w:val="Bulletindent1"/>
      </w:pPr>
      <w:r w:rsidRPr="00446FF6">
        <w:t>used</w:t>
      </w:r>
      <w:r w:rsidRPr="00FA7706">
        <w:t xml:space="preserve"> </w:t>
      </w:r>
      <w:r w:rsidR="0030571A" w:rsidRPr="00FA7706">
        <w:t>a log-normal distribution cur</w:t>
      </w:r>
      <w:r w:rsidR="00C11CAE" w:rsidRPr="00FA7706">
        <w:t>v</w:t>
      </w:r>
      <w:r w:rsidR="0030571A" w:rsidRPr="00FA7706">
        <w:t>e for combination therapy</w:t>
      </w:r>
      <w:r w:rsidR="00C11CAE" w:rsidRPr="00FA7706">
        <w:t xml:space="preserve"> </w:t>
      </w:r>
      <w:r w:rsidR="000F4FDA" w:rsidRPr="00FA7706">
        <w:t xml:space="preserve">to </w:t>
      </w:r>
      <w:r w:rsidR="00C11CAE" w:rsidRPr="00FA7706">
        <w:t>model overall survival (see section 3.10)</w:t>
      </w:r>
    </w:p>
    <w:p w14:paraId="6519C572" w14:textId="28B8960F" w:rsidR="006F48C9" w:rsidRDefault="00DB6A1C" w:rsidP="00ED4673">
      <w:pPr>
        <w:pStyle w:val="Bulletindent1last"/>
      </w:pPr>
      <w:r w:rsidRPr="00FA7706">
        <w:t xml:space="preserve">used </w:t>
      </w:r>
      <w:r w:rsidR="00C11CAE" w:rsidRPr="00FA7706">
        <w:t>clinical data from the company’s fractional polynomial network meta-analysis for the comparison of pembrolizumab with platinum chemotherapy and 5-FU</w:t>
      </w:r>
      <w:r w:rsidR="009D5168" w:rsidRPr="00FA7706">
        <w:t xml:space="preserve"> (see section 3.7)</w:t>
      </w:r>
      <w:r w:rsidR="00C11CAE" w:rsidRPr="00FA7706">
        <w:t>.</w:t>
      </w:r>
    </w:p>
    <w:p w14:paraId="233BBFC7" w14:textId="2039D129" w:rsidR="00B42E5E" w:rsidRPr="00FA7706" w:rsidRDefault="000818C7" w:rsidP="006F48C9">
      <w:pPr>
        <w:pStyle w:val="Bulletindent1last"/>
        <w:numPr>
          <w:ilvl w:val="0"/>
          <w:numId w:val="0"/>
        </w:numPr>
        <w:ind w:left="1134"/>
      </w:pPr>
      <w:r w:rsidRPr="00FA7706">
        <w:t xml:space="preserve">All cost-effectiveness analyses included the </w:t>
      </w:r>
      <w:r w:rsidR="000F4FDA" w:rsidRPr="00FA7706">
        <w:t xml:space="preserve">company’s commercial arrangement </w:t>
      </w:r>
      <w:r w:rsidRPr="00FA7706">
        <w:t xml:space="preserve">for pembrolizumab. </w:t>
      </w:r>
      <w:r w:rsidR="00D60042" w:rsidRPr="00FA7706">
        <w:t>Pairwise analys</w:t>
      </w:r>
      <w:r w:rsidR="001B54C7" w:rsidRPr="00FA7706">
        <w:t>es</w:t>
      </w:r>
      <w:r w:rsidR="00D60042" w:rsidRPr="00FA7706">
        <w:t xml:space="preserve"> showed that p</w:t>
      </w:r>
      <w:r w:rsidR="00994AE0" w:rsidRPr="00FA7706">
        <w:t>embrolizumab monotherapy dominate</w:t>
      </w:r>
      <w:r w:rsidR="001B0C9F" w:rsidRPr="00FA7706">
        <w:t>d</w:t>
      </w:r>
      <w:r w:rsidR="00DB6A1C" w:rsidRPr="00FA7706">
        <w:t xml:space="preserve"> (was more effective and cheaper than)</w:t>
      </w:r>
      <w:r w:rsidR="00994AE0" w:rsidRPr="00FA7706">
        <w:t xml:space="preserve"> cetuximab with platinum chemotherapy</w:t>
      </w:r>
      <w:r w:rsidR="001B0C9F" w:rsidRPr="00FA7706">
        <w:t xml:space="preserve"> and 5-FU</w:t>
      </w:r>
      <w:r w:rsidR="001B54C7" w:rsidRPr="00FA7706">
        <w:t xml:space="preserve">. The </w:t>
      </w:r>
      <w:r w:rsidR="006130BD" w:rsidRPr="00FA7706">
        <w:t>incremental cost-effectiveness ratio (</w:t>
      </w:r>
      <w:r w:rsidR="0030571A" w:rsidRPr="00FA7706">
        <w:t>ICER</w:t>
      </w:r>
      <w:r w:rsidR="006130BD" w:rsidRPr="00FA7706">
        <w:t>)</w:t>
      </w:r>
      <w:r w:rsidR="0030571A" w:rsidRPr="00FA7706">
        <w:t xml:space="preserve"> </w:t>
      </w:r>
      <w:r w:rsidR="00994AE0" w:rsidRPr="00FA7706">
        <w:t xml:space="preserve">for pembrolizumab combination therapy </w:t>
      </w:r>
      <w:r w:rsidR="001B0C9F" w:rsidRPr="00FA7706">
        <w:t xml:space="preserve">compared with cetuximab with platinum chemotherapy and 5-FU was </w:t>
      </w:r>
      <w:r w:rsidR="00994AE0" w:rsidRPr="00FA7706">
        <w:t>£9,255 per quality</w:t>
      </w:r>
      <w:r w:rsidR="00DB6A1C" w:rsidRPr="00FA7706">
        <w:t>-</w:t>
      </w:r>
      <w:r w:rsidR="00994AE0" w:rsidRPr="00FA7706">
        <w:t>adjusted life year (QALY</w:t>
      </w:r>
      <w:r w:rsidR="00DB6A1C" w:rsidRPr="00FA7706">
        <w:t>)</w:t>
      </w:r>
      <w:r w:rsidR="00994AE0" w:rsidRPr="00FA7706">
        <w:t xml:space="preserve"> gained</w:t>
      </w:r>
      <w:r w:rsidR="00DF57DC" w:rsidRPr="00FA7706">
        <w:t>.</w:t>
      </w:r>
      <w:r w:rsidR="00B42E5E" w:rsidRPr="00FA7706">
        <w:t xml:space="preserve"> </w:t>
      </w:r>
      <w:r w:rsidR="001B0C9F" w:rsidRPr="00FA7706">
        <w:t>U</w:t>
      </w:r>
      <w:r w:rsidR="0030571A" w:rsidRPr="00FA7706">
        <w:t xml:space="preserve">sing the fractional polynomial network meta-analysis to estimate overall survival, </w:t>
      </w:r>
      <w:r w:rsidR="00B42E5E" w:rsidRPr="00FA7706">
        <w:t xml:space="preserve">compared with platinum chemotherapy and 5-FU, </w:t>
      </w:r>
      <w:r w:rsidR="0030571A" w:rsidRPr="00FA7706">
        <w:t xml:space="preserve">the ICERs </w:t>
      </w:r>
      <w:r w:rsidR="001D22B8" w:rsidRPr="00FA7706">
        <w:t xml:space="preserve">per QALY gained </w:t>
      </w:r>
      <w:r w:rsidR="00B42E5E" w:rsidRPr="00FA7706">
        <w:t>were:</w:t>
      </w:r>
    </w:p>
    <w:p w14:paraId="362748E7" w14:textId="4AF0F910" w:rsidR="001D22B8" w:rsidRPr="00FA7706" w:rsidRDefault="001D22B8" w:rsidP="001D22B8">
      <w:pPr>
        <w:pStyle w:val="Bulletindent1"/>
      </w:pPr>
      <w:r w:rsidRPr="00FA7706">
        <w:t xml:space="preserve">£31,070 </w:t>
      </w:r>
      <w:r w:rsidR="001B0C9F" w:rsidRPr="00FA7706">
        <w:t xml:space="preserve">for pembrolizumab monotherapy </w:t>
      </w:r>
    </w:p>
    <w:p w14:paraId="6403FB24" w14:textId="77777777" w:rsidR="006F48C9" w:rsidRDefault="001D22B8" w:rsidP="001D22B8">
      <w:pPr>
        <w:pStyle w:val="Bulletindent1last"/>
      </w:pPr>
      <w:r w:rsidRPr="00FA7706">
        <w:t xml:space="preserve">£31,212 </w:t>
      </w:r>
      <w:r w:rsidR="00CC07BF">
        <w:t xml:space="preserve">for </w:t>
      </w:r>
      <w:r w:rsidR="001B0C9F" w:rsidRPr="00FA7706">
        <w:t>pembrolizumab combination therapy.</w:t>
      </w:r>
      <w:bookmarkEnd w:id="2"/>
      <w:r w:rsidR="00B42E5E" w:rsidRPr="00FA7706">
        <w:t xml:space="preserve"> </w:t>
      </w:r>
    </w:p>
    <w:p w14:paraId="39266E97" w14:textId="474CAFE0" w:rsidR="00B42E5E" w:rsidRPr="00FA7706" w:rsidRDefault="00DB6A1C" w:rsidP="006F48C9">
      <w:pPr>
        <w:pStyle w:val="Bulletindent1last"/>
        <w:numPr>
          <w:ilvl w:val="0"/>
          <w:numId w:val="0"/>
        </w:numPr>
        <w:ind w:left="1134"/>
      </w:pPr>
      <w:r w:rsidRPr="00FA7706">
        <w:t>When the</w:t>
      </w:r>
      <w:r w:rsidR="00873C48" w:rsidRPr="00FA7706">
        <w:t xml:space="preserve"> confidential commercial arrangement </w:t>
      </w:r>
      <w:r w:rsidR="001C45EE" w:rsidRPr="00FA7706">
        <w:t>for</w:t>
      </w:r>
      <w:r w:rsidR="00873C48" w:rsidRPr="00FA7706">
        <w:t xml:space="preserve"> cetuximab was </w:t>
      </w:r>
      <w:proofErr w:type="gramStart"/>
      <w:r w:rsidR="00873C48" w:rsidRPr="00FA7706">
        <w:t>taken into account</w:t>
      </w:r>
      <w:proofErr w:type="gramEnd"/>
      <w:r w:rsidR="00873C48" w:rsidRPr="00FA7706">
        <w:t>, the ICERs for pembrolizumab monotherapy and combination therapy</w:t>
      </w:r>
      <w:r w:rsidR="00B42E5E" w:rsidRPr="00FA7706">
        <w:t xml:space="preserve"> increased</w:t>
      </w:r>
      <w:r w:rsidR="00873C48" w:rsidRPr="00FA7706">
        <w:t xml:space="preserve"> (the ICER</w:t>
      </w:r>
      <w:r w:rsidR="0076753A" w:rsidRPr="00FA7706">
        <w:t>s</w:t>
      </w:r>
      <w:r w:rsidR="00873C48" w:rsidRPr="00FA7706">
        <w:t xml:space="preserve"> </w:t>
      </w:r>
      <w:r w:rsidR="0076753A" w:rsidRPr="00FA7706">
        <w:t>are</w:t>
      </w:r>
      <w:r w:rsidR="00873C48" w:rsidRPr="00FA7706">
        <w:t xml:space="preserve"> confidential and therefore cannot be reported here). The committee noted that the company’s base</w:t>
      </w:r>
      <w:r w:rsidR="001C45EE" w:rsidRPr="00FA7706">
        <w:t>-</w:t>
      </w:r>
      <w:r w:rsidR="00873C48" w:rsidRPr="00FA7706">
        <w:t>case ICERs did not include its preferred assumptions</w:t>
      </w:r>
      <w:r w:rsidR="00B42E5E" w:rsidRPr="00FA7706">
        <w:t xml:space="preserve">: </w:t>
      </w:r>
    </w:p>
    <w:p w14:paraId="27037A40" w14:textId="23A52E9F" w:rsidR="00B42E5E" w:rsidRPr="00FA7706" w:rsidRDefault="00873C48" w:rsidP="00B42E5E">
      <w:pPr>
        <w:pStyle w:val="Bulletindent1"/>
      </w:pPr>
      <w:r w:rsidRPr="00FA7706">
        <w:lastRenderedPageBreak/>
        <w:t xml:space="preserve">analyses based on </w:t>
      </w:r>
      <w:r w:rsidR="00994AE0" w:rsidRPr="00FA7706">
        <w:t xml:space="preserve">baseline characteristics of the </w:t>
      </w:r>
      <w:r w:rsidR="001B0C9F" w:rsidRPr="00FA7706">
        <w:t xml:space="preserve">2 </w:t>
      </w:r>
      <w:r w:rsidR="00994AE0" w:rsidRPr="00FA7706">
        <w:t xml:space="preserve">subgroups and where the cancer started </w:t>
      </w:r>
      <w:r w:rsidRPr="00FA7706">
        <w:t>(see sections 3.6 and 3.10)</w:t>
      </w:r>
    </w:p>
    <w:p w14:paraId="47E5DDC7" w14:textId="2A338379" w:rsidR="00B42E5E" w:rsidRPr="00FA7706" w:rsidRDefault="00873C48" w:rsidP="00B42E5E">
      <w:pPr>
        <w:pStyle w:val="Bulletindent1"/>
      </w:pPr>
      <w:r w:rsidRPr="00FA7706">
        <w:t>treatment duration of 5</w:t>
      </w:r>
      <w:r w:rsidR="00C80A49" w:rsidRPr="00FA7706">
        <w:t> </w:t>
      </w:r>
      <w:r w:rsidRPr="00FA7706">
        <w:t>years (see section 3.9)</w:t>
      </w:r>
    </w:p>
    <w:p w14:paraId="398452FC" w14:textId="15478696" w:rsidR="00B42E5E" w:rsidRPr="00FA7706" w:rsidRDefault="00873C48" w:rsidP="00B42E5E">
      <w:pPr>
        <w:pStyle w:val="Bulletindent1"/>
      </w:pPr>
      <w:r w:rsidRPr="00FA7706">
        <w:t>a lower utility value for progressed disease (see section 3.11)</w:t>
      </w:r>
    </w:p>
    <w:p w14:paraId="193A2AF1" w14:textId="77777777" w:rsidR="00ED4673" w:rsidRDefault="00A50739" w:rsidP="00ED4673">
      <w:pPr>
        <w:pStyle w:val="Bulletindent1last"/>
      </w:pPr>
      <w:r w:rsidRPr="00FA7706">
        <w:t xml:space="preserve">a </w:t>
      </w:r>
      <w:r w:rsidR="006D6DB1" w:rsidRPr="00FA7706">
        <w:t>fully incremental analys</w:t>
      </w:r>
      <w:r w:rsidR="00F45645" w:rsidRPr="00FA7706">
        <w:t>i</w:t>
      </w:r>
      <w:r w:rsidR="006D6DB1" w:rsidRPr="00FA7706">
        <w:t>s (</w:t>
      </w:r>
      <w:r w:rsidRPr="00FA7706">
        <w:t>a combined single analysis in which cetuximab with platinum chemotherapy and 5-FU, or platinum chemotherapy and 5-FU</w:t>
      </w:r>
      <w:r w:rsidR="00B42E5E" w:rsidRPr="00FA7706">
        <w:t>,</w:t>
      </w:r>
      <w:r w:rsidRPr="00FA7706">
        <w:t xml:space="preserve"> is compared with pembrolizumab monotherapy, which in turn is then compared with pembrolizumab in combination) </w:t>
      </w:r>
      <w:r w:rsidR="00B42E5E" w:rsidRPr="00FA7706">
        <w:t>because</w:t>
      </w:r>
      <w:r w:rsidRPr="00FA7706">
        <w:t xml:space="preserve"> the populations who would be offered one treatment over the other are not distinct patient populations (see section 3.3). </w:t>
      </w:r>
    </w:p>
    <w:p w14:paraId="15EE4AB7" w14:textId="502C48D6" w:rsidR="00873C48" w:rsidRPr="00FA7706" w:rsidRDefault="00873C48" w:rsidP="00ED4673">
      <w:pPr>
        <w:pStyle w:val="Bulletindent1last"/>
        <w:numPr>
          <w:ilvl w:val="0"/>
          <w:numId w:val="0"/>
        </w:numPr>
        <w:ind w:left="1134"/>
      </w:pPr>
      <w:r w:rsidRPr="00FA7706">
        <w:t>The committee therefore concluded that the company’s cost</w:t>
      </w:r>
      <w:r w:rsidR="0099435B" w:rsidRPr="00FA7706">
        <w:t>-</w:t>
      </w:r>
      <w:r w:rsidRPr="00FA7706">
        <w:t>effectiveness analyses were not appropriate for its decision making and agreed not to consider them further.</w:t>
      </w:r>
    </w:p>
    <w:p w14:paraId="0FCE78C6" w14:textId="6E1815E7" w:rsidR="007F4403" w:rsidRPr="00FA7706" w:rsidRDefault="00873C48" w:rsidP="00873C48">
      <w:pPr>
        <w:pStyle w:val="Heading3"/>
      </w:pPr>
      <w:r w:rsidRPr="00FA7706">
        <w:t>The ERG’s preferred exploratory cost</w:t>
      </w:r>
      <w:r w:rsidR="0099435B" w:rsidRPr="00FA7706">
        <w:t>-</w:t>
      </w:r>
      <w:r w:rsidRPr="00FA7706">
        <w:t>effectiveness analyses are not appropriate for decision making</w:t>
      </w:r>
    </w:p>
    <w:p w14:paraId="10B32FCB" w14:textId="7684E5E4" w:rsidR="00B42E5E" w:rsidRPr="00FA7706" w:rsidRDefault="00CC5921" w:rsidP="003E409F">
      <w:pPr>
        <w:pStyle w:val="Numberedlevel2text"/>
        <w:rPr>
          <w:lang w:val="en-GB"/>
        </w:rPr>
      </w:pPr>
      <w:bookmarkStart w:id="3" w:name="_Hlk26944236"/>
      <w:r w:rsidRPr="00FA7706">
        <w:rPr>
          <w:lang w:val="en-GB"/>
        </w:rPr>
        <w:t xml:space="preserve">The ERG presented </w:t>
      </w:r>
      <w:r w:rsidR="003B79BB" w:rsidRPr="00FA7706">
        <w:rPr>
          <w:lang w:val="en-GB"/>
        </w:rPr>
        <w:t>cost</w:t>
      </w:r>
      <w:r w:rsidR="00B42E5E" w:rsidRPr="00FA7706">
        <w:rPr>
          <w:lang w:val="en-GB"/>
        </w:rPr>
        <w:t>-</w:t>
      </w:r>
      <w:r w:rsidR="003B79BB" w:rsidRPr="00FA7706">
        <w:rPr>
          <w:lang w:val="en-GB"/>
        </w:rPr>
        <w:t xml:space="preserve">effectiveness analyses (pairwise and fully incremental) </w:t>
      </w:r>
      <w:r w:rsidRPr="00FA7706">
        <w:rPr>
          <w:lang w:val="en-GB"/>
        </w:rPr>
        <w:t>for pembrolizumab (monotherapy or in combination) compared with cetuximab with platinum chemotherapy and 5-FU, and compared with platinum chemotherapy and 5-FU</w:t>
      </w:r>
      <w:r w:rsidR="00633EB1" w:rsidRPr="00FA7706">
        <w:rPr>
          <w:lang w:val="en-GB"/>
        </w:rPr>
        <w:t xml:space="preserve"> for the 2 population subgroups </w:t>
      </w:r>
      <w:r w:rsidR="00FD2403">
        <w:rPr>
          <w:lang w:val="en-GB"/>
        </w:rPr>
        <w:t>(</w:t>
      </w:r>
      <w:r w:rsidR="00633EB1" w:rsidRPr="00FA7706">
        <w:rPr>
          <w:lang w:val="en-GB"/>
        </w:rPr>
        <w:t xml:space="preserve">people whose </w:t>
      </w:r>
      <w:r w:rsidR="00C13C99" w:rsidRPr="00FA7706">
        <w:rPr>
          <w:lang w:val="en-GB"/>
        </w:rPr>
        <w:t xml:space="preserve">cancer </w:t>
      </w:r>
      <w:r w:rsidR="00633EB1" w:rsidRPr="00FA7706">
        <w:rPr>
          <w:lang w:val="en-GB"/>
        </w:rPr>
        <w:t>started inside or outside the oral cavity</w:t>
      </w:r>
      <w:r w:rsidR="00FD2403">
        <w:rPr>
          <w:lang w:val="en-GB"/>
        </w:rPr>
        <w:t>)</w:t>
      </w:r>
      <w:r w:rsidRPr="00FA7706">
        <w:rPr>
          <w:lang w:val="en-GB"/>
        </w:rPr>
        <w:t xml:space="preserve">. </w:t>
      </w:r>
      <w:r w:rsidR="00D74ACA" w:rsidRPr="00FA7706">
        <w:rPr>
          <w:lang w:val="en-GB"/>
        </w:rPr>
        <w:t>The ERG</w:t>
      </w:r>
      <w:r w:rsidR="00B42E5E" w:rsidRPr="00FA7706">
        <w:rPr>
          <w:lang w:val="en-GB"/>
        </w:rPr>
        <w:t>’</w:t>
      </w:r>
      <w:r w:rsidR="00D74ACA" w:rsidRPr="00FA7706">
        <w:rPr>
          <w:lang w:val="en-GB"/>
        </w:rPr>
        <w:t>s analyses</w:t>
      </w:r>
      <w:r w:rsidR="00895CC7">
        <w:rPr>
          <w:lang w:val="en-GB"/>
        </w:rPr>
        <w:t>:</w:t>
      </w:r>
      <w:r w:rsidR="00D74ACA" w:rsidRPr="00FA7706">
        <w:rPr>
          <w:lang w:val="en-GB"/>
        </w:rPr>
        <w:t xml:space="preserve"> </w:t>
      </w:r>
    </w:p>
    <w:p w14:paraId="500C2323" w14:textId="63746578" w:rsidR="00B42E5E" w:rsidRPr="00FA7706" w:rsidRDefault="00D74ACA" w:rsidP="00B42E5E">
      <w:pPr>
        <w:pStyle w:val="Bulletindent1"/>
      </w:pPr>
      <w:r w:rsidRPr="00FA7706">
        <w:t>assumed a 5-year duration of treatment effect</w:t>
      </w:r>
      <w:r w:rsidR="009D5168" w:rsidRPr="00FA7706">
        <w:t xml:space="preserve"> (see section 3.9)</w:t>
      </w:r>
    </w:p>
    <w:p w14:paraId="2C2678E9" w14:textId="6CC5B53F" w:rsidR="00B42E5E" w:rsidRPr="00FA7706" w:rsidRDefault="00D74ACA" w:rsidP="00B42E5E">
      <w:pPr>
        <w:pStyle w:val="Bulletindent1"/>
      </w:pPr>
      <w:r w:rsidRPr="00FA7706">
        <w:t>used a Weibull distribution curve for</w:t>
      </w:r>
      <w:r w:rsidR="004F7E42" w:rsidRPr="00FA7706">
        <w:t xml:space="preserve"> modelling overall survival for </w:t>
      </w:r>
      <w:r w:rsidRPr="00FA7706">
        <w:t>pembrolizumab monotherapy and pembrolizumab combination therapy</w:t>
      </w:r>
      <w:r w:rsidR="009D5168" w:rsidRPr="00FA7706">
        <w:t xml:space="preserve"> (see section 3.10)</w:t>
      </w:r>
    </w:p>
    <w:p w14:paraId="42F4709A" w14:textId="126B1A01" w:rsidR="00F75D7B" w:rsidRDefault="009D5168" w:rsidP="00736871">
      <w:pPr>
        <w:pStyle w:val="Bulletindent1last"/>
        <w:numPr>
          <w:ilvl w:val="0"/>
          <w:numId w:val="31"/>
        </w:numPr>
        <w:ind w:left="1435"/>
      </w:pPr>
      <w:r w:rsidRPr="00FA7706">
        <w:t>used Kaplan–Meier data from the cetuximab with platinum chemotherapy and 5-FU chemotherapy arm of KEYNOTE-048 for the comparison of pembrolizumab with platinum chemotherapy and 5-FU</w:t>
      </w:r>
      <w:r w:rsidR="00571160" w:rsidRPr="00FA7706">
        <w:t xml:space="preserve"> </w:t>
      </w:r>
      <w:r w:rsidR="00571160" w:rsidRPr="00FA7706">
        <w:lastRenderedPageBreak/>
        <w:t xml:space="preserve">for people whose </w:t>
      </w:r>
      <w:r w:rsidR="00C13C99" w:rsidRPr="00FA7706">
        <w:t>cancer</w:t>
      </w:r>
      <w:r w:rsidR="00571160" w:rsidRPr="00FA7706">
        <w:t xml:space="preserve"> started outside the oral</w:t>
      </w:r>
      <w:r w:rsidR="007F30D9">
        <w:t xml:space="preserve"> </w:t>
      </w:r>
      <w:r w:rsidR="00571160" w:rsidRPr="00FA7706">
        <w:t>cavity</w:t>
      </w:r>
      <w:r w:rsidR="00B42E5E" w:rsidRPr="00FA7706">
        <w:t> </w:t>
      </w:r>
      <w:r w:rsidRPr="00FA7706">
        <w:t>(see</w:t>
      </w:r>
      <w:r w:rsidR="00B42E5E" w:rsidRPr="00FA7706">
        <w:t> </w:t>
      </w:r>
      <w:r w:rsidRPr="00FA7706">
        <w:t>section</w:t>
      </w:r>
      <w:r w:rsidR="00B42E5E" w:rsidRPr="00FA7706">
        <w:t> </w:t>
      </w:r>
      <w:r w:rsidRPr="00FA7706">
        <w:t>3.7)</w:t>
      </w:r>
      <w:r w:rsidR="00D74ACA" w:rsidRPr="00FA7706">
        <w:t xml:space="preserve">. </w:t>
      </w:r>
    </w:p>
    <w:p w14:paraId="0B4122DB" w14:textId="37D008F5" w:rsidR="00F75D7B" w:rsidRDefault="004A5F44" w:rsidP="00F75D7B">
      <w:pPr>
        <w:pStyle w:val="Bulletindent1last"/>
        <w:numPr>
          <w:ilvl w:val="0"/>
          <w:numId w:val="0"/>
        </w:numPr>
        <w:ind w:left="1134"/>
      </w:pPr>
      <w:r w:rsidRPr="00FA7706">
        <w:t xml:space="preserve">All cost-effectiveness analyses included the company’s commercial arrangement for pembrolizumab. </w:t>
      </w:r>
    </w:p>
    <w:p w14:paraId="095278B3" w14:textId="77777777" w:rsidR="00A707FE" w:rsidRDefault="001937E9" w:rsidP="00A707FE">
      <w:pPr>
        <w:pStyle w:val="Bulletindent1last"/>
        <w:numPr>
          <w:ilvl w:val="0"/>
          <w:numId w:val="0"/>
        </w:numPr>
        <w:ind w:left="1134"/>
      </w:pPr>
      <w:r w:rsidRPr="00FA7706">
        <w:t xml:space="preserve">For people whose </w:t>
      </w:r>
      <w:r w:rsidR="00C13C99" w:rsidRPr="00FA7706">
        <w:t>cancer</w:t>
      </w:r>
      <w:r w:rsidRPr="00FA7706">
        <w:t xml:space="preserve"> started inside the oral cavity, </w:t>
      </w:r>
      <w:r w:rsidR="00D60042" w:rsidRPr="00FA7706">
        <w:t>pairwise analys</w:t>
      </w:r>
      <w:r w:rsidR="00DF57DC" w:rsidRPr="00FA7706">
        <w:t>es</w:t>
      </w:r>
      <w:r w:rsidR="00D60042" w:rsidRPr="00FA7706">
        <w:t xml:space="preserve"> showed that pembrolizumab monotherapy dominate</w:t>
      </w:r>
      <w:r w:rsidR="001B0C9F" w:rsidRPr="00FA7706">
        <w:t>d</w:t>
      </w:r>
      <w:r w:rsidR="00D60042" w:rsidRPr="00FA7706">
        <w:t xml:space="preserve"> cetuximab with platinum chemotherapy and 5</w:t>
      </w:r>
      <w:r w:rsidR="00B42E5E" w:rsidRPr="00FA7706">
        <w:noBreakHyphen/>
      </w:r>
      <w:r w:rsidR="00D60042" w:rsidRPr="00FA7706">
        <w:t>FU</w:t>
      </w:r>
      <w:r w:rsidR="00B42E5E" w:rsidRPr="00FA7706">
        <w:t>.</w:t>
      </w:r>
      <w:r w:rsidR="00D60042" w:rsidRPr="00FA7706">
        <w:t xml:space="preserve"> </w:t>
      </w:r>
      <w:r w:rsidR="00B42E5E" w:rsidRPr="00FA7706">
        <w:t>T</w:t>
      </w:r>
      <w:r w:rsidR="00D60042" w:rsidRPr="00FA7706">
        <w:t xml:space="preserve">he ICER </w:t>
      </w:r>
      <w:r w:rsidRPr="00FA7706">
        <w:t xml:space="preserve">for pembrolizumab </w:t>
      </w:r>
      <w:r w:rsidR="00D60042" w:rsidRPr="00FA7706">
        <w:t xml:space="preserve">combination therapy </w:t>
      </w:r>
      <w:r w:rsidR="001B0C9F" w:rsidRPr="00FA7706">
        <w:t xml:space="preserve">was </w:t>
      </w:r>
      <w:r w:rsidR="00D60042" w:rsidRPr="00FA7706">
        <w:t xml:space="preserve">£16,553 per QALY gained </w:t>
      </w:r>
      <w:r w:rsidRPr="00FA7706">
        <w:t>c</w:t>
      </w:r>
      <w:r w:rsidR="00D74ACA" w:rsidRPr="00FA7706">
        <w:t>ompared with cetuximab with platinum chemotherapy and 5-FU</w:t>
      </w:r>
      <w:r w:rsidR="00D60042" w:rsidRPr="00FA7706">
        <w:t>.</w:t>
      </w:r>
      <w:r w:rsidR="00D74ACA" w:rsidRPr="00FA7706">
        <w:t xml:space="preserve"> </w:t>
      </w:r>
    </w:p>
    <w:p w14:paraId="2095D04E" w14:textId="3BED0EEB" w:rsidR="00E95F85" w:rsidRPr="00FA7706" w:rsidRDefault="001937E9" w:rsidP="00A707FE">
      <w:pPr>
        <w:pStyle w:val="Bulletindent1last"/>
        <w:numPr>
          <w:ilvl w:val="0"/>
          <w:numId w:val="0"/>
        </w:numPr>
        <w:ind w:left="1134"/>
      </w:pPr>
      <w:r w:rsidRPr="00FA7706">
        <w:t xml:space="preserve">For people whose </w:t>
      </w:r>
      <w:r w:rsidR="00C13C99" w:rsidRPr="00FA7706">
        <w:t>cancer</w:t>
      </w:r>
      <w:r w:rsidRPr="00FA7706">
        <w:t xml:space="preserve"> started outside the oral cavity, </w:t>
      </w:r>
      <w:r w:rsidR="00C80A49" w:rsidRPr="00FA7706">
        <w:t xml:space="preserve">the </w:t>
      </w:r>
      <w:r w:rsidR="009D5168" w:rsidRPr="00FA7706">
        <w:t xml:space="preserve">pairwise </w:t>
      </w:r>
      <w:r w:rsidR="00C80A49" w:rsidRPr="00FA7706">
        <w:t xml:space="preserve">ICERs </w:t>
      </w:r>
      <w:r w:rsidR="00E95F85" w:rsidRPr="00FA7706">
        <w:t xml:space="preserve">per QALY gained </w:t>
      </w:r>
      <w:r w:rsidR="006B5BF7" w:rsidRPr="00FA7706">
        <w:t xml:space="preserve">compared with platinum chemotherapy and 5-FU </w:t>
      </w:r>
      <w:r w:rsidR="00D845C5" w:rsidRPr="00FA7706">
        <w:t>were</w:t>
      </w:r>
      <w:r w:rsidR="00E95F85" w:rsidRPr="00FA7706">
        <w:t>:</w:t>
      </w:r>
      <w:bookmarkStart w:id="4" w:name="_GoBack"/>
      <w:bookmarkEnd w:id="4"/>
    </w:p>
    <w:p w14:paraId="327F4C36" w14:textId="715D5479" w:rsidR="00E95F85" w:rsidRPr="00FA7706" w:rsidRDefault="00D60042" w:rsidP="00FF6FE6">
      <w:pPr>
        <w:pStyle w:val="Bulletindent1"/>
      </w:pPr>
      <w:r w:rsidRPr="00FA7706">
        <w:t xml:space="preserve">£56,085 </w:t>
      </w:r>
      <w:r w:rsidR="00C80A49" w:rsidRPr="00FA7706">
        <w:t xml:space="preserve">for pembrolizumab </w:t>
      </w:r>
      <w:r w:rsidRPr="00FA7706">
        <w:t>monotherapy</w:t>
      </w:r>
    </w:p>
    <w:p w14:paraId="001003D8" w14:textId="77777777" w:rsidR="00130ADE" w:rsidRDefault="00D845C5" w:rsidP="006B5BF7">
      <w:pPr>
        <w:pStyle w:val="Bulletindent1last"/>
      </w:pPr>
      <w:r w:rsidRPr="00FA7706">
        <w:t>£67,386 for pembrolizumab combination therapy.</w:t>
      </w:r>
    </w:p>
    <w:p w14:paraId="6083D8AA" w14:textId="0686E51B" w:rsidR="006B5BF7" w:rsidRPr="00FA7706" w:rsidRDefault="007F70BC" w:rsidP="00130ADE">
      <w:pPr>
        <w:pStyle w:val="Bulletindent1last"/>
        <w:numPr>
          <w:ilvl w:val="0"/>
          <w:numId w:val="0"/>
        </w:numPr>
        <w:ind w:left="1134"/>
      </w:pPr>
      <w:r w:rsidRPr="00FA7706">
        <w:t xml:space="preserve">The ICERs </w:t>
      </w:r>
      <w:r w:rsidR="006B5BF7" w:rsidRPr="00FA7706">
        <w:t xml:space="preserve">per QALY gained </w:t>
      </w:r>
      <w:r w:rsidR="0021664F" w:rsidRPr="00FA7706">
        <w:t>for the fully incremental analysis</w:t>
      </w:r>
      <w:r w:rsidRPr="00FA7706">
        <w:t xml:space="preserve"> using the ERG’s preferred analyses </w:t>
      </w:r>
      <w:r w:rsidR="002232CA" w:rsidRPr="00FA7706">
        <w:t xml:space="preserve">for people whose cancer started outside the oral cavity </w:t>
      </w:r>
      <w:r w:rsidRPr="00FA7706">
        <w:t>were</w:t>
      </w:r>
      <w:r w:rsidR="006B5BF7" w:rsidRPr="00FA7706">
        <w:t>:</w:t>
      </w:r>
    </w:p>
    <w:p w14:paraId="7232B227" w14:textId="6322D56F" w:rsidR="006B5BF7" w:rsidRPr="00FA7706" w:rsidRDefault="007F70BC" w:rsidP="006B5BF7">
      <w:pPr>
        <w:pStyle w:val="Bulletindent1"/>
      </w:pPr>
      <w:r w:rsidRPr="00FA7706">
        <w:t>£</w:t>
      </w:r>
      <w:r w:rsidR="002232CA" w:rsidRPr="00FA7706">
        <w:t>56,052</w:t>
      </w:r>
      <w:r w:rsidR="00D74ACA" w:rsidRPr="00FA7706">
        <w:t xml:space="preserve"> </w:t>
      </w:r>
      <w:r w:rsidR="002232CA" w:rsidRPr="00FA7706">
        <w:t>for pembrolizumab monotherapy</w:t>
      </w:r>
      <w:r w:rsidR="00D60042" w:rsidRPr="00FA7706">
        <w:t xml:space="preserve"> compared with platinum chemotherapy and 5-FU</w:t>
      </w:r>
      <w:r w:rsidR="002232CA" w:rsidRPr="00FA7706">
        <w:t xml:space="preserve"> </w:t>
      </w:r>
    </w:p>
    <w:p w14:paraId="60AC418D" w14:textId="77777777" w:rsidR="00130ADE" w:rsidRDefault="002232CA" w:rsidP="006B5BF7">
      <w:pPr>
        <w:pStyle w:val="Bulletindent1last"/>
      </w:pPr>
      <w:r w:rsidRPr="00FA7706">
        <w:t>£114,224 for pembrolizumab combination therapy</w:t>
      </w:r>
      <w:r w:rsidR="00D845C5" w:rsidRPr="00FA7706">
        <w:t xml:space="preserve"> compared with pembrolizumab monotherapy</w:t>
      </w:r>
      <w:r w:rsidR="001937E9" w:rsidRPr="00FA7706">
        <w:t>.</w:t>
      </w:r>
    </w:p>
    <w:p w14:paraId="52B80416" w14:textId="1F2EC79B" w:rsidR="00873C48" w:rsidRPr="00FA7706" w:rsidRDefault="00EC0F16" w:rsidP="00130ADE">
      <w:pPr>
        <w:pStyle w:val="Bulletindent1last"/>
        <w:numPr>
          <w:ilvl w:val="0"/>
          <w:numId w:val="0"/>
        </w:numPr>
        <w:ind w:left="1134"/>
      </w:pPr>
      <w:r w:rsidRPr="00FA7706">
        <w:t xml:space="preserve">For people whose cancer started </w:t>
      </w:r>
      <w:r w:rsidR="002232CA" w:rsidRPr="00FA7706">
        <w:t>inside the oral</w:t>
      </w:r>
      <w:r w:rsidR="0021664F" w:rsidRPr="00FA7706">
        <w:t xml:space="preserve"> </w:t>
      </w:r>
      <w:r w:rsidR="002232CA" w:rsidRPr="00FA7706">
        <w:t>cavity</w:t>
      </w:r>
      <w:r w:rsidR="0021664F" w:rsidRPr="00FA7706">
        <w:t xml:space="preserve">, the ERG provided a fully incremental analysis including the confidential commercial arrangement for cetuximab. The ICERs </w:t>
      </w:r>
      <w:r w:rsidR="002232CA" w:rsidRPr="00FA7706">
        <w:t>were below £50,000 for pembrolizumab monotherapy</w:t>
      </w:r>
      <w:r w:rsidR="00D845C5" w:rsidRPr="00FA7706">
        <w:t xml:space="preserve"> compared with cetuximab with platinum chemotherapy and 5-FU </w:t>
      </w:r>
      <w:r w:rsidR="002232CA" w:rsidRPr="00FA7706">
        <w:t>and pembrolizumab combination therapy</w:t>
      </w:r>
      <w:r w:rsidR="00AE4898" w:rsidRPr="00FA7706">
        <w:t xml:space="preserve"> </w:t>
      </w:r>
      <w:r w:rsidR="00D845C5" w:rsidRPr="00FA7706">
        <w:t xml:space="preserve">compared with pembrolizumab monotherapy </w:t>
      </w:r>
      <w:r w:rsidR="00AE4898" w:rsidRPr="00FA7706">
        <w:t>(the ICERs are confidential and therefore cannot be reported here)</w:t>
      </w:r>
      <w:r w:rsidR="002232CA" w:rsidRPr="00FA7706">
        <w:t xml:space="preserve">. </w:t>
      </w:r>
      <w:r w:rsidR="0095150C" w:rsidRPr="00FA7706">
        <w:t xml:space="preserve">The ERG considered the fully </w:t>
      </w:r>
      <w:r w:rsidR="0095150C" w:rsidRPr="00FA7706">
        <w:lastRenderedPageBreak/>
        <w:t xml:space="preserve">incremental analysis to be the most appropriate analysis </w:t>
      </w:r>
      <w:r w:rsidR="00B42E5E" w:rsidRPr="00FA7706">
        <w:t xml:space="preserve">because </w:t>
      </w:r>
      <w:r w:rsidR="0095150C" w:rsidRPr="00FA7706">
        <w:t>there are 2 interventions</w:t>
      </w:r>
      <w:r w:rsidR="00B42E5E" w:rsidRPr="00FA7706">
        <w:t xml:space="preserve"> being appraised for the same population:</w:t>
      </w:r>
      <w:r w:rsidR="00633EB1" w:rsidRPr="00FA7706">
        <w:t xml:space="preserve"> pembrolizumab monotherapy and in combination.</w:t>
      </w:r>
      <w:r w:rsidR="00873C48" w:rsidRPr="00FA7706">
        <w:t xml:space="preserve"> </w:t>
      </w:r>
      <w:r w:rsidR="00F049B7" w:rsidRPr="00FA7706">
        <w:t xml:space="preserve">The committee agreed that </w:t>
      </w:r>
      <w:r w:rsidR="00255966" w:rsidRPr="00FA7706">
        <w:t xml:space="preserve">the ERG’s fully incremental analysis </w:t>
      </w:r>
      <w:r w:rsidR="00C843DA" w:rsidRPr="00FA7706">
        <w:t>was its preferred analys</w:t>
      </w:r>
      <w:r w:rsidR="00B42E5E" w:rsidRPr="00FA7706">
        <w:t>i</w:t>
      </w:r>
      <w:r w:rsidR="00C843DA" w:rsidRPr="00FA7706">
        <w:t xml:space="preserve">s. This was because it </w:t>
      </w:r>
      <w:proofErr w:type="gramStart"/>
      <w:r w:rsidR="00C843DA" w:rsidRPr="00FA7706">
        <w:t>took into account</w:t>
      </w:r>
      <w:proofErr w:type="gramEnd"/>
      <w:r w:rsidR="00C843DA" w:rsidRPr="00FA7706">
        <w:t xml:space="preserve"> that 2 interventions were being appraised (pembrolizumab monotherapy and pembrolizumab in combination) </w:t>
      </w:r>
      <w:r w:rsidR="00097337" w:rsidRPr="00FA7706">
        <w:t xml:space="preserve">and that </w:t>
      </w:r>
      <w:r w:rsidR="00E364D7" w:rsidRPr="00FA7706">
        <w:t xml:space="preserve">the populations who would be offered one treatment over the other are not distinct patient populations (see section 3.3). </w:t>
      </w:r>
      <w:r w:rsidR="00873C48" w:rsidRPr="00FA7706">
        <w:t xml:space="preserve">For the </w:t>
      </w:r>
      <w:r w:rsidR="001C45EE" w:rsidRPr="00FA7706">
        <w:t xml:space="preserve">2 </w:t>
      </w:r>
      <w:r w:rsidR="00873C48" w:rsidRPr="00FA7706">
        <w:t>subgroup</w:t>
      </w:r>
      <w:r w:rsidR="001C45EE" w:rsidRPr="00FA7706">
        <w:t>s</w:t>
      </w:r>
      <w:r w:rsidR="00873C48" w:rsidRPr="00FA7706">
        <w:t xml:space="preserve"> </w:t>
      </w:r>
      <w:r w:rsidR="001C45EE" w:rsidRPr="00FA7706">
        <w:t>(</w:t>
      </w:r>
      <w:r w:rsidR="00873C48" w:rsidRPr="00FA7706">
        <w:t>cancer start</w:t>
      </w:r>
      <w:r w:rsidR="001C45EE" w:rsidRPr="00FA7706">
        <w:t>ing</w:t>
      </w:r>
      <w:r w:rsidR="00873C48" w:rsidRPr="00FA7706">
        <w:t xml:space="preserve"> inside the oral cavity </w:t>
      </w:r>
      <w:r w:rsidR="001C45EE" w:rsidRPr="00FA7706">
        <w:t>or</w:t>
      </w:r>
      <w:r w:rsidR="00873C48" w:rsidRPr="00FA7706">
        <w:t xml:space="preserve"> outside</w:t>
      </w:r>
      <w:r w:rsidR="001C45EE" w:rsidRPr="00FA7706">
        <w:t>)</w:t>
      </w:r>
      <w:r w:rsidR="00873C48" w:rsidRPr="00FA7706">
        <w:t xml:space="preserve"> the ERG used data from KEYNOTE-048. </w:t>
      </w:r>
      <w:r w:rsidR="001C45EE" w:rsidRPr="00FA7706">
        <w:t xml:space="preserve">The committee </w:t>
      </w:r>
      <w:r w:rsidR="00873C48" w:rsidRPr="00FA7706">
        <w:t>recalled that it was unclear whether these subgroups were balanced for patient baseline characteristics (see section</w:t>
      </w:r>
      <w:r w:rsidR="0027049D" w:rsidRPr="00FA7706">
        <w:t>s</w:t>
      </w:r>
      <w:r w:rsidR="00873C48" w:rsidRPr="00FA7706">
        <w:t xml:space="preserve"> 3.6</w:t>
      </w:r>
      <w:r w:rsidR="0027049D" w:rsidRPr="00FA7706">
        <w:t xml:space="preserve"> and 3.1</w:t>
      </w:r>
      <w:r w:rsidR="00304358" w:rsidRPr="00FA7706">
        <w:t>0</w:t>
      </w:r>
      <w:r w:rsidR="00873C48" w:rsidRPr="00FA7706">
        <w:t xml:space="preserve">). It also noted that these analyses did not include a lower utility value for progressed disease (see section 3.11). </w:t>
      </w:r>
      <w:r w:rsidR="00B42E5E" w:rsidRPr="00FA7706">
        <w:t xml:space="preserve">Because </w:t>
      </w:r>
      <w:r w:rsidR="00873C48" w:rsidRPr="00FA7706">
        <w:t>neither of these were addressed in the ERG’s cost</w:t>
      </w:r>
      <w:r w:rsidR="001C45EE" w:rsidRPr="00FA7706">
        <w:t>-</w:t>
      </w:r>
      <w:r w:rsidR="00873C48" w:rsidRPr="00FA7706">
        <w:t xml:space="preserve">effectiveness analyses, the committee </w:t>
      </w:r>
      <w:r w:rsidR="00F049B7" w:rsidRPr="00FA7706">
        <w:t>agreed</w:t>
      </w:r>
      <w:r w:rsidR="00873C48" w:rsidRPr="00FA7706">
        <w:t xml:space="preserve"> that the ERG’s cost</w:t>
      </w:r>
      <w:r w:rsidR="001C45EE" w:rsidRPr="00FA7706">
        <w:t>-</w:t>
      </w:r>
      <w:r w:rsidR="00873C48" w:rsidRPr="00FA7706">
        <w:t>effectiveness analyses were not appropriate for its decision making.</w:t>
      </w:r>
      <w:r w:rsidR="00E364D7" w:rsidRPr="00FA7706">
        <w:t xml:space="preserve"> The committee concluded that it would like to see fully incremental cost-effectiveness analyses </w:t>
      </w:r>
      <w:r w:rsidR="0027049D" w:rsidRPr="00FA7706">
        <w:t xml:space="preserve">for the 2 subgroups, using survival data that had been adjusted for any imbalances in baseline patient characteristics in each of the subgroups and </w:t>
      </w:r>
      <w:r w:rsidR="00E364D7" w:rsidRPr="00FA7706">
        <w:t>a lower utility value for progressed disease than used in the company</w:t>
      </w:r>
      <w:r w:rsidR="00A110ED">
        <w:t>’</w:t>
      </w:r>
      <w:r w:rsidR="00E364D7" w:rsidRPr="00FA7706">
        <w:t>s base case</w:t>
      </w:r>
      <w:r w:rsidR="0027049D" w:rsidRPr="00FA7706">
        <w:t xml:space="preserve">. </w:t>
      </w:r>
    </w:p>
    <w:p w14:paraId="747BCA3B" w14:textId="77777777" w:rsidR="00873C48" w:rsidRPr="00FA7706" w:rsidRDefault="00873C48" w:rsidP="00873C48">
      <w:pPr>
        <w:pStyle w:val="Heading2"/>
      </w:pPr>
      <w:r w:rsidRPr="00FA7706">
        <w:t>End of life</w:t>
      </w:r>
    </w:p>
    <w:p w14:paraId="6509C561" w14:textId="5C1DE41E" w:rsidR="004000E9" w:rsidRPr="00FA7706" w:rsidRDefault="004D1411" w:rsidP="00873C48">
      <w:pPr>
        <w:pStyle w:val="Heading3"/>
      </w:pPr>
      <w:r w:rsidRPr="00FA7706">
        <w:t>A</w:t>
      </w:r>
      <w:r w:rsidR="00873C48" w:rsidRPr="00FA7706">
        <w:t>nalysis of the</w:t>
      </w:r>
      <w:r w:rsidRPr="00FA7706">
        <w:t xml:space="preserve"> 2 subgroups (</w:t>
      </w:r>
      <w:r w:rsidR="00873C48" w:rsidRPr="00FA7706">
        <w:t>cancer start</w:t>
      </w:r>
      <w:r w:rsidRPr="00FA7706">
        <w:t>ing</w:t>
      </w:r>
      <w:r w:rsidR="00873C48" w:rsidRPr="00FA7706">
        <w:t xml:space="preserve"> </w:t>
      </w:r>
      <w:r w:rsidR="00175B2B" w:rsidRPr="00FA7706">
        <w:t>inside or outside</w:t>
      </w:r>
      <w:r w:rsidR="00873C48" w:rsidRPr="00FA7706">
        <w:t xml:space="preserve"> the oral cavity</w:t>
      </w:r>
      <w:r w:rsidRPr="00FA7706">
        <w:t>)</w:t>
      </w:r>
      <w:r w:rsidR="00873C48" w:rsidRPr="00FA7706">
        <w:t xml:space="preserve"> is needed </w:t>
      </w:r>
      <w:r w:rsidRPr="00FA7706">
        <w:t xml:space="preserve">to decide </w:t>
      </w:r>
      <w:r w:rsidR="00873C48" w:rsidRPr="00FA7706">
        <w:t xml:space="preserve">on extension to life </w:t>
      </w:r>
    </w:p>
    <w:p w14:paraId="0B49135A" w14:textId="3D5CD375" w:rsidR="00873C48" w:rsidRPr="00FA7706" w:rsidRDefault="00873C48" w:rsidP="00873C48">
      <w:pPr>
        <w:pStyle w:val="Numberedlevel2text"/>
        <w:numPr>
          <w:ilvl w:val="1"/>
          <w:numId w:val="1"/>
        </w:numPr>
        <w:rPr>
          <w:lang w:val="en-GB"/>
        </w:rPr>
      </w:pPr>
      <w:r w:rsidRPr="00FA7706">
        <w:rPr>
          <w:lang w:val="en-GB"/>
        </w:rPr>
        <w:t xml:space="preserve">The committee considered the advice about life-extending treatments for people with a short life expectancy in </w:t>
      </w:r>
      <w:hyperlink r:id="rId14" w:history="1">
        <w:r w:rsidR="00CD7F4F" w:rsidRPr="00FA7706">
          <w:rPr>
            <w:rStyle w:val="Hyperlink"/>
            <w:lang w:val="en-GB"/>
          </w:rPr>
          <w:t>NICE's guide to the methods of technology appraisal</w:t>
        </w:r>
      </w:hyperlink>
      <w:r w:rsidRPr="00FA7706">
        <w:rPr>
          <w:lang w:val="en-GB"/>
        </w:rPr>
        <w:t xml:space="preserve">. Evidence for the whole trial population from KEYNOTE-048 showed that the median overall survival for people having cetuximab </w:t>
      </w:r>
      <w:r w:rsidR="00950668" w:rsidRPr="00FA7706">
        <w:rPr>
          <w:lang w:val="en-GB"/>
        </w:rPr>
        <w:t>with</w:t>
      </w:r>
      <w:r w:rsidRPr="00FA7706">
        <w:rPr>
          <w:lang w:val="en-GB"/>
        </w:rPr>
        <w:t xml:space="preserve"> platinum </w:t>
      </w:r>
      <w:r w:rsidR="0076753A" w:rsidRPr="00FA7706">
        <w:rPr>
          <w:lang w:val="en-GB"/>
        </w:rPr>
        <w:t xml:space="preserve">chemotherapy </w:t>
      </w:r>
      <w:r w:rsidRPr="00FA7706">
        <w:rPr>
          <w:lang w:val="en-GB"/>
        </w:rPr>
        <w:t>and 5-FU was 10.3</w:t>
      </w:r>
      <w:r w:rsidR="00891D56" w:rsidRPr="00FA7706">
        <w:rPr>
          <w:lang w:val="en-GB"/>
        </w:rPr>
        <w:t> </w:t>
      </w:r>
      <w:r w:rsidRPr="00FA7706">
        <w:rPr>
          <w:lang w:val="en-GB"/>
        </w:rPr>
        <w:t xml:space="preserve">months (95% </w:t>
      </w:r>
      <w:r w:rsidR="009A4E2D" w:rsidRPr="00FA7706">
        <w:rPr>
          <w:lang w:val="en-GB"/>
        </w:rPr>
        <w:t>CI</w:t>
      </w:r>
      <w:r w:rsidRPr="00FA7706">
        <w:rPr>
          <w:lang w:val="en-GB"/>
        </w:rPr>
        <w:t>: 9.0 to 11.5). The committee accepted that, based on the whole trial population, pembrolizumab (monotherapy and in combination) meet</w:t>
      </w:r>
      <w:r w:rsidR="00696233" w:rsidRPr="00FA7706">
        <w:rPr>
          <w:lang w:val="en-GB"/>
        </w:rPr>
        <w:t>s</w:t>
      </w:r>
      <w:r w:rsidRPr="00FA7706">
        <w:rPr>
          <w:lang w:val="en-GB"/>
        </w:rPr>
        <w:t xml:space="preserve"> the </w:t>
      </w:r>
      <w:r w:rsidRPr="00FA7706">
        <w:rPr>
          <w:lang w:val="en-GB"/>
        </w:rPr>
        <w:lastRenderedPageBreak/>
        <w:t>short life expectancy criteri</w:t>
      </w:r>
      <w:r w:rsidR="00696233" w:rsidRPr="00FA7706">
        <w:rPr>
          <w:lang w:val="en-GB"/>
        </w:rPr>
        <w:t>on</w:t>
      </w:r>
      <w:r w:rsidRPr="00FA7706">
        <w:rPr>
          <w:lang w:val="en-GB"/>
        </w:rPr>
        <w:t xml:space="preserve"> for end of life. It also noted that the company’s economic model suggested that pembrolizumab (monotherapy and in combination) provided an extension to life of more than 3</w:t>
      </w:r>
      <w:r w:rsidR="00891D56" w:rsidRPr="00FA7706">
        <w:rPr>
          <w:lang w:val="en-GB"/>
        </w:rPr>
        <w:t> </w:t>
      </w:r>
      <w:r w:rsidRPr="00FA7706">
        <w:rPr>
          <w:lang w:val="en-GB"/>
        </w:rPr>
        <w:t>months (12.72</w:t>
      </w:r>
      <w:r w:rsidR="00891D56" w:rsidRPr="00FA7706">
        <w:rPr>
          <w:lang w:val="en-GB"/>
        </w:rPr>
        <w:t> </w:t>
      </w:r>
      <w:r w:rsidRPr="00FA7706">
        <w:rPr>
          <w:lang w:val="en-GB"/>
        </w:rPr>
        <w:t>months with pembrolizumab monotherapy, and 14.28</w:t>
      </w:r>
      <w:r w:rsidR="00891D56" w:rsidRPr="00FA7706">
        <w:rPr>
          <w:lang w:val="en-GB"/>
        </w:rPr>
        <w:t> </w:t>
      </w:r>
      <w:r w:rsidRPr="00FA7706">
        <w:rPr>
          <w:lang w:val="en-GB"/>
        </w:rPr>
        <w:t>months with pembrolizumab combination therapy). Based on the modelled estimates the committee accepted that, for the whole trial population, pembrolizumab (monotherapy and in combination) extended life by more than 3</w:t>
      </w:r>
      <w:r w:rsidR="00891D56" w:rsidRPr="00FA7706">
        <w:rPr>
          <w:lang w:val="en-GB"/>
        </w:rPr>
        <w:t> </w:t>
      </w:r>
      <w:r w:rsidRPr="00FA7706">
        <w:rPr>
          <w:lang w:val="en-GB"/>
        </w:rPr>
        <w:t xml:space="preserve">months. However the committee recalled that it would like to see all clinical data by primary tumour location subgroup </w:t>
      </w:r>
      <w:r w:rsidR="0076753A" w:rsidRPr="00FA7706">
        <w:rPr>
          <w:lang w:val="en-GB"/>
        </w:rPr>
        <w:t>(</w:t>
      </w:r>
      <w:r w:rsidRPr="00FA7706">
        <w:rPr>
          <w:lang w:val="en-GB"/>
        </w:rPr>
        <w:t xml:space="preserve">see section 3.6) and therefore concluded that clinical effectiveness evidence in the subgroup of </w:t>
      </w:r>
      <w:r w:rsidR="00F07B8D" w:rsidRPr="00FA7706">
        <w:rPr>
          <w:lang w:val="en-GB"/>
        </w:rPr>
        <w:t>people</w:t>
      </w:r>
      <w:r w:rsidRPr="00FA7706">
        <w:rPr>
          <w:lang w:val="en-GB"/>
        </w:rPr>
        <w:t xml:space="preserve"> whose cancer started inside the oral cavity and in the subgroup of </w:t>
      </w:r>
      <w:r w:rsidR="00F07B8D" w:rsidRPr="00FA7706">
        <w:rPr>
          <w:lang w:val="en-GB"/>
        </w:rPr>
        <w:t>people</w:t>
      </w:r>
      <w:r w:rsidRPr="00FA7706">
        <w:rPr>
          <w:lang w:val="en-GB"/>
        </w:rPr>
        <w:t xml:space="preserve"> whose cancer started outside the oral cavity is needed to inform a decision on whether pembrolizumab (monotherapy or in combination) meets the extension to life criterion.</w:t>
      </w:r>
    </w:p>
    <w:p w14:paraId="2A8DF7C7" w14:textId="77777777" w:rsidR="00873C48" w:rsidRPr="00FA7706" w:rsidRDefault="00873C48" w:rsidP="00873C48">
      <w:pPr>
        <w:pStyle w:val="Heading2"/>
      </w:pPr>
      <w:r w:rsidRPr="00FA7706">
        <w:t>Cancer Drugs Fund</w:t>
      </w:r>
    </w:p>
    <w:p w14:paraId="64746190" w14:textId="5F105204" w:rsidR="007F4403" w:rsidRPr="00FA7706" w:rsidRDefault="00873C48" w:rsidP="00873C48">
      <w:pPr>
        <w:pStyle w:val="Heading3"/>
      </w:pPr>
      <w:r w:rsidRPr="00FA7706">
        <w:t>Pembrolizumab is not recommended for use in the Cancer Drugs Fund</w:t>
      </w:r>
    </w:p>
    <w:p w14:paraId="50C285BD" w14:textId="2A7B9E9E" w:rsidR="00873C48" w:rsidRPr="00FA7706" w:rsidRDefault="00873C48" w:rsidP="00873C48">
      <w:pPr>
        <w:pStyle w:val="Numberedlevel2text"/>
        <w:numPr>
          <w:ilvl w:val="1"/>
          <w:numId w:val="1"/>
        </w:numPr>
        <w:rPr>
          <w:lang w:val="en-GB"/>
        </w:rPr>
      </w:pPr>
      <w:r w:rsidRPr="00FA7706">
        <w:rPr>
          <w:lang w:val="en-GB"/>
        </w:rPr>
        <w:t xml:space="preserve">The committee discussed the arrangements for the Cancer Drugs Fund agreed by NICE and NHS England in 2016, noting NICE’s </w:t>
      </w:r>
      <w:hyperlink r:id="rId15" w:history="1">
        <w:r w:rsidRPr="00FA7706">
          <w:rPr>
            <w:rStyle w:val="Hyperlink"/>
            <w:lang w:val="en-GB"/>
          </w:rPr>
          <w:t>Cancer Drugs Fund methods guide (addendum)</w:t>
        </w:r>
      </w:hyperlink>
      <w:r w:rsidRPr="00FA7706">
        <w:rPr>
          <w:lang w:val="en-GB"/>
        </w:rPr>
        <w:t>. The company had not expressed an interest in the technology being considered for funding through the Cancer Drugs Fund. The committee noted that it had not been presented with any cost</w:t>
      </w:r>
      <w:r w:rsidR="00803505" w:rsidRPr="00FA7706">
        <w:rPr>
          <w:lang w:val="en-GB"/>
        </w:rPr>
        <w:t>-</w:t>
      </w:r>
      <w:r w:rsidRPr="00FA7706">
        <w:rPr>
          <w:lang w:val="en-GB"/>
        </w:rPr>
        <w:t>effectiveness analyses based on its preferred assumptions and recalled that it had considered both the company’s and ERG’s cost</w:t>
      </w:r>
      <w:r w:rsidR="00696233" w:rsidRPr="00FA7706">
        <w:rPr>
          <w:lang w:val="en-GB"/>
        </w:rPr>
        <w:t>-</w:t>
      </w:r>
      <w:r w:rsidRPr="00FA7706">
        <w:rPr>
          <w:lang w:val="en-GB"/>
        </w:rPr>
        <w:t xml:space="preserve">effectiveness analyses not appropriate for </w:t>
      </w:r>
      <w:r w:rsidR="00E72EB8" w:rsidRPr="00FA7706">
        <w:rPr>
          <w:lang w:val="en-GB"/>
        </w:rPr>
        <w:t>its</w:t>
      </w:r>
      <w:r w:rsidRPr="00FA7706">
        <w:rPr>
          <w:lang w:val="en-GB"/>
        </w:rPr>
        <w:t xml:space="preserve"> decision making (see sections 3.12 and 3.13). Therefore, the committee agreed that</w:t>
      </w:r>
      <w:r w:rsidR="00696233" w:rsidRPr="00FA7706">
        <w:rPr>
          <w:lang w:val="en-GB"/>
        </w:rPr>
        <w:t>,</w:t>
      </w:r>
      <w:r w:rsidRPr="00FA7706">
        <w:rPr>
          <w:lang w:val="en-GB"/>
        </w:rPr>
        <w:t xml:space="preserve"> </w:t>
      </w:r>
      <w:r w:rsidR="0076753A" w:rsidRPr="00FA7706">
        <w:rPr>
          <w:lang w:val="en-GB"/>
        </w:rPr>
        <w:t xml:space="preserve">as </w:t>
      </w:r>
      <w:r w:rsidRPr="00FA7706">
        <w:rPr>
          <w:lang w:val="en-GB"/>
        </w:rPr>
        <w:t xml:space="preserve">it was unable to determine </w:t>
      </w:r>
      <w:r w:rsidR="00696233" w:rsidRPr="00FA7706">
        <w:rPr>
          <w:lang w:val="en-GB"/>
        </w:rPr>
        <w:t xml:space="preserve">the </w:t>
      </w:r>
      <w:r w:rsidRPr="00FA7706">
        <w:rPr>
          <w:lang w:val="en-GB"/>
        </w:rPr>
        <w:t>most plausible ICERs</w:t>
      </w:r>
      <w:r w:rsidR="00E72EB8" w:rsidRPr="00FA7706">
        <w:rPr>
          <w:lang w:val="en-GB"/>
        </w:rPr>
        <w:t>, it was unable to determine</w:t>
      </w:r>
      <w:r w:rsidRPr="00FA7706">
        <w:rPr>
          <w:lang w:val="en-GB"/>
        </w:rPr>
        <w:t xml:space="preserve"> whether pembrolizumab had the plausible potential to be cost effective</w:t>
      </w:r>
      <w:r w:rsidR="00E72EB8" w:rsidRPr="00FA7706">
        <w:rPr>
          <w:lang w:val="en-GB"/>
        </w:rPr>
        <w:t xml:space="preserve"> for inclusion in the Cancer Drugs Fund</w:t>
      </w:r>
      <w:r w:rsidRPr="00FA7706">
        <w:rPr>
          <w:lang w:val="en-GB"/>
        </w:rPr>
        <w:t xml:space="preserve">. The Cancer Drugs Fund clinical lead </w:t>
      </w:r>
      <w:r w:rsidR="009C09BB" w:rsidRPr="00FA7706">
        <w:rPr>
          <w:lang w:val="en-GB"/>
        </w:rPr>
        <w:t xml:space="preserve">said </w:t>
      </w:r>
      <w:r w:rsidRPr="00FA7706">
        <w:rPr>
          <w:lang w:val="en-GB"/>
        </w:rPr>
        <w:t>that</w:t>
      </w:r>
      <w:r w:rsidR="00696233" w:rsidRPr="00FA7706">
        <w:rPr>
          <w:lang w:val="en-GB"/>
        </w:rPr>
        <w:t>,</w:t>
      </w:r>
      <w:r w:rsidRPr="00FA7706">
        <w:rPr>
          <w:lang w:val="en-GB"/>
        </w:rPr>
        <w:t xml:space="preserve"> </w:t>
      </w:r>
      <w:r w:rsidR="00696233" w:rsidRPr="00FA7706">
        <w:rPr>
          <w:lang w:val="en-GB"/>
        </w:rPr>
        <w:t xml:space="preserve">because </w:t>
      </w:r>
      <w:r w:rsidRPr="00FA7706">
        <w:rPr>
          <w:lang w:val="en-GB"/>
        </w:rPr>
        <w:t>KEYNOTE-048 was very mature</w:t>
      </w:r>
      <w:r w:rsidR="00696233" w:rsidRPr="00FA7706">
        <w:rPr>
          <w:lang w:val="en-GB"/>
        </w:rPr>
        <w:t xml:space="preserve"> (almost complete)</w:t>
      </w:r>
      <w:r w:rsidRPr="00FA7706">
        <w:rPr>
          <w:lang w:val="en-GB"/>
        </w:rPr>
        <w:t xml:space="preserve">, </w:t>
      </w:r>
      <w:r w:rsidR="00696233" w:rsidRPr="00FA7706">
        <w:rPr>
          <w:lang w:val="en-GB"/>
        </w:rPr>
        <w:t xml:space="preserve">making </w:t>
      </w:r>
      <w:r w:rsidRPr="00FA7706">
        <w:rPr>
          <w:lang w:val="en-GB"/>
        </w:rPr>
        <w:t xml:space="preserve">pembrolizumab </w:t>
      </w:r>
      <w:r w:rsidR="00696233" w:rsidRPr="00FA7706">
        <w:rPr>
          <w:lang w:val="en-GB"/>
        </w:rPr>
        <w:t xml:space="preserve">available </w:t>
      </w:r>
      <w:r w:rsidRPr="00FA7706">
        <w:rPr>
          <w:lang w:val="en-GB"/>
        </w:rPr>
        <w:t xml:space="preserve">in the Cancer Drugs Fund would not generate data that would resolve any uncertainties. The committee </w:t>
      </w:r>
      <w:r w:rsidRPr="00FA7706">
        <w:rPr>
          <w:lang w:val="en-GB"/>
        </w:rPr>
        <w:lastRenderedPageBreak/>
        <w:t>concluded that pembrolizumab (monotherapy and in combination) did not meet the criteria to be considered for inclusion in the Cancer Drugs Fund, so did not recommend it for use within the Cancer Drugs Fund.</w:t>
      </w:r>
    </w:p>
    <w:p w14:paraId="348634B8" w14:textId="77777777" w:rsidR="00873C48" w:rsidRPr="00FA7706" w:rsidRDefault="00873C48" w:rsidP="009F68E2">
      <w:pPr>
        <w:pStyle w:val="Heading2"/>
      </w:pPr>
      <w:r w:rsidRPr="00FA7706">
        <w:t>Other factors</w:t>
      </w:r>
    </w:p>
    <w:p w14:paraId="794A360F" w14:textId="2CD56286" w:rsidR="007F4403" w:rsidRPr="00FA7706" w:rsidRDefault="00873C48" w:rsidP="00873C48">
      <w:pPr>
        <w:pStyle w:val="Heading3"/>
      </w:pPr>
      <w:r w:rsidRPr="00FA7706">
        <w:t>There are no equalities issues</w:t>
      </w:r>
    </w:p>
    <w:p w14:paraId="34188A72" w14:textId="4BB9C9E9" w:rsidR="00873C48" w:rsidRPr="00FA7706" w:rsidRDefault="00873C48" w:rsidP="00873C48">
      <w:pPr>
        <w:pStyle w:val="Numberedlevel2text"/>
        <w:numPr>
          <w:ilvl w:val="1"/>
          <w:numId w:val="1"/>
        </w:numPr>
        <w:rPr>
          <w:lang w:val="en-GB"/>
        </w:rPr>
      </w:pPr>
      <w:r w:rsidRPr="00FA7706">
        <w:rPr>
          <w:lang w:val="en-GB"/>
        </w:rPr>
        <w:t>No relevant equalities issues were identified.</w:t>
      </w:r>
    </w:p>
    <w:p w14:paraId="4D3A07D4" w14:textId="50F29881" w:rsidR="007F4403" w:rsidRPr="00FA7706" w:rsidRDefault="00873C48" w:rsidP="009F68E2">
      <w:pPr>
        <w:pStyle w:val="Heading3"/>
      </w:pPr>
      <w:r w:rsidRPr="00FA7706">
        <w:t>There are no additional benefits not already captured in the economic analysis</w:t>
      </w:r>
    </w:p>
    <w:p w14:paraId="4DDC535F" w14:textId="50242AE6" w:rsidR="00873C48" w:rsidRPr="00FA7706" w:rsidRDefault="00873C48" w:rsidP="00873C48">
      <w:pPr>
        <w:pStyle w:val="Numberedlevel2text"/>
        <w:numPr>
          <w:ilvl w:val="1"/>
          <w:numId w:val="1"/>
        </w:numPr>
        <w:rPr>
          <w:lang w:val="en-GB"/>
        </w:rPr>
      </w:pPr>
      <w:r w:rsidRPr="00FA7706">
        <w:rPr>
          <w:lang w:val="en-GB"/>
        </w:rPr>
        <w:t xml:space="preserve">The committee considered the innovative nature of pembrolizumab (monotherapy and in combination). The committee understood that improvements in survival and reduced adverse effects are important for people with this condition. </w:t>
      </w:r>
      <w:r w:rsidR="00D845C5" w:rsidRPr="00FA7706">
        <w:rPr>
          <w:lang w:val="en-GB"/>
        </w:rPr>
        <w:t>The committee was aware of the impact of the disease on the person</w:t>
      </w:r>
      <w:r w:rsidR="00B54590">
        <w:rPr>
          <w:lang w:val="en-GB"/>
        </w:rPr>
        <w:t>’</w:t>
      </w:r>
      <w:r w:rsidR="00D845C5" w:rsidRPr="00FA7706">
        <w:rPr>
          <w:lang w:val="en-GB"/>
        </w:rPr>
        <w:t xml:space="preserve">s </w:t>
      </w:r>
      <w:proofErr w:type="spellStart"/>
      <w:r w:rsidR="00D845C5" w:rsidRPr="00FA7706">
        <w:rPr>
          <w:lang w:val="en-GB"/>
        </w:rPr>
        <w:t>carer</w:t>
      </w:r>
      <w:proofErr w:type="spellEnd"/>
      <w:r w:rsidR="00D845C5" w:rsidRPr="00FA7706">
        <w:rPr>
          <w:lang w:val="en-GB"/>
        </w:rPr>
        <w:t xml:space="preserve"> and family</w:t>
      </w:r>
      <w:r w:rsidR="001B0C9F" w:rsidRPr="00FA7706">
        <w:rPr>
          <w:lang w:val="en-GB"/>
        </w:rPr>
        <w:t xml:space="preserve"> (see section 3.1)</w:t>
      </w:r>
      <w:r w:rsidR="00D845C5" w:rsidRPr="00FA7706">
        <w:rPr>
          <w:lang w:val="en-GB"/>
        </w:rPr>
        <w:t xml:space="preserve"> and took this into account in its decision making</w:t>
      </w:r>
      <w:r w:rsidR="00772E6E">
        <w:rPr>
          <w:lang w:val="en-GB"/>
        </w:rPr>
        <w:t>.</w:t>
      </w:r>
      <w:r w:rsidR="00D845C5" w:rsidRPr="00FA7706">
        <w:rPr>
          <w:lang w:val="en-GB"/>
        </w:rPr>
        <w:t xml:space="preserve"> </w:t>
      </w:r>
      <w:r w:rsidR="00772E6E">
        <w:rPr>
          <w:lang w:val="en-GB"/>
        </w:rPr>
        <w:t>B</w:t>
      </w:r>
      <w:r w:rsidR="00D845C5" w:rsidRPr="00FA7706">
        <w:rPr>
          <w:lang w:val="en-GB"/>
        </w:rPr>
        <w:t>ut</w:t>
      </w:r>
      <w:r w:rsidR="00772E6E">
        <w:rPr>
          <w:lang w:val="en-GB"/>
        </w:rPr>
        <w:t xml:space="preserve"> it</w:t>
      </w:r>
      <w:r w:rsidR="00D845C5" w:rsidRPr="00FA7706">
        <w:rPr>
          <w:lang w:val="en-GB"/>
        </w:rPr>
        <w:t xml:space="preserve"> noted that no evidence was provided. </w:t>
      </w:r>
      <w:r w:rsidRPr="00FA7706">
        <w:rPr>
          <w:lang w:val="en-GB"/>
        </w:rPr>
        <w:t>It concluded that pembrolizumab (monotherapy and in combination) could be considered an important treatment option for this population, but there were no additional benefits associated with this treatment that had not been captured in the economic analysis.</w:t>
      </w:r>
    </w:p>
    <w:p w14:paraId="55A2E73D" w14:textId="77777777" w:rsidR="00873C48" w:rsidRPr="00FA7706" w:rsidRDefault="00873C48" w:rsidP="009F68E2">
      <w:pPr>
        <w:pStyle w:val="Heading2"/>
      </w:pPr>
      <w:r w:rsidRPr="00FA7706">
        <w:t>Conclusion</w:t>
      </w:r>
    </w:p>
    <w:p w14:paraId="2B99C27E" w14:textId="4E33249D" w:rsidR="007F4403" w:rsidRPr="00FA7706" w:rsidRDefault="00873C48" w:rsidP="00873C48">
      <w:pPr>
        <w:pStyle w:val="Heading3"/>
      </w:pPr>
      <w:r w:rsidRPr="00FA7706">
        <w:t xml:space="preserve">The committee is minded not to recommend pembrolizumab (monotherapy or in combination) for </w:t>
      </w:r>
      <w:r w:rsidR="00824E89" w:rsidRPr="00FA7706">
        <w:t xml:space="preserve">metastatic or unresectable recurrent </w:t>
      </w:r>
      <w:r w:rsidR="00A955F0" w:rsidRPr="00FA7706">
        <w:t>HNSCC</w:t>
      </w:r>
    </w:p>
    <w:p w14:paraId="42B24E0D" w14:textId="4C3C4F6B" w:rsidR="00661F43" w:rsidRPr="00FA7706" w:rsidRDefault="00873C48" w:rsidP="00D173CC">
      <w:pPr>
        <w:pStyle w:val="Numberedlevel2text"/>
        <w:rPr>
          <w:lang w:val="en-GB"/>
        </w:rPr>
      </w:pPr>
      <w:r w:rsidRPr="00FA7706">
        <w:rPr>
          <w:lang w:val="en-GB"/>
        </w:rPr>
        <w:t>The committee agreed that KEYNOTE-048 was not wholly applicable to NHS practice (see section 3.5)</w:t>
      </w:r>
      <w:r w:rsidR="00304358" w:rsidRPr="00FA7706">
        <w:rPr>
          <w:lang w:val="en-GB"/>
        </w:rPr>
        <w:t xml:space="preserve">. </w:t>
      </w:r>
      <w:r w:rsidR="009F68E2" w:rsidRPr="00FA7706">
        <w:rPr>
          <w:lang w:val="en-GB"/>
        </w:rPr>
        <w:t xml:space="preserve">Because </w:t>
      </w:r>
      <w:r w:rsidR="00304358" w:rsidRPr="00FA7706">
        <w:rPr>
          <w:lang w:val="en-GB"/>
        </w:rPr>
        <w:t xml:space="preserve">current treatment options are different for cancer that started inside or outside the oral cavity, the </w:t>
      </w:r>
      <w:r w:rsidR="001F635B" w:rsidRPr="00FA7706">
        <w:rPr>
          <w:lang w:val="en-GB"/>
        </w:rPr>
        <w:t>committee concluded</w:t>
      </w:r>
      <w:r w:rsidRPr="00FA7706">
        <w:rPr>
          <w:lang w:val="en-GB"/>
        </w:rPr>
        <w:t xml:space="preserve"> that it would like to see all clinical and cost</w:t>
      </w:r>
      <w:r w:rsidR="00CD0DF7">
        <w:rPr>
          <w:lang w:val="en-GB"/>
        </w:rPr>
        <w:t>-</w:t>
      </w:r>
      <w:r w:rsidRPr="00FA7706">
        <w:rPr>
          <w:lang w:val="en-GB"/>
        </w:rPr>
        <w:t>effect</w:t>
      </w:r>
      <w:r w:rsidR="00CD0DF7">
        <w:rPr>
          <w:lang w:val="en-GB"/>
        </w:rPr>
        <w:t>iveness</w:t>
      </w:r>
      <w:r w:rsidRPr="00FA7706">
        <w:rPr>
          <w:lang w:val="en-GB"/>
        </w:rPr>
        <w:t xml:space="preserve"> analyses by primary tumour location. In addition, it had concerns </w:t>
      </w:r>
      <w:r w:rsidR="00A955F0" w:rsidRPr="00FA7706">
        <w:rPr>
          <w:lang w:val="en-GB"/>
        </w:rPr>
        <w:t>about</w:t>
      </w:r>
      <w:r w:rsidRPr="00FA7706">
        <w:rPr>
          <w:lang w:val="en-GB"/>
        </w:rPr>
        <w:t xml:space="preserve"> whether the baseline patient characteristics were balanced for the </w:t>
      </w:r>
      <w:r w:rsidR="00A955F0" w:rsidRPr="00FA7706">
        <w:rPr>
          <w:lang w:val="en-GB"/>
        </w:rPr>
        <w:t xml:space="preserve">2 </w:t>
      </w:r>
      <w:r w:rsidRPr="00FA7706">
        <w:rPr>
          <w:lang w:val="en-GB"/>
        </w:rPr>
        <w:t>subgroup</w:t>
      </w:r>
      <w:r w:rsidR="00A955F0" w:rsidRPr="00FA7706">
        <w:rPr>
          <w:lang w:val="en-GB"/>
        </w:rPr>
        <w:t>s</w:t>
      </w:r>
      <w:r w:rsidRPr="00FA7706">
        <w:rPr>
          <w:lang w:val="en-GB"/>
        </w:rPr>
        <w:t xml:space="preserve"> of </w:t>
      </w:r>
      <w:r w:rsidR="00F07B8D" w:rsidRPr="00FA7706">
        <w:rPr>
          <w:lang w:val="en-GB"/>
        </w:rPr>
        <w:t>people</w:t>
      </w:r>
      <w:r w:rsidRPr="00FA7706">
        <w:rPr>
          <w:lang w:val="en-GB"/>
        </w:rPr>
        <w:t xml:space="preserve"> whose cancer started </w:t>
      </w:r>
      <w:r w:rsidR="00175B2B" w:rsidRPr="00FA7706">
        <w:rPr>
          <w:lang w:val="en-GB"/>
        </w:rPr>
        <w:t>inside or outside</w:t>
      </w:r>
      <w:r w:rsidR="00A955F0" w:rsidRPr="00FA7706">
        <w:rPr>
          <w:lang w:val="en-GB"/>
        </w:rPr>
        <w:t xml:space="preserve"> </w:t>
      </w:r>
      <w:r w:rsidRPr="00FA7706">
        <w:rPr>
          <w:lang w:val="en-GB"/>
        </w:rPr>
        <w:t>the oral cavity</w:t>
      </w:r>
      <w:r w:rsidR="00304358" w:rsidRPr="00FA7706">
        <w:rPr>
          <w:lang w:val="en-GB"/>
        </w:rPr>
        <w:t xml:space="preserve"> (see sections 3.6 and 3.10)</w:t>
      </w:r>
      <w:r w:rsidRPr="00FA7706">
        <w:rPr>
          <w:lang w:val="en-GB"/>
        </w:rPr>
        <w:t>, and the utility value for progressed disease used in the economic model</w:t>
      </w:r>
      <w:r w:rsidR="00304358" w:rsidRPr="00FA7706">
        <w:rPr>
          <w:lang w:val="en-GB"/>
        </w:rPr>
        <w:t xml:space="preserve"> (see section 3.11). </w:t>
      </w:r>
      <w:r w:rsidRPr="00FA7706">
        <w:rPr>
          <w:lang w:val="en-GB"/>
        </w:rPr>
        <w:t xml:space="preserve">The </w:t>
      </w:r>
      <w:r w:rsidRPr="00FA7706">
        <w:rPr>
          <w:lang w:val="en-GB"/>
        </w:rPr>
        <w:lastRenderedPageBreak/>
        <w:t xml:space="preserve">committee concluded that it was minded not to recommend pembrolizumab (monotherapy or in combination) as an option for </w:t>
      </w:r>
      <w:r w:rsidR="00824E89" w:rsidRPr="00FA7706">
        <w:rPr>
          <w:lang w:val="en-GB"/>
        </w:rPr>
        <w:t xml:space="preserve">metastatic or unresectable recurrent </w:t>
      </w:r>
      <w:r w:rsidR="00A955F0" w:rsidRPr="00FA7706">
        <w:rPr>
          <w:lang w:val="en-GB"/>
        </w:rPr>
        <w:t>HNSCC</w:t>
      </w:r>
      <w:r w:rsidRPr="00FA7706">
        <w:rPr>
          <w:lang w:val="en-GB"/>
        </w:rPr>
        <w:t xml:space="preserve">. The committee </w:t>
      </w:r>
      <w:r w:rsidR="009C09BB" w:rsidRPr="00FA7706">
        <w:rPr>
          <w:lang w:val="en-GB"/>
        </w:rPr>
        <w:t xml:space="preserve">said </w:t>
      </w:r>
      <w:r w:rsidRPr="00FA7706">
        <w:rPr>
          <w:lang w:val="en-GB"/>
        </w:rPr>
        <w:t xml:space="preserve">that it would like to see further analyses from the </w:t>
      </w:r>
      <w:r w:rsidR="00485BBC" w:rsidRPr="00FA7706">
        <w:rPr>
          <w:lang w:val="en-GB"/>
        </w:rPr>
        <w:t>company,</w:t>
      </w:r>
      <w:r w:rsidRPr="00FA7706">
        <w:rPr>
          <w:lang w:val="en-GB"/>
        </w:rPr>
        <w:t xml:space="preserve"> and it recommended that NICE requests these analyses</w:t>
      </w:r>
      <w:r w:rsidR="00E72EB8" w:rsidRPr="00FA7706">
        <w:rPr>
          <w:lang w:val="en-GB"/>
        </w:rPr>
        <w:t xml:space="preserve"> (see section 1.2)</w:t>
      </w:r>
      <w:r w:rsidRPr="00FA7706">
        <w:rPr>
          <w:lang w:val="en-GB"/>
        </w:rPr>
        <w:t>, which should be made available for the next appraisal committee meeting.</w:t>
      </w:r>
      <w:bookmarkStart w:id="5" w:name="_Hlk4058280"/>
      <w:bookmarkEnd w:id="3"/>
    </w:p>
    <w:bookmarkEnd w:id="5"/>
    <w:p w14:paraId="53F2DB6B" w14:textId="79ADCE1F" w:rsidR="000F48EC" w:rsidRPr="00FA7706" w:rsidRDefault="00A87D52" w:rsidP="002E73E7">
      <w:pPr>
        <w:pStyle w:val="Numberedheading1"/>
      </w:pPr>
      <w:r w:rsidRPr="00FA7706">
        <w:t>Proposed date for r</w:t>
      </w:r>
      <w:r w:rsidR="000F48EC" w:rsidRPr="00FA7706">
        <w:t>eview of guidance</w:t>
      </w:r>
    </w:p>
    <w:p w14:paraId="351A3476" w14:textId="7359FC7D" w:rsidR="007D3A7A" w:rsidRPr="00FA7706" w:rsidRDefault="00F5320F" w:rsidP="007D3A7A">
      <w:pPr>
        <w:pStyle w:val="Numberedlevel2text"/>
        <w:rPr>
          <w:lang w:val="en-GB"/>
        </w:rPr>
      </w:pPr>
      <w:r w:rsidRPr="00FA7706">
        <w:rPr>
          <w:lang w:val="en-GB"/>
        </w:rPr>
        <w:t>NICE proposes that the guidance on this technology is considered for review by the guidance executive 3</w:t>
      </w:r>
      <w:r w:rsidR="00A87D52" w:rsidRPr="00FA7706">
        <w:rPr>
          <w:lang w:val="en-GB"/>
        </w:rPr>
        <w:t> </w:t>
      </w:r>
      <w:r w:rsidRPr="00FA7706">
        <w:rPr>
          <w:lang w:val="en-GB"/>
        </w:rPr>
        <w:t>years after publication of the guidance. NICE welcomes comment on this proposed date. The guidance executive will decide whether the technology should be reviewed based on information gathered by NICE, and in consultation with consultees and commentators.</w:t>
      </w:r>
    </w:p>
    <w:p w14:paraId="19C45C96" w14:textId="2D7EF442" w:rsidR="004845D0" w:rsidRPr="00FA7706" w:rsidRDefault="00D87EB3" w:rsidP="00ED5F88">
      <w:pPr>
        <w:pStyle w:val="NICEnormal"/>
      </w:pPr>
      <w:r w:rsidRPr="00FA7706">
        <w:t>Lindsay Smith</w:t>
      </w:r>
      <w:r w:rsidR="004845D0" w:rsidRPr="00FA7706">
        <w:br/>
        <w:t xml:space="preserve">Chair, </w:t>
      </w:r>
      <w:r w:rsidR="00A87D52" w:rsidRPr="00FA7706">
        <w:t>a</w:t>
      </w:r>
      <w:r w:rsidR="004845D0" w:rsidRPr="00FA7706">
        <w:t xml:space="preserve">ppraisal </w:t>
      </w:r>
      <w:r w:rsidR="00A87D52" w:rsidRPr="00FA7706">
        <w:t>c</w:t>
      </w:r>
      <w:r w:rsidR="004845D0" w:rsidRPr="00FA7706">
        <w:t>ommittee</w:t>
      </w:r>
      <w:r w:rsidR="004845D0" w:rsidRPr="00FA7706">
        <w:br/>
      </w:r>
      <w:r w:rsidR="00946A80" w:rsidRPr="00FA7706">
        <w:t>January</w:t>
      </w:r>
      <w:r w:rsidR="00713B49" w:rsidRPr="00FA7706">
        <w:t xml:space="preserve"> 20</w:t>
      </w:r>
      <w:r w:rsidR="00946A80" w:rsidRPr="00FA7706">
        <w:t>20</w:t>
      </w:r>
    </w:p>
    <w:p w14:paraId="1D20AAE7" w14:textId="77777777" w:rsidR="00B16431" w:rsidRPr="00FA7706" w:rsidRDefault="00B16431" w:rsidP="007D3A7A">
      <w:pPr>
        <w:pStyle w:val="Numberedheading1"/>
      </w:pPr>
      <w:r w:rsidRPr="00FA7706">
        <w:t xml:space="preserve">Appraisal </w:t>
      </w:r>
      <w:r w:rsidR="00343B53" w:rsidRPr="00FA7706">
        <w:t>c</w:t>
      </w:r>
      <w:r w:rsidRPr="00FA7706">
        <w:t>ommittee members and NICE project team</w:t>
      </w:r>
    </w:p>
    <w:p w14:paraId="0949338B" w14:textId="77777777" w:rsidR="00B16431" w:rsidRPr="00FA7706" w:rsidRDefault="00B16431" w:rsidP="00B16431">
      <w:pPr>
        <w:pStyle w:val="Heading2"/>
      </w:pPr>
      <w:r w:rsidRPr="00FA7706">
        <w:t xml:space="preserve">Appraisal </w:t>
      </w:r>
      <w:r w:rsidR="00343B53" w:rsidRPr="00FA7706">
        <w:t>c</w:t>
      </w:r>
      <w:r w:rsidRPr="00FA7706">
        <w:t>ommittee members</w:t>
      </w:r>
    </w:p>
    <w:p w14:paraId="584B03E2" w14:textId="4BB182CA" w:rsidR="002F2583" w:rsidRPr="00FA7706" w:rsidRDefault="002F2583" w:rsidP="002F2583">
      <w:pPr>
        <w:pStyle w:val="NICEnormal"/>
        <w:rPr>
          <w:rFonts w:eastAsia="Calibri"/>
        </w:rPr>
      </w:pPr>
      <w:r w:rsidRPr="00FA7706">
        <w:t xml:space="preserve">The 4 technology appraisal committees are standing advisory committees of NICE. This topic was considered by </w:t>
      </w:r>
      <w:hyperlink r:id="rId16" w:history="1">
        <w:r w:rsidRPr="00FA7706">
          <w:rPr>
            <w:rStyle w:val="Hyperlink"/>
            <w:rFonts w:eastAsia="Calibri"/>
          </w:rPr>
          <w:t xml:space="preserve">committee </w:t>
        </w:r>
        <w:r w:rsidR="00713B49" w:rsidRPr="00FA7706">
          <w:rPr>
            <w:rStyle w:val="Hyperlink"/>
            <w:rFonts w:eastAsia="Calibri"/>
          </w:rPr>
          <w:t>D</w:t>
        </w:r>
      </w:hyperlink>
      <w:r w:rsidRPr="00FA7706">
        <w:t>.</w:t>
      </w:r>
    </w:p>
    <w:p w14:paraId="50E0CB45" w14:textId="73F36CED" w:rsidR="002F2583" w:rsidRPr="00FA7706" w:rsidRDefault="002F2583" w:rsidP="002F2583">
      <w:pPr>
        <w:pStyle w:val="NICEnormal"/>
      </w:pPr>
      <w:r w:rsidRPr="00FA7706">
        <w:t>Committee members are asked to declare any interests in the technology to be appraised. If it is considered there is a conflict of interest, the member is excluded from participating further in that appraisal.</w:t>
      </w:r>
    </w:p>
    <w:p w14:paraId="5AE2EB8F" w14:textId="77777777" w:rsidR="002F2583" w:rsidRPr="00FA7706" w:rsidRDefault="002F2583" w:rsidP="002F2583">
      <w:pPr>
        <w:pStyle w:val="NICEnormal"/>
      </w:pPr>
      <w:r w:rsidRPr="00FA7706">
        <w:t xml:space="preserve">The </w:t>
      </w:r>
      <w:hyperlink r:id="rId17" w:history="1">
        <w:r w:rsidRPr="00FA7706">
          <w:rPr>
            <w:rStyle w:val="Hyperlink"/>
            <w:rFonts w:eastAsia="Calibri"/>
          </w:rPr>
          <w:t>minutes</w:t>
        </w:r>
      </w:hyperlink>
      <w:r w:rsidRPr="00FA7706">
        <w:t xml:space="preserve"> of each appraisal committee meeting, which include the names of the members who attended and their declarations of interests, are posted on the NICE website.</w:t>
      </w:r>
    </w:p>
    <w:p w14:paraId="52AFB7B4" w14:textId="77777777" w:rsidR="00B16431" w:rsidRPr="00FA7706" w:rsidRDefault="00B16431" w:rsidP="00B16431">
      <w:pPr>
        <w:pStyle w:val="Heading2"/>
      </w:pPr>
      <w:r w:rsidRPr="00FA7706">
        <w:lastRenderedPageBreak/>
        <w:t>NICE project team</w:t>
      </w:r>
    </w:p>
    <w:p w14:paraId="3A274637" w14:textId="5CA6AF5D" w:rsidR="00B16431" w:rsidRPr="00FA7706" w:rsidRDefault="00B16431" w:rsidP="00B16431">
      <w:pPr>
        <w:pStyle w:val="NICEnormal"/>
      </w:pPr>
      <w:r w:rsidRPr="00FA7706">
        <w:t>Each technology appraisal is assigned to a team consisting of 1 or more health technology analysts (who act as technical leads for the appraisal), a</w:t>
      </w:r>
      <w:r w:rsidR="00713B49" w:rsidRPr="00FA7706">
        <w:t xml:space="preserve"> technical adviser</w:t>
      </w:r>
      <w:r w:rsidRPr="00FA7706">
        <w:t xml:space="preserve"> and a project manager.</w:t>
      </w:r>
    </w:p>
    <w:p w14:paraId="0FBD6CF2" w14:textId="4641FFE8" w:rsidR="00B16431" w:rsidRPr="00FA7706" w:rsidRDefault="00855B42" w:rsidP="00B16431">
      <w:pPr>
        <w:pStyle w:val="NICEnormal"/>
      </w:pPr>
      <w:bookmarkStart w:id="6" w:name="Text45"/>
      <w:r w:rsidRPr="00FA7706">
        <w:rPr>
          <w:b/>
        </w:rPr>
        <w:t>Stephen Robinson</w:t>
      </w:r>
      <w:r w:rsidR="00B16431" w:rsidRPr="00FA7706">
        <w:br/>
        <w:t xml:space="preserve">Technical </w:t>
      </w:r>
      <w:r w:rsidR="00085CF9" w:rsidRPr="00FA7706">
        <w:t>l</w:t>
      </w:r>
      <w:r w:rsidR="00B16431" w:rsidRPr="00FA7706">
        <w:t>ead</w:t>
      </w:r>
    </w:p>
    <w:p w14:paraId="710945E5" w14:textId="0FCB8F93" w:rsidR="00B16431" w:rsidRPr="00FA7706" w:rsidRDefault="00C5198C" w:rsidP="00B16431">
      <w:pPr>
        <w:pStyle w:val="NICEnormal"/>
      </w:pPr>
      <w:r w:rsidRPr="00FA7706">
        <w:rPr>
          <w:b/>
        </w:rPr>
        <w:t>Nicola Hay</w:t>
      </w:r>
      <w:r w:rsidR="00B16431" w:rsidRPr="00FA7706">
        <w:br/>
        <w:t xml:space="preserve">Technical </w:t>
      </w:r>
      <w:r w:rsidR="00085CF9" w:rsidRPr="00FA7706">
        <w:t>a</w:t>
      </w:r>
      <w:r w:rsidR="00B16431" w:rsidRPr="00FA7706">
        <w:t>dviser</w:t>
      </w:r>
    </w:p>
    <w:p w14:paraId="0BCB550F" w14:textId="1D728E61" w:rsidR="00B16431" w:rsidRPr="00FA7706" w:rsidRDefault="00C5198C" w:rsidP="005D3FD9">
      <w:pPr>
        <w:pStyle w:val="NICEnormal"/>
      </w:pPr>
      <w:r w:rsidRPr="00FA7706">
        <w:rPr>
          <w:b/>
        </w:rPr>
        <w:t>Gemma Barnacle</w:t>
      </w:r>
      <w:r w:rsidR="00B16431" w:rsidRPr="00FA7706">
        <w:br/>
        <w:t xml:space="preserve">Project </w:t>
      </w:r>
      <w:r w:rsidR="00085CF9" w:rsidRPr="00FA7706">
        <w:t>m</w:t>
      </w:r>
      <w:r w:rsidR="00B16431" w:rsidRPr="00FA7706">
        <w:t>anager</w:t>
      </w:r>
      <w:bookmarkEnd w:id="6"/>
    </w:p>
    <w:p w14:paraId="593B4C41" w14:textId="4AE9AC85" w:rsidR="005861D4" w:rsidRPr="00FA7706" w:rsidRDefault="006E7647" w:rsidP="00F05E37">
      <w:pPr>
        <w:pStyle w:val="NICEnormal"/>
      </w:pPr>
      <w:r w:rsidRPr="00FA7706">
        <w:t xml:space="preserve">ISBN: </w:t>
      </w:r>
      <w:r w:rsidRPr="00FA7706">
        <w:rPr>
          <w:highlight w:val="green"/>
        </w:rPr>
        <w:t>[to be added at publication]</w:t>
      </w:r>
    </w:p>
    <w:sectPr w:rsidR="005861D4" w:rsidRPr="00FA7706" w:rsidSect="00C76DDA">
      <w:headerReference w:type="default" r:id="rId18"/>
      <w:footerReference w:type="default" r:id="rId1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80B96" w14:textId="77777777" w:rsidR="00571160" w:rsidRDefault="00571160">
      <w:r>
        <w:separator/>
      </w:r>
    </w:p>
  </w:endnote>
  <w:endnote w:type="continuationSeparator" w:id="0">
    <w:p w14:paraId="0E446D05" w14:textId="77777777" w:rsidR="00571160" w:rsidRDefault="0057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18657" w14:textId="310DE3D0" w:rsidR="00571160" w:rsidRPr="003D33FB" w:rsidRDefault="00571160"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 xml:space="preserve">Pembrolizumab for </w:t>
    </w:r>
    <w:r w:rsidR="00605628" w:rsidRPr="00605628">
      <w:rPr>
        <w:sz w:val="18"/>
        <w:szCs w:val="18"/>
      </w:rPr>
      <w:t xml:space="preserve">untreated metastatic or unresectable </w:t>
    </w:r>
    <w:r w:rsidR="001B54C7">
      <w:rPr>
        <w:sz w:val="18"/>
        <w:szCs w:val="18"/>
      </w:rPr>
      <w:t xml:space="preserve">recurrent </w:t>
    </w:r>
    <w:r w:rsidR="00605628" w:rsidRPr="00605628">
      <w:rPr>
        <w:sz w:val="18"/>
        <w:szCs w:val="18"/>
      </w:rPr>
      <w:t>squamous cell head and neck cancer</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14</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15</w:t>
    </w:r>
    <w:r w:rsidRPr="0039118D">
      <w:rPr>
        <w:rStyle w:val="PageNumber"/>
        <w:sz w:val="20"/>
        <w:szCs w:val="20"/>
      </w:rPr>
      <w:fldChar w:fldCharType="end"/>
    </w:r>
  </w:p>
  <w:p w14:paraId="45DB7964" w14:textId="1C9314D2" w:rsidR="00571160" w:rsidRDefault="00571160" w:rsidP="007A7EC8">
    <w:pPr>
      <w:pStyle w:val="NICEnormalsinglespacing"/>
      <w:spacing w:after="120"/>
      <w:rPr>
        <w:sz w:val="18"/>
        <w:szCs w:val="18"/>
      </w:rPr>
    </w:pPr>
    <w:r w:rsidRPr="003D33FB">
      <w:rPr>
        <w:sz w:val="18"/>
        <w:szCs w:val="18"/>
      </w:rPr>
      <w:t xml:space="preserve">Issue date: </w:t>
    </w:r>
    <w:r>
      <w:rPr>
        <w:sz w:val="18"/>
        <w:szCs w:val="18"/>
      </w:rPr>
      <w:t>January 2020</w:t>
    </w:r>
  </w:p>
  <w:p w14:paraId="0FCCDD9A" w14:textId="3508E30A" w:rsidR="00571160" w:rsidRPr="007A7EC8" w:rsidRDefault="00571160" w:rsidP="007A7EC8">
    <w:pPr>
      <w:pStyle w:val="NICEnormalsinglespacing"/>
      <w:spacing w:after="120"/>
    </w:pPr>
    <w:r>
      <w:rPr>
        <w:sz w:val="18"/>
        <w:szCs w:val="18"/>
      </w:rPr>
      <w:t>© NICE 20</w:t>
    </w:r>
    <w:r w:rsidR="00842627">
      <w:rPr>
        <w:sz w:val="18"/>
        <w:szCs w:val="18"/>
      </w:rPr>
      <w:t>20</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1AC1" w14:textId="77777777" w:rsidR="00571160" w:rsidRDefault="00571160">
      <w:r>
        <w:separator/>
      </w:r>
    </w:p>
  </w:footnote>
  <w:footnote w:type="continuationSeparator" w:id="0">
    <w:p w14:paraId="0F43CB19" w14:textId="77777777" w:rsidR="00571160" w:rsidRDefault="00571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F1A4" w14:textId="77777777" w:rsidR="00571160" w:rsidRPr="004E6427" w:rsidRDefault="00571160"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02166A3"/>
    <w:multiLevelType w:val="multilevel"/>
    <w:tmpl w:val="7D64F02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686557"/>
    <w:multiLevelType w:val="hybridMultilevel"/>
    <w:tmpl w:val="17D0CA3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672410B"/>
    <w:multiLevelType w:val="hybridMultilevel"/>
    <w:tmpl w:val="B09A77C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B314C3E"/>
    <w:multiLevelType w:val="hybridMultilevel"/>
    <w:tmpl w:val="41DCFF2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3397B"/>
    <w:multiLevelType w:val="hybridMultilevel"/>
    <w:tmpl w:val="E758A4BA"/>
    <w:lvl w:ilvl="0" w:tplc="E7F2E79C">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8759CA"/>
    <w:multiLevelType w:val="hybridMultilevel"/>
    <w:tmpl w:val="BD145CE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9CC3584"/>
    <w:multiLevelType w:val="multilevel"/>
    <w:tmpl w:val="7D64F02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CD231C1"/>
    <w:multiLevelType w:val="hybridMultilevel"/>
    <w:tmpl w:val="1896A7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223F51"/>
    <w:multiLevelType w:val="hybridMultilevel"/>
    <w:tmpl w:val="F5D8EAF4"/>
    <w:lvl w:ilvl="0" w:tplc="18B67272">
      <w:start w:val="1"/>
      <w:numFmt w:val="bullet"/>
      <w:lvlText w:val=""/>
      <w:lvlJc w:val="left"/>
      <w:pPr>
        <w:ind w:left="1021" w:hanging="301"/>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41B7135"/>
    <w:multiLevelType w:val="multilevel"/>
    <w:tmpl w:val="65E8D622"/>
    <w:lvl w:ilvl="0">
      <w:start w:val="1"/>
      <w:numFmt w:val="bullet"/>
      <w:lvlText w:val=""/>
      <w:lvlJc w:val="left"/>
      <w:pPr>
        <w:tabs>
          <w:tab w:val="num" w:pos="1702"/>
        </w:tabs>
        <w:ind w:left="1702" w:hanging="284"/>
      </w:pPr>
      <w:rPr>
        <w:rFonts w:ascii="Symbol" w:hAnsi="Symbol" w:hint="default"/>
        <w:color w:val="auto"/>
      </w:rPr>
    </w:lvl>
    <w:lvl w:ilvl="1">
      <w:start w:val="1"/>
      <w:numFmt w:val="bullet"/>
      <w:pStyle w:val="Bulletindent2"/>
      <w:lvlText w:val=""/>
      <w:lvlJc w:val="left"/>
      <w:pPr>
        <w:tabs>
          <w:tab w:val="num" w:pos="1985"/>
        </w:tabs>
        <w:ind w:left="1985" w:hanging="283"/>
      </w:pPr>
      <w:rPr>
        <w:rFonts w:ascii="Symbol" w:hAnsi="Symbol" w:hint="default"/>
      </w:rPr>
    </w:lvl>
    <w:lvl w:ilvl="2">
      <w:start w:val="1"/>
      <w:numFmt w:val="decimal"/>
      <w:lvlText w:val="%3.%1.%2"/>
      <w:lvlJc w:val="left"/>
      <w:pPr>
        <w:tabs>
          <w:tab w:val="num" w:pos="2252"/>
        </w:tabs>
        <w:ind w:left="2252" w:hanging="964"/>
      </w:pPr>
      <w:rPr>
        <w:rFonts w:hint="default"/>
      </w:rPr>
    </w:lvl>
    <w:lvl w:ilvl="3">
      <w:start w:val="1"/>
      <w:numFmt w:val="decimal"/>
      <w:lvlText w:val="%1.%2.%3.%4"/>
      <w:lvlJc w:val="left"/>
      <w:pPr>
        <w:tabs>
          <w:tab w:val="num" w:pos="2252"/>
        </w:tabs>
        <w:ind w:left="2252" w:hanging="964"/>
      </w:pPr>
      <w:rPr>
        <w:rFonts w:hint="default"/>
      </w:rPr>
    </w:lvl>
    <w:lvl w:ilvl="4">
      <w:start w:val="1"/>
      <w:numFmt w:val="decimal"/>
      <w:lvlText w:val="%1.%2.%3.%4.%5."/>
      <w:lvlJc w:val="left"/>
      <w:pPr>
        <w:tabs>
          <w:tab w:val="num" w:pos="5608"/>
        </w:tabs>
        <w:ind w:left="3520" w:hanging="792"/>
      </w:pPr>
      <w:rPr>
        <w:rFonts w:hint="default"/>
      </w:rPr>
    </w:lvl>
    <w:lvl w:ilvl="5">
      <w:start w:val="1"/>
      <w:numFmt w:val="decimal"/>
      <w:lvlText w:val="%1.%2.%3.%4.%5.%6."/>
      <w:lvlJc w:val="left"/>
      <w:pPr>
        <w:tabs>
          <w:tab w:val="num" w:pos="6688"/>
        </w:tabs>
        <w:ind w:left="4024" w:hanging="936"/>
      </w:pPr>
      <w:rPr>
        <w:rFonts w:hint="default"/>
      </w:rPr>
    </w:lvl>
    <w:lvl w:ilvl="6">
      <w:start w:val="1"/>
      <w:numFmt w:val="decimal"/>
      <w:lvlText w:val="%1.%2.%3.%4.%5.%6.%7."/>
      <w:lvlJc w:val="left"/>
      <w:pPr>
        <w:tabs>
          <w:tab w:val="num" w:pos="7768"/>
        </w:tabs>
        <w:ind w:left="4528" w:hanging="1080"/>
      </w:pPr>
      <w:rPr>
        <w:rFonts w:hint="default"/>
      </w:rPr>
    </w:lvl>
    <w:lvl w:ilvl="7">
      <w:start w:val="1"/>
      <w:numFmt w:val="decimal"/>
      <w:lvlText w:val="%1.%2.%3.%4.%5.%6.%7.%8."/>
      <w:lvlJc w:val="left"/>
      <w:pPr>
        <w:tabs>
          <w:tab w:val="num" w:pos="8488"/>
        </w:tabs>
        <w:ind w:left="5032" w:hanging="1224"/>
      </w:pPr>
      <w:rPr>
        <w:rFonts w:hint="default"/>
      </w:rPr>
    </w:lvl>
    <w:lvl w:ilvl="8">
      <w:start w:val="1"/>
      <w:numFmt w:val="decimal"/>
      <w:lvlText w:val="%1.%2.%3.%4.%5.%6.%7.%8.%9."/>
      <w:lvlJc w:val="left"/>
      <w:pPr>
        <w:tabs>
          <w:tab w:val="num" w:pos="9568"/>
        </w:tabs>
        <w:ind w:left="5608" w:hanging="1440"/>
      </w:pPr>
      <w:rPr>
        <w:rFont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AD5A46"/>
    <w:multiLevelType w:val="hybridMultilevel"/>
    <w:tmpl w:val="DA2208A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7D8704D2"/>
    <w:multiLevelType w:val="hybridMultilevel"/>
    <w:tmpl w:val="106C7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
  </w:num>
  <w:num w:numId="3">
    <w:abstractNumId w:val="20"/>
  </w:num>
  <w:num w:numId="4">
    <w:abstractNumId w:val="17"/>
  </w:num>
  <w:num w:numId="5">
    <w:abstractNumId w:val="18"/>
  </w:num>
  <w:num w:numId="6">
    <w:abstractNumId w:val="0"/>
  </w:num>
  <w:num w:numId="7">
    <w:abstractNumId w:val="3"/>
  </w:num>
  <w:num w:numId="8">
    <w:abstractNumId w:val="8"/>
  </w:num>
  <w:num w:numId="9">
    <w:abstractNumId w:val="10"/>
  </w:num>
  <w:num w:numId="10">
    <w:abstractNumId w:val="12"/>
  </w:num>
  <w:num w:numId="11">
    <w:abstractNumId w:val="15"/>
  </w:num>
  <w:num w:numId="12">
    <w:abstractNumId w:val="13"/>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1"/>
  </w:num>
  <w:num w:numId="18">
    <w:abstractNumId w:val="23"/>
  </w:num>
  <w:num w:numId="19">
    <w:abstractNumId w:val="11"/>
  </w:num>
  <w:num w:numId="20">
    <w:abstractNumId w:val="12"/>
  </w:num>
  <w:num w:numId="21">
    <w:abstractNumId w:val="6"/>
  </w:num>
  <w:num w:numId="22">
    <w:abstractNumId w:val="2"/>
  </w:num>
  <w:num w:numId="23">
    <w:abstractNumId w:val="9"/>
  </w:num>
  <w:num w:numId="24">
    <w:abstractNumId w:val="5"/>
  </w:num>
  <w:num w:numId="25">
    <w:abstractNumId w:val="14"/>
  </w:num>
  <w:num w:numId="26">
    <w:abstractNumId w:val="17"/>
  </w:num>
  <w:num w:numId="27">
    <w:abstractNumId w:val="17"/>
  </w:num>
  <w:num w:numId="28">
    <w:abstractNumId w:val="17"/>
  </w:num>
  <w:num w:numId="29">
    <w:abstractNumId w:val="4"/>
  </w:num>
  <w:num w:numId="30">
    <w:abstractNumId w:val="22"/>
  </w:num>
  <w:num w:numId="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46"/>
    <w:rsid w:val="00000441"/>
    <w:rsid w:val="000006E3"/>
    <w:rsid w:val="00002B7C"/>
    <w:rsid w:val="000046F1"/>
    <w:rsid w:val="00004C5E"/>
    <w:rsid w:val="0000641D"/>
    <w:rsid w:val="00006590"/>
    <w:rsid w:val="0000678C"/>
    <w:rsid w:val="000069A4"/>
    <w:rsid w:val="000069F9"/>
    <w:rsid w:val="00006B63"/>
    <w:rsid w:val="0000727D"/>
    <w:rsid w:val="0000771C"/>
    <w:rsid w:val="00007C10"/>
    <w:rsid w:val="000119FB"/>
    <w:rsid w:val="00013A70"/>
    <w:rsid w:val="00013F0C"/>
    <w:rsid w:val="00014990"/>
    <w:rsid w:val="00016A22"/>
    <w:rsid w:val="00016E5E"/>
    <w:rsid w:val="00017610"/>
    <w:rsid w:val="00017D4A"/>
    <w:rsid w:val="00017F00"/>
    <w:rsid w:val="00021751"/>
    <w:rsid w:val="00021BC9"/>
    <w:rsid w:val="00021DCE"/>
    <w:rsid w:val="00021FB0"/>
    <w:rsid w:val="000221AA"/>
    <w:rsid w:val="000229A0"/>
    <w:rsid w:val="00022C29"/>
    <w:rsid w:val="0002331F"/>
    <w:rsid w:val="00023F26"/>
    <w:rsid w:val="00023F3A"/>
    <w:rsid w:val="000249F8"/>
    <w:rsid w:val="00025E0A"/>
    <w:rsid w:val="00026E82"/>
    <w:rsid w:val="00027A46"/>
    <w:rsid w:val="00030676"/>
    <w:rsid w:val="00030714"/>
    <w:rsid w:val="00031442"/>
    <w:rsid w:val="0003322C"/>
    <w:rsid w:val="00034110"/>
    <w:rsid w:val="000357D0"/>
    <w:rsid w:val="0003582B"/>
    <w:rsid w:val="00035AC1"/>
    <w:rsid w:val="000368FC"/>
    <w:rsid w:val="000376EE"/>
    <w:rsid w:val="000421F8"/>
    <w:rsid w:val="0004226A"/>
    <w:rsid w:val="000422A7"/>
    <w:rsid w:val="00042FAD"/>
    <w:rsid w:val="000432F9"/>
    <w:rsid w:val="00045528"/>
    <w:rsid w:val="0005187A"/>
    <w:rsid w:val="00051D18"/>
    <w:rsid w:val="00052063"/>
    <w:rsid w:val="00052EAA"/>
    <w:rsid w:val="00053332"/>
    <w:rsid w:val="00053367"/>
    <w:rsid w:val="00053C38"/>
    <w:rsid w:val="00055C3E"/>
    <w:rsid w:val="00055DDF"/>
    <w:rsid w:val="00057724"/>
    <w:rsid w:val="000607FC"/>
    <w:rsid w:val="00060C09"/>
    <w:rsid w:val="000613D4"/>
    <w:rsid w:val="00061C83"/>
    <w:rsid w:val="0006624B"/>
    <w:rsid w:val="00066474"/>
    <w:rsid w:val="00066567"/>
    <w:rsid w:val="00066863"/>
    <w:rsid w:val="000678B3"/>
    <w:rsid w:val="00067C4C"/>
    <w:rsid w:val="000711F1"/>
    <w:rsid w:val="000712D8"/>
    <w:rsid w:val="0007147F"/>
    <w:rsid w:val="000725D8"/>
    <w:rsid w:val="00073DA8"/>
    <w:rsid w:val="00075210"/>
    <w:rsid w:val="000755E6"/>
    <w:rsid w:val="00076251"/>
    <w:rsid w:val="000764D3"/>
    <w:rsid w:val="000778F5"/>
    <w:rsid w:val="0008061F"/>
    <w:rsid w:val="00080680"/>
    <w:rsid w:val="00080A47"/>
    <w:rsid w:val="000818C7"/>
    <w:rsid w:val="00082F77"/>
    <w:rsid w:val="00084A26"/>
    <w:rsid w:val="00085C5A"/>
    <w:rsid w:val="00085CF9"/>
    <w:rsid w:val="000862FC"/>
    <w:rsid w:val="000863CD"/>
    <w:rsid w:val="00087323"/>
    <w:rsid w:val="000879ED"/>
    <w:rsid w:val="00090292"/>
    <w:rsid w:val="0009128A"/>
    <w:rsid w:val="00093649"/>
    <w:rsid w:val="00094E46"/>
    <w:rsid w:val="00095C83"/>
    <w:rsid w:val="00096246"/>
    <w:rsid w:val="00097337"/>
    <w:rsid w:val="000977C0"/>
    <w:rsid w:val="00097E02"/>
    <w:rsid w:val="000A0494"/>
    <w:rsid w:val="000A08D5"/>
    <w:rsid w:val="000A0A6E"/>
    <w:rsid w:val="000A1D38"/>
    <w:rsid w:val="000A2737"/>
    <w:rsid w:val="000A2D91"/>
    <w:rsid w:val="000A4016"/>
    <w:rsid w:val="000A4144"/>
    <w:rsid w:val="000A4A28"/>
    <w:rsid w:val="000A6C40"/>
    <w:rsid w:val="000B05BB"/>
    <w:rsid w:val="000B061D"/>
    <w:rsid w:val="000B149D"/>
    <w:rsid w:val="000B2D29"/>
    <w:rsid w:val="000B6302"/>
    <w:rsid w:val="000B70D6"/>
    <w:rsid w:val="000B77F2"/>
    <w:rsid w:val="000B7F7A"/>
    <w:rsid w:val="000C04A1"/>
    <w:rsid w:val="000C194F"/>
    <w:rsid w:val="000C19DB"/>
    <w:rsid w:val="000C2222"/>
    <w:rsid w:val="000C2BDA"/>
    <w:rsid w:val="000C2D51"/>
    <w:rsid w:val="000C3FF5"/>
    <w:rsid w:val="000C6296"/>
    <w:rsid w:val="000C7343"/>
    <w:rsid w:val="000D0849"/>
    <w:rsid w:val="000D09ED"/>
    <w:rsid w:val="000D0A87"/>
    <w:rsid w:val="000D0FB1"/>
    <w:rsid w:val="000D11B8"/>
    <w:rsid w:val="000D124C"/>
    <w:rsid w:val="000D145B"/>
    <w:rsid w:val="000D20A3"/>
    <w:rsid w:val="000D3B75"/>
    <w:rsid w:val="000D3C7D"/>
    <w:rsid w:val="000D5A09"/>
    <w:rsid w:val="000D5CD6"/>
    <w:rsid w:val="000D6016"/>
    <w:rsid w:val="000D6A80"/>
    <w:rsid w:val="000D7185"/>
    <w:rsid w:val="000D7A72"/>
    <w:rsid w:val="000E0189"/>
    <w:rsid w:val="000E1CED"/>
    <w:rsid w:val="000E24BD"/>
    <w:rsid w:val="000E29D1"/>
    <w:rsid w:val="000E32E3"/>
    <w:rsid w:val="000E5765"/>
    <w:rsid w:val="000E697E"/>
    <w:rsid w:val="000E69C7"/>
    <w:rsid w:val="000E6F19"/>
    <w:rsid w:val="000F16DA"/>
    <w:rsid w:val="000F1E3F"/>
    <w:rsid w:val="000F2336"/>
    <w:rsid w:val="000F3CEA"/>
    <w:rsid w:val="000F3DBC"/>
    <w:rsid w:val="000F40E7"/>
    <w:rsid w:val="000F4473"/>
    <w:rsid w:val="000F48EC"/>
    <w:rsid w:val="000F4B37"/>
    <w:rsid w:val="000F4FC4"/>
    <w:rsid w:val="000F4FDA"/>
    <w:rsid w:val="000F5106"/>
    <w:rsid w:val="00100FC6"/>
    <w:rsid w:val="00101F34"/>
    <w:rsid w:val="00102C97"/>
    <w:rsid w:val="001033D5"/>
    <w:rsid w:val="0010432D"/>
    <w:rsid w:val="00104767"/>
    <w:rsid w:val="00105409"/>
    <w:rsid w:val="00107DBD"/>
    <w:rsid w:val="001111D4"/>
    <w:rsid w:val="00111642"/>
    <w:rsid w:val="001120AD"/>
    <w:rsid w:val="00112222"/>
    <w:rsid w:val="00113666"/>
    <w:rsid w:val="001140E0"/>
    <w:rsid w:val="00114579"/>
    <w:rsid w:val="00114C25"/>
    <w:rsid w:val="001169FE"/>
    <w:rsid w:val="00116D19"/>
    <w:rsid w:val="00121E78"/>
    <w:rsid w:val="001230AC"/>
    <w:rsid w:val="00123B47"/>
    <w:rsid w:val="00124604"/>
    <w:rsid w:val="00125061"/>
    <w:rsid w:val="001265C0"/>
    <w:rsid w:val="00130ADE"/>
    <w:rsid w:val="00131348"/>
    <w:rsid w:val="001316C5"/>
    <w:rsid w:val="001337B7"/>
    <w:rsid w:val="00133921"/>
    <w:rsid w:val="0013492E"/>
    <w:rsid w:val="00135027"/>
    <w:rsid w:val="00140C93"/>
    <w:rsid w:val="00142EB2"/>
    <w:rsid w:val="00143536"/>
    <w:rsid w:val="00143A28"/>
    <w:rsid w:val="00143F64"/>
    <w:rsid w:val="00144F44"/>
    <w:rsid w:val="00145B2F"/>
    <w:rsid w:val="001461CE"/>
    <w:rsid w:val="00150440"/>
    <w:rsid w:val="0015085A"/>
    <w:rsid w:val="00150F74"/>
    <w:rsid w:val="0015169A"/>
    <w:rsid w:val="00151D8E"/>
    <w:rsid w:val="00152070"/>
    <w:rsid w:val="00154109"/>
    <w:rsid w:val="001570BC"/>
    <w:rsid w:val="00157812"/>
    <w:rsid w:val="001579BF"/>
    <w:rsid w:val="00161759"/>
    <w:rsid w:val="00161AA0"/>
    <w:rsid w:val="00162ED9"/>
    <w:rsid w:val="001642A3"/>
    <w:rsid w:val="00165081"/>
    <w:rsid w:val="0016570D"/>
    <w:rsid w:val="001662BC"/>
    <w:rsid w:val="00167948"/>
    <w:rsid w:val="0017072D"/>
    <w:rsid w:val="00170B60"/>
    <w:rsid w:val="00170D25"/>
    <w:rsid w:val="00171110"/>
    <w:rsid w:val="0017143A"/>
    <w:rsid w:val="00171A2B"/>
    <w:rsid w:val="00172B7D"/>
    <w:rsid w:val="0017332D"/>
    <w:rsid w:val="00173F30"/>
    <w:rsid w:val="00174FE2"/>
    <w:rsid w:val="00175B2B"/>
    <w:rsid w:val="00175C19"/>
    <w:rsid w:val="00176FB2"/>
    <w:rsid w:val="001775E1"/>
    <w:rsid w:val="001823EB"/>
    <w:rsid w:val="00183823"/>
    <w:rsid w:val="00184577"/>
    <w:rsid w:val="001846D2"/>
    <w:rsid w:val="00184A2B"/>
    <w:rsid w:val="00184A64"/>
    <w:rsid w:val="00184C5D"/>
    <w:rsid w:val="001860A0"/>
    <w:rsid w:val="00186B95"/>
    <w:rsid w:val="0018716E"/>
    <w:rsid w:val="001872F5"/>
    <w:rsid w:val="001873CB"/>
    <w:rsid w:val="00187D8C"/>
    <w:rsid w:val="00190872"/>
    <w:rsid w:val="00190D83"/>
    <w:rsid w:val="00191B56"/>
    <w:rsid w:val="00193614"/>
    <w:rsid w:val="001937E9"/>
    <w:rsid w:val="00193945"/>
    <w:rsid w:val="00193965"/>
    <w:rsid w:val="00193AFF"/>
    <w:rsid w:val="001956FC"/>
    <w:rsid w:val="001957E0"/>
    <w:rsid w:val="00196ABF"/>
    <w:rsid w:val="0019718A"/>
    <w:rsid w:val="001A03AC"/>
    <w:rsid w:val="001A1658"/>
    <w:rsid w:val="001A1AE2"/>
    <w:rsid w:val="001A211A"/>
    <w:rsid w:val="001A2D76"/>
    <w:rsid w:val="001A553B"/>
    <w:rsid w:val="001A6BD9"/>
    <w:rsid w:val="001A77C8"/>
    <w:rsid w:val="001A7B34"/>
    <w:rsid w:val="001B0C9F"/>
    <w:rsid w:val="001B2DD8"/>
    <w:rsid w:val="001B4131"/>
    <w:rsid w:val="001B4BF3"/>
    <w:rsid w:val="001B54C7"/>
    <w:rsid w:val="001B56B1"/>
    <w:rsid w:val="001B7E00"/>
    <w:rsid w:val="001C0E6D"/>
    <w:rsid w:val="001C0EF4"/>
    <w:rsid w:val="001C0F80"/>
    <w:rsid w:val="001C3366"/>
    <w:rsid w:val="001C45EE"/>
    <w:rsid w:val="001C59E4"/>
    <w:rsid w:val="001C5EEC"/>
    <w:rsid w:val="001C78ED"/>
    <w:rsid w:val="001D0320"/>
    <w:rsid w:val="001D0720"/>
    <w:rsid w:val="001D0C0B"/>
    <w:rsid w:val="001D1D43"/>
    <w:rsid w:val="001D22B8"/>
    <w:rsid w:val="001D3F3E"/>
    <w:rsid w:val="001D49C5"/>
    <w:rsid w:val="001D6D87"/>
    <w:rsid w:val="001D7520"/>
    <w:rsid w:val="001E13FA"/>
    <w:rsid w:val="001E2368"/>
    <w:rsid w:val="001E27E5"/>
    <w:rsid w:val="001E2CAF"/>
    <w:rsid w:val="001E3596"/>
    <w:rsid w:val="001E36C1"/>
    <w:rsid w:val="001E3C57"/>
    <w:rsid w:val="001E4D37"/>
    <w:rsid w:val="001E605E"/>
    <w:rsid w:val="001E66C2"/>
    <w:rsid w:val="001E763A"/>
    <w:rsid w:val="001E7E32"/>
    <w:rsid w:val="001F1400"/>
    <w:rsid w:val="001F2A84"/>
    <w:rsid w:val="001F2E8D"/>
    <w:rsid w:val="001F436E"/>
    <w:rsid w:val="001F4699"/>
    <w:rsid w:val="001F6078"/>
    <w:rsid w:val="001F635B"/>
    <w:rsid w:val="001F7251"/>
    <w:rsid w:val="00201842"/>
    <w:rsid w:val="00201CFD"/>
    <w:rsid w:val="00202827"/>
    <w:rsid w:val="002034E1"/>
    <w:rsid w:val="00204F82"/>
    <w:rsid w:val="00204F93"/>
    <w:rsid w:val="00207017"/>
    <w:rsid w:val="0021081C"/>
    <w:rsid w:val="002119CD"/>
    <w:rsid w:val="00211B58"/>
    <w:rsid w:val="002159C9"/>
    <w:rsid w:val="0021664F"/>
    <w:rsid w:val="00216D41"/>
    <w:rsid w:val="002209DC"/>
    <w:rsid w:val="00220BEE"/>
    <w:rsid w:val="00220E00"/>
    <w:rsid w:val="002218BC"/>
    <w:rsid w:val="00222098"/>
    <w:rsid w:val="00222BEA"/>
    <w:rsid w:val="00222EAC"/>
    <w:rsid w:val="002232CA"/>
    <w:rsid w:val="00223C30"/>
    <w:rsid w:val="00224282"/>
    <w:rsid w:val="00225439"/>
    <w:rsid w:val="00225F9B"/>
    <w:rsid w:val="00226533"/>
    <w:rsid w:val="0023000A"/>
    <w:rsid w:val="00232061"/>
    <w:rsid w:val="00233421"/>
    <w:rsid w:val="00233B98"/>
    <w:rsid w:val="00233F88"/>
    <w:rsid w:val="00235945"/>
    <w:rsid w:val="00235CAB"/>
    <w:rsid w:val="00237B2E"/>
    <w:rsid w:val="00237B64"/>
    <w:rsid w:val="00241C46"/>
    <w:rsid w:val="00242347"/>
    <w:rsid w:val="00246300"/>
    <w:rsid w:val="00246E12"/>
    <w:rsid w:val="002511F3"/>
    <w:rsid w:val="0025128B"/>
    <w:rsid w:val="002513A2"/>
    <w:rsid w:val="00254EE2"/>
    <w:rsid w:val="00255085"/>
    <w:rsid w:val="002555BE"/>
    <w:rsid w:val="00255679"/>
    <w:rsid w:val="00255966"/>
    <w:rsid w:val="00256B06"/>
    <w:rsid w:val="00256C71"/>
    <w:rsid w:val="002577AC"/>
    <w:rsid w:val="00257B1C"/>
    <w:rsid w:val="00261199"/>
    <w:rsid w:val="002614EA"/>
    <w:rsid w:val="00261BCE"/>
    <w:rsid w:val="00265B0E"/>
    <w:rsid w:val="00266655"/>
    <w:rsid w:val="00267F26"/>
    <w:rsid w:val="0027009A"/>
    <w:rsid w:val="0027049D"/>
    <w:rsid w:val="002729AD"/>
    <w:rsid w:val="0027432B"/>
    <w:rsid w:val="00275D8B"/>
    <w:rsid w:val="00276FDB"/>
    <w:rsid w:val="0028148D"/>
    <w:rsid w:val="00281648"/>
    <w:rsid w:val="00282C30"/>
    <w:rsid w:val="00282D7E"/>
    <w:rsid w:val="002864B5"/>
    <w:rsid w:val="002868BE"/>
    <w:rsid w:val="00290445"/>
    <w:rsid w:val="00290EBA"/>
    <w:rsid w:val="002916BA"/>
    <w:rsid w:val="002916DA"/>
    <w:rsid w:val="00291ACB"/>
    <w:rsid w:val="00291E0F"/>
    <w:rsid w:val="00292044"/>
    <w:rsid w:val="00292B82"/>
    <w:rsid w:val="002931F3"/>
    <w:rsid w:val="00293811"/>
    <w:rsid w:val="0029459E"/>
    <w:rsid w:val="0029578B"/>
    <w:rsid w:val="00297259"/>
    <w:rsid w:val="00297710"/>
    <w:rsid w:val="002A151A"/>
    <w:rsid w:val="002A2687"/>
    <w:rsid w:val="002A4207"/>
    <w:rsid w:val="002A4222"/>
    <w:rsid w:val="002A578B"/>
    <w:rsid w:val="002A5B0E"/>
    <w:rsid w:val="002A5C23"/>
    <w:rsid w:val="002A5DD6"/>
    <w:rsid w:val="002B1AA9"/>
    <w:rsid w:val="002B2847"/>
    <w:rsid w:val="002B2999"/>
    <w:rsid w:val="002B3340"/>
    <w:rsid w:val="002B5772"/>
    <w:rsid w:val="002B6D1D"/>
    <w:rsid w:val="002C04A9"/>
    <w:rsid w:val="002C0551"/>
    <w:rsid w:val="002C08D2"/>
    <w:rsid w:val="002C09C5"/>
    <w:rsid w:val="002C1066"/>
    <w:rsid w:val="002C1255"/>
    <w:rsid w:val="002C175F"/>
    <w:rsid w:val="002C257D"/>
    <w:rsid w:val="002C2774"/>
    <w:rsid w:val="002C381D"/>
    <w:rsid w:val="002C3941"/>
    <w:rsid w:val="002C7102"/>
    <w:rsid w:val="002C7533"/>
    <w:rsid w:val="002C7F0E"/>
    <w:rsid w:val="002D1069"/>
    <w:rsid w:val="002D2864"/>
    <w:rsid w:val="002D6707"/>
    <w:rsid w:val="002D79A7"/>
    <w:rsid w:val="002E1578"/>
    <w:rsid w:val="002E24BC"/>
    <w:rsid w:val="002E3A2D"/>
    <w:rsid w:val="002E3D5D"/>
    <w:rsid w:val="002E3F68"/>
    <w:rsid w:val="002E42C7"/>
    <w:rsid w:val="002E56E3"/>
    <w:rsid w:val="002E5C16"/>
    <w:rsid w:val="002E73E7"/>
    <w:rsid w:val="002F0AA7"/>
    <w:rsid w:val="002F0D28"/>
    <w:rsid w:val="002F1B28"/>
    <w:rsid w:val="002F21BE"/>
    <w:rsid w:val="002F2583"/>
    <w:rsid w:val="002F279A"/>
    <w:rsid w:val="002F2C1A"/>
    <w:rsid w:val="002F4868"/>
    <w:rsid w:val="002F4F5B"/>
    <w:rsid w:val="002F68FE"/>
    <w:rsid w:val="00300DF8"/>
    <w:rsid w:val="00301148"/>
    <w:rsid w:val="00301198"/>
    <w:rsid w:val="00301487"/>
    <w:rsid w:val="00303156"/>
    <w:rsid w:val="0030349D"/>
    <w:rsid w:val="00304358"/>
    <w:rsid w:val="0030571A"/>
    <w:rsid w:val="00307450"/>
    <w:rsid w:val="00307743"/>
    <w:rsid w:val="0030794F"/>
    <w:rsid w:val="00307B3D"/>
    <w:rsid w:val="003107AB"/>
    <w:rsid w:val="0031127A"/>
    <w:rsid w:val="00313EEC"/>
    <w:rsid w:val="0031410C"/>
    <w:rsid w:val="00314535"/>
    <w:rsid w:val="00314E42"/>
    <w:rsid w:val="00315192"/>
    <w:rsid w:val="003154E8"/>
    <w:rsid w:val="00315C29"/>
    <w:rsid w:val="003164DD"/>
    <w:rsid w:val="00316533"/>
    <w:rsid w:val="0031664C"/>
    <w:rsid w:val="0031709A"/>
    <w:rsid w:val="00317F86"/>
    <w:rsid w:val="00320807"/>
    <w:rsid w:val="00322E59"/>
    <w:rsid w:val="00324997"/>
    <w:rsid w:val="003256B1"/>
    <w:rsid w:val="00331184"/>
    <w:rsid w:val="00331545"/>
    <w:rsid w:val="003316A8"/>
    <w:rsid w:val="00332D45"/>
    <w:rsid w:val="003330E6"/>
    <w:rsid w:val="0033318C"/>
    <w:rsid w:val="0033333E"/>
    <w:rsid w:val="00333830"/>
    <w:rsid w:val="00335442"/>
    <w:rsid w:val="003364D8"/>
    <w:rsid w:val="00336606"/>
    <w:rsid w:val="003368C0"/>
    <w:rsid w:val="003416B4"/>
    <w:rsid w:val="00341D46"/>
    <w:rsid w:val="00342422"/>
    <w:rsid w:val="0034257D"/>
    <w:rsid w:val="0034332F"/>
    <w:rsid w:val="00343439"/>
    <w:rsid w:val="00343B53"/>
    <w:rsid w:val="003450CE"/>
    <w:rsid w:val="003459E9"/>
    <w:rsid w:val="00345DFC"/>
    <w:rsid w:val="00346BA7"/>
    <w:rsid w:val="00347154"/>
    <w:rsid w:val="00351D8E"/>
    <w:rsid w:val="00354915"/>
    <w:rsid w:val="003555F7"/>
    <w:rsid w:val="00355895"/>
    <w:rsid w:val="00356255"/>
    <w:rsid w:val="00357826"/>
    <w:rsid w:val="003609D5"/>
    <w:rsid w:val="00362630"/>
    <w:rsid w:val="003643B9"/>
    <w:rsid w:val="00364E30"/>
    <w:rsid w:val="00367FA9"/>
    <w:rsid w:val="00370550"/>
    <w:rsid w:val="00371A9C"/>
    <w:rsid w:val="00372031"/>
    <w:rsid w:val="00373203"/>
    <w:rsid w:val="003737C4"/>
    <w:rsid w:val="003738C2"/>
    <w:rsid w:val="00374AB0"/>
    <w:rsid w:val="00375C06"/>
    <w:rsid w:val="00376AF1"/>
    <w:rsid w:val="00377AF7"/>
    <w:rsid w:val="003819AC"/>
    <w:rsid w:val="003838B8"/>
    <w:rsid w:val="00384125"/>
    <w:rsid w:val="00385254"/>
    <w:rsid w:val="00385A83"/>
    <w:rsid w:val="00385E85"/>
    <w:rsid w:val="00386491"/>
    <w:rsid w:val="0038657C"/>
    <w:rsid w:val="00386A97"/>
    <w:rsid w:val="0039118D"/>
    <w:rsid w:val="0039182E"/>
    <w:rsid w:val="00391AC8"/>
    <w:rsid w:val="00392FB4"/>
    <w:rsid w:val="00394DFF"/>
    <w:rsid w:val="0039579D"/>
    <w:rsid w:val="00395C05"/>
    <w:rsid w:val="00396746"/>
    <w:rsid w:val="00396A93"/>
    <w:rsid w:val="003A0250"/>
    <w:rsid w:val="003A04CD"/>
    <w:rsid w:val="003A11AB"/>
    <w:rsid w:val="003A1F14"/>
    <w:rsid w:val="003A365A"/>
    <w:rsid w:val="003A3974"/>
    <w:rsid w:val="003A3DA7"/>
    <w:rsid w:val="003A5838"/>
    <w:rsid w:val="003A5D8C"/>
    <w:rsid w:val="003A6B5E"/>
    <w:rsid w:val="003B035D"/>
    <w:rsid w:val="003B0BC2"/>
    <w:rsid w:val="003B1F83"/>
    <w:rsid w:val="003B37BB"/>
    <w:rsid w:val="003B65C1"/>
    <w:rsid w:val="003B75C2"/>
    <w:rsid w:val="003B79BB"/>
    <w:rsid w:val="003C36AC"/>
    <w:rsid w:val="003C373C"/>
    <w:rsid w:val="003C7A87"/>
    <w:rsid w:val="003C7EF9"/>
    <w:rsid w:val="003D35F6"/>
    <w:rsid w:val="003D5025"/>
    <w:rsid w:val="003D5615"/>
    <w:rsid w:val="003D68D5"/>
    <w:rsid w:val="003D7050"/>
    <w:rsid w:val="003D737D"/>
    <w:rsid w:val="003E14CF"/>
    <w:rsid w:val="003E232F"/>
    <w:rsid w:val="003E25CF"/>
    <w:rsid w:val="003E25E6"/>
    <w:rsid w:val="003E409F"/>
    <w:rsid w:val="003E684C"/>
    <w:rsid w:val="003E79B4"/>
    <w:rsid w:val="003F015E"/>
    <w:rsid w:val="003F168A"/>
    <w:rsid w:val="003F5048"/>
    <w:rsid w:val="003F587C"/>
    <w:rsid w:val="003F59C7"/>
    <w:rsid w:val="003F5D1B"/>
    <w:rsid w:val="003F7AF5"/>
    <w:rsid w:val="003F7DA7"/>
    <w:rsid w:val="004000E9"/>
    <w:rsid w:val="00400308"/>
    <w:rsid w:val="0040055B"/>
    <w:rsid w:val="00401150"/>
    <w:rsid w:val="004016DA"/>
    <w:rsid w:val="004035DA"/>
    <w:rsid w:val="0040532B"/>
    <w:rsid w:val="00406258"/>
    <w:rsid w:val="00407D59"/>
    <w:rsid w:val="00407E77"/>
    <w:rsid w:val="00411C15"/>
    <w:rsid w:val="0041257E"/>
    <w:rsid w:val="0041525E"/>
    <w:rsid w:val="00415939"/>
    <w:rsid w:val="00420742"/>
    <w:rsid w:val="00421005"/>
    <w:rsid w:val="0042397D"/>
    <w:rsid w:val="00426625"/>
    <w:rsid w:val="00426C73"/>
    <w:rsid w:val="00431039"/>
    <w:rsid w:val="00431372"/>
    <w:rsid w:val="00431996"/>
    <w:rsid w:val="00431D84"/>
    <w:rsid w:val="00433564"/>
    <w:rsid w:val="00433A69"/>
    <w:rsid w:val="00433E16"/>
    <w:rsid w:val="00434CDA"/>
    <w:rsid w:val="00434F98"/>
    <w:rsid w:val="00437CA3"/>
    <w:rsid w:val="0044027B"/>
    <w:rsid w:val="004408F8"/>
    <w:rsid w:val="00444993"/>
    <w:rsid w:val="00445E8B"/>
    <w:rsid w:val="0044648F"/>
    <w:rsid w:val="00446DA2"/>
    <w:rsid w:val="00446FF6"/>
    <w:rsid w:val="0045000D"/>
    <w:rsid w:val="00450260"/>
    <w:rsid w:val="00450EC4"/>
    <w:rsid w:val="004516CC"/>
    <w:rsid w:val="00453143"/>
    <w:rsid w:val="00454703"/>
    <w:rsid w:val="004562C2"/>
    <w:rsid w:val="0045723F"/>
    <w:rsid w:val="0045727F"/>
    <w:rsid w:val="00457843"/>
    <w:rsid w:val="00462002"/>
    <w:rsid w:val="0046212F"/>
    <w:rsid w:val="00462733"/>
    <w:rsid w:val="00463227"/>
    <w:rsid w:val="00463973"/>
    <w:rsid w:val="00465978"/>
    <w:rsid w:val="00466674"/>
    <w:rsid w:val="00466BCB"/>
    <w:rsid w:val="0046701C"/>
    <w:rsid w:val="00471113"/>
    <w:rsid w:val="00471200"/>
    <w:rsid w:val="004713FA"/>
    <w:rsid w:val="00471661"/>
    <w:rsid w:val="00472DD2"/>
    <w:rsid w:val="00472FF8"/>
    <w:rsid w:val="00473897"/>
    <w:rsid w:val="004755B3"/>
    <w:rsid w:val="00475F03"/>
    <w:rsid w:val="00476B09"/>
    <w:rsid w:val="00477C46"/>
    <w:rsid w:val="00480317"/>
    <w:rsid w:val="004804B3"/>
    <w:rsid w:val="00480D0B"/>
    <w:rsid w:val="004818EF"/>
    <w:rsid w:val="004819EB"/>
    <w:rsid w:val="00481E06"/>
    <w:rsid w:val="004820E9"/>
    <w:rsid w:val="00483119"/>
    <w:rsid w:val="0048361F"/>
    <w:rsid w:val="00483627"/>
    <w:rsid w:val="004845D0"/>
    <w:rsid w:val="004849BA"/>
    <w:rsid w:val="0048505F"/>
    <w:rsid w:val="004852FF"/>
    <w:rsid w:val="00485745"/>
    <w:rsid w:val="004858BD"/>
    <w:rsid w:val="00485BBC"/>
    <w:rsid w:val="004867C7"/>
    <w:rsid w:val="0048741A"/>
    <w:rsid w:val="00487DA4"/>
    <w:rsid w:val="004902AA"/>
    <w:rsid w:val="00490734"/>
    <w:rsid w:val="00490BF4"/>
    <w:rsid w:val="00491C09"/>
    <w:rsid w:val="00491D09"/>
    <w:rsid w:val="00492398"/>
    <w:rsid w:val="00494E73"/>
    <w:rsid w:val="004A1026"/>
    <w:rsid w:val="004A14F6"/>
    <w:rsid w:val="004A1DC0"/>
    <w:rsid w:val="004A2830"/>
    <w:rsid w:val="004A31A5"/>
    <w:rsid w:val="004A3E7E"/>
    <w:rsid w:val="004A4A45"/>
    <w:rsid w:val="004A5F44"/>
    <w:rsid w:val="004B0805"/>
    <w:rsid w:val="004B08C1"/>
    <w:rsid w:val="004B115C"/>
    <w:rsid w:val="004B37E4"/>
    <w:rsid w:val="004B4948"/>
    <w:rsid w:val="004B4FB1"/>
    <w:rsid w:val="004B5101"/>
    <w:rsid w:val="004B514C"/>
    <w:rsid w:val="004B6A44"/>
    <w:rsid w:val="004B7182"/>
    <w:rsid w:val="004B7597"/>
    <w:rsid w:val="004B7E95"/>
    <w:rsid w:val="004C00D8"/>
    <w:rsid w:val="004C2341"/>
    <w:rsid w:val="004C34E2"/>
    <w:rsid w:val="004C356A"/>
    <w:rsid w:val="004C3DAD"/>
    <w:rsid w:val="004C410A"/>
    <w:rsid w:val="004C5923"/>
    <w:rsid w:val="004C6116"/>
    <w:rsid w:val="004C6979"/>
    <w:rsid w:val="004C7C61"/>
    <w:rsid w:val="004D0DFD"/>
    <w:rsid w:val="004D1411"/>
    <w:rsid w:val="004D1FBE"/>
    <w:rsid w:val="004D458C"/>
    <w:rsid w:val="004D4A86"/>
    <w:rsid w:val="004D4E0F"/>
    <w:rsid w:val="004D5B62"/>
    <w:rsid w:val="004D5B75"/>
    <w:rsid w:val="004D7664"/>
    <w:rsid w:val="004E074F"/>
    <w:rsid w:val="004E2A9A"/>
    <w:rsid w:val="004E3FD6"/>
    <w:rsid w:val="004E583B"/>
    <w:rsid w:val="004E63AD"/>
    <w:rsid w:val="004E6427"/>
    <w:rsid w:val="004E6630"/>
    <w:rsid w:val="004E6CB3"/>
    <w:rsid w:val="004E7625"/>
    <w:rsid w:val="004E7E43"/>
    <w:rsid w:val="004E7EC4"/>
    <w:rsid w:val="004F072D"/>
    <w:rsid w:val="004F0D07"/>
    <w:rsid w:val="004F12F1"/>
    <w:rsid w:val="004F1662"/>
    <w:rsid w:val="004F1956"/>
    <w:rsid w:val="004F4743"/>
    <w:rsid w:val="004F58B3"/>
    <w:rsid w:val="004F5FC6"/>
    <w:rsid w:val="004F69FA"/>
    <w:rsid w:val="004F76CC"/>
    <w:rsid w:val="004F7E42"/>
    <w:rsid w:val="00500B64"/>
    <w:rsid w:val="005037B2"/>
    <w:rsid w:val="00503D54"/>
    <w:rsid w:val="0050442F"/>
    <w:rsid w:val="0050455E"/>
    <w:rsid w:val="005047AD"/>
    <w:rsid w:val="00504BB3"/>
    <w:rsid w:val="00506690"/>
    <w:rsid w:val="005066B3"/>
    <w:rsid w:val="005071C6"/>
    <w:rsid w:val="00510860"/>
    <w:rsid w:val="00510B1D"/>
    <w:rsid w:val="0051107D"/>
    <w:rsid w:val="0051254F"/>
    <w:rsid w:val="0051431C"/>
    <w:rsid w:val="0052053F"/>
    <w:rsid w:val="00520BCE"/>
    <w:rsid w:val="005227B5"/>
    <w:rsid w:val="005251AF"/>
    <w:rsid w:val="0052538F"/>
    <w:rsid w:val="00526C07"/>
    <w:rsid w:val="005273A6"/>
    <w:rsid w:val="00527533"/>
    <w:rsid w:val="00527E0E"/>
    <w:rsid w:val="005319D4"/>
    <w:rsid w:val="005323E9"/>
    <w:rsid w:val="00532CD9"/>
    <w:rsid w:val="00533141"/>
    <w:rsid w:val="00533202"/>
    <w:rsid w:val="0053387C"/>
    <w:rsid w:val="00534F74"/>
    <w:rsid w:val="005358B4"/>
    <w:rsid w:val="00536789"/>
    <w:rsid w:val="00536D2F"/>
    <w:rsid w:val="0053758F"/>
    <w:rsid w:val="00540052"/>
    <w:rsid w:val="00541121"/>
    <w:rsid w:val="0054146B"/>
    <w:rsid w:val="005421CE"/>
    <w:rsid w:val="00543DB4"/>
    <w:rsid w:val="00543E08"/>
    <w:rsid w:val="005449AD"/>
    <w:rsid w:val="00544B79"/>
    <w:rsid w:val="00544F2F"/>
    <w:rsid w:val="00545861"/>
    <w:rsid w:val="00546114"/>
    <w:rsid w:val="00547FC4"/>
    <w:rsid w:val="00550116"/>
    <w:rsid w:val="005505ED"/>
    <w:rsid w:val="005508FF"/>
    <w:rsid w:val="00550BBB"/>
    <w:rsid w:val="00552C71"/>
    <w:rsid w:val="0055327E"/>
    <w:rsid w:val="0055403C"/>
    <w:rsid w:val="00555003"/>
    <w:rsid w:val="0055689B"/>
    <w:rsid w:val="00563941"/>
    <w:rsid w:val="00564B04"/>
    <w:rsid w:val="00565BE4"/>
    <w:rsid w:val="00565FF5"/>
    <w:rsid w:val="00571160"/>
    <w:rsid w:val="00572470"/>
    <w:rsid w:val="00572AE2"/>
    <w:rsid w:val="00572DFC"/>
    <w:rsid w:val="00573059"/>
    <w:rsid w:val="00573CF0"/>
    <w:rsid w:val="005760B4"/>
    <w:rsid w:val="0057621E"/>
    <w:rsid w:val="00577B05"/>
    <w:rsid w:val="00577BA9"/>
    <w:rsid w:val="00580D6F"/>
    <w:rsid w:val="005810E1"/>
    <w:rsid w:val="005812C6"/>
    <w:rsid w:val="005817C1"/>
    <w:rsid w:val="00581F30"/>
    <w:rsid w:val="005861D4"/>
    <w:rsid w:val="00586351"/>
    <w:rsid w:val="00587E16"/>
    <w:rsid w:val="0059122C"/>
    <w:rsid w:val="005912B7"/>
    <w:rsid w:val="005948FA"/>
    <w:rsid w:val="005959BE"/>
    <w:rsid w:val="00596210"/>
    <w:rsid w:val="00596286"/>
    <w:rsid w:val="00596999"/>
    <w:rsid w:val="00596CC2"/>
    <w:rsid w:val="00596E5C"/>
    <w:rsid w:val="00597D27"/>
    <w:rsid w:val="005A09DD"/>
    <w:rsid w:val="005A0A29"/>
    <w:rsid w:val="005A0F31"/>
    <w:rsid w:val="005A28A1"/>
    <w:rsid w:val="005A2921"/>
    <w:rsid w:val="005A4359"/>
    <w:rsid w:val="005A46D0"/>
    <w:rsid w:val="005A5315"/>
    <w:rsid w:val="005A6FB5"/>
    <w:rsid w:val="005B011F"/>
    <w:rsid w:val="005B05D5"/>
    <w:rsid w:val="005B0D80"/>
    <w:rsid w:val="005B1794"/>
    <w:rsid w:val="005B25E4"/>
    <w:rsid w:val="005B2F99"/>
    <w:rsid w:val="005B30C1"/>
    <w:rsid w:val="005B30C8"/>
    <w:rsid w:val="005B3173"/>
    <w:rsid w:val="005B428B"/>
    <w:rsid w:val="005B4908"/>
    <w:rsid w:val="005B5E93"/>
    <w:rsid w:val="005B7778"/>
    <w:rsid w:val="005C051F"/>
    <w:rsid w:val="005C2C88"/>
    <w:rsid w:val="005C30D6"/>
    <w:rsid w:val="005C3916"/>
    <w:rsid w:val="005C3C38"/>
    <w:rsid w:val="005C41AF"/>
    <w:rsid w:val="005C52A6"/>
    <w:rsid w:val="005C5A6B"/>
    <w:rsid w:val="005C5D36"/>
    <w:rsid w:val="005C66F4"/>
    <w:rsid w:val="005C6E7B"/>
    <w:rsid w:val="005C6EB4"/>
    <w:rsid w:val="005C762E"/>
    <w:rsid w:val="005D098C"/>
    <w:rsid w:val="005D2283"/>
    <w:rsid w:val="005D2B81"/>
    <w:rsid w:val="005D3FD9"/>
    <w:rsid w:val="005D45CC"/>
    <w:rsid w:val="005D4B74"/>
    <w:rsid w:val="005D5996"/>
    <w:rsid w:val="005D5BA6"/>
    <w:rsid w:val="005D6A27"/>
    <w:rsid w:val="005D7DBE"/>
    <w:rsid w:val="005E134E"/>
    <w:rsid w:val="005E137A"/>
    <w:rsid w:val="005E2139"/>
    <w:rsid w:val="005E2451"/>
    <w:rsid w:val="005E30C5"/>
    <w:rsid w:val="005E3380"/>
    <w:rsid w:val="005E46BB"/>
    <w:rsid w:val="005E49C8"/>
    <w:rsid w:val="005E7094"/>
    <w:rsid w:val="005F269A"/>
    <w:rsid w:val="005F661F"/>
    <w:rsid w:val="006001CC"/>
    <w:rsid w:val="0060078E"/>
    <w:rsid w:val="00602B4D"/>
    <w:rsid w:val="00603C94"/>
    <w:rsid w:val="006048E0"/>
    <w:rsid w:val="00604FAD"/>
    <w:rsid w:val="0060555B"/>
    <w:rsid w:val="00605628"/>
    <w:rsid w:val="0060662A"/>
    <w:rsid w:val="006068CD"/>
    <w:rsid w:val="00606C27"/>
    <w:rsid w:val="00606ECB"/>
    <w:rsid w:val="006077FE"/>
    <w:rsid w:val="00607BC8"/>
    <w:rsid w:val="00607E26"/>
    <w:rsid w:val="00612789"/>
    <w:rsid w:val="0061284F"/>
    <w:rsid w:val="0061308E"/>
    <w:rsid w:val="006130BD"/>
    <w:rsid w:val="00613D24"/>
    <w:rsid w:val="00614154"/>
    <w:rsid w:val="00614BDA"/>
    <w:rsid w:val="00614CFD"/>
    <w:rsid w:val="006162CD"/>
    <w:rsid w:val="006176DA"/>
    <w:rsid w:val="006204DB"/>
    <w:rsid w:val="006214A9"/>
    <w:rsid w:val="006216F5"/>
    <w:rsid w:val="00621AFB"/>
    <w:rsid w:val="00624326"/>
    <w:rsid w:val="0062589A"/>
    <w:rsid w:val="006307C7"/>
    <w:rsid w:val="006327B3"/>
    <w:rsid w:val="00632B82"/>
    <w:rsid w:val="006331B4"/>
    <w:rsid w:val="00633748"/>
    <w:rsid w:val="00633EB1"/>
    <w:rsid w:val="006343F3"/>
    <w:rsid w:val="00636966"/>
    <w:rsid w:val="006379D5"/>
    <w:rsid w:val="00640CF2"/>
    <w:rsid w:val="006417D6"/>
    <w:rsid w:val="006420D1"/>
    <w:rsid w:val="00642906"/>
    <w:rsid w:val="006433D3"/>
    <w:rsid w:val="00643582"/>
    <w:rsid w:val="0064391D"/>
    <w:rsid w:val="00643B75"/>
    <w:rsid w:val="00643BC5"/>
    <w:rsid w:val="006457EF"/>
    <w:rsid w:val="006505FA"/>
    <w:rsid w:val="00650F96"/>
    <w:rsid w:val="006512B7"/>
    <w:rsid w:val="00651C22"/>
    <w:rsid w:val="00655679"/>
    <w:rsid w:val="00655965"/>
    <w:rsid w:val="00655B4D"/>
    <w:rsid w:val="00655ED5"/>
    <w:rsid w:val="0065631D"/>
    <w:rsid w:val="0065716F"/>
    <w:rsid w:val="00657199"/>
    <w:rsid w:val="0066041E"/>
    <w:rsid w:val="00661F43"/>
    <w:rsid w:val="0066299A"/>
    <w:rsid w:val="00662A54"/>
    <w:rsid w:val="00663156"/>
    <w:rsid w:val="00664976"/>
    <w:rsid w:val="006656E3"/>
    <w:rsid w:val="00665734"/>
    <w:rsid w:val="00665EBF"/>
    <w:rsid w:val="00665FAD"/>
    <w:rsid w:val="00667421"/>
    <w:rsid w:val="00667D01"/>
    <w:rsid w:val="00671977"/>
    <w:rsid w:val="00671D80"/>
    <w:rsid w:val="00672EFB"/>
    <w:rsid w:val="00672F86"/>
    <w:rsid w:val="00673258"/>
    <w:rsid w:val="006739CF"/>
    <w:rsid w:val="00673B87"/>
    <w:rsid w:val="00673BC9"/>
    <w:rsid w:val="00674B84"/>
    <w:rsid w:val="00674BE3"/>
    <w:rsid w:val="00676D89"/>
    <w:rsid w:val="0067752C"/>
    <w:rsid w:val="006776A2"/>
    <w:rsid w:val="0068012C"/>
    <w:rsid w:val="006801A6"/>
    <w:rsid w:val="0068124B"/>
    <w:rsid w:val="00681610"/>
    <w:rsid w:val="0068343C"/>
    <w:rsid w:val="00685CCC"/>
    <w:rsid w:val="00685D36"/>
    <w:rsid w:val="00685FAA"/>
    <w:rsid w:val="006870BC"/>
    <w:rsid w:val="00687304"/>
    <w:rsid w:val="006902EC"/>
    <w:rsid w:val="006906A8"/>
    <w:rsid w:val="00692C71"/>
    <w:rsid w:val="006931A0"/>
    <w:rsid w:val="006935BC"/>
    <w:rsid w:val="00696233"/>
    <w:rsid w:val="0069694D"/>
    <w:rsid w:val="00696E55"/>
    <w:rsid w:val="006A0B0E"/>
    <w:rsid w:val="006A174E"/>
    <w:rsid w:val="006A3A9C"/>
    <w:rsid w:val="006A3CC5"/>
    <w:rsid w:val="006A4212"/>
    <w:rsid w:val="006A721F"/>
    <w:rsid w:val="006A7CCF"/>
    <w:rsid w:val="006B0581"/>
    <w:rsid w:val="006B0B13"/>
    <w:rsid w:val="006B0F36"/>
    <w:rsid w:val="006B2224"/>
    <w:rsid w:val="006B2C0D"/>
    <w:rsid w:val="006B30FD"/>
    <w:rsid w:val="006B366D"/>
    <w:rsid w:val="006B4004"/>
    <w:rsid w:val="006B4254"/>
    <w:rsid w:val="006B47A3"/>
    <w:rsid w:val="006B513F"/>
    <w:rsid w:val="006B5BC8"/>
    <w:rsid w:val="006B5BF7"/>
    <w:rsid w:val="006B5CB4"/>
    <w:rsid w:val="006B6DCF"/>
    <w:rsid w:val="006B791B"/>
    <w:rsid w:val="006B7985"/>
    <w:rsid w:val="006C0A22"/>
    <w:rsid w:val="006C195D"/>
    <w:rsid w:val="006C249D"/>
    <w:rsid w:val="006C2865"/>
    <w:rsid w:val="006C2922"/>
    <w:rsid w:val="006C299C"/>
    <w:rsid w:val="006C41A3"/>
    <w:rsid w:val="006C4793"/>
    <w:rsid w:val="006C6CD2"/>
    <w:rsid w:val="006D35F4"/>
    <w:rsid w:val="006D36FB"/>
    <w:rsid w:val="006D3F62"/>
    <w:rsid w:val="006D42ED"/>
    <w:rsid w:val="006D4B59"/>
    <w:rsid w:val="006D6BF2"/>
    <w:rsid w:val="006D6DB1"/>
    <w:rsid w:val="006D73F1"/>
    <w:rsid w:val="006D768A"/>
    <w:rsid w:val="006D792E"/>
    <w:rsid w:val="006D7F6A"/>
    <w:rsid w:val="006E08B1"/>
    <w:rsid w:val="006E2A29"/>
    <w:rsid w:val="006E3514"/>
    <w:rsid w:val="006E36F1"/>
    <w:rsid w:val="006E3A6D"/>
    <w:rsid w:val="006E4AC5"/>
    <w:rsid w:val="006E7647"/>
    <w:rsid w:val="006F014A"/>
    <w:rsid w:val="006F0F9F"/>
    <w:rsid w:val="006F162C"/>
    <w:rsid w:val="006F1DA8"/>
    <w:rsid w:val="006F2BD5"/>
    <w:rsid w:val="006F48C9"/>
    <w:rsid w:val="006F4CFA"/>
    <w:rsid w:val="006F5310"/>
    <w:rsid w:val="006F6757"/>
    <w:rsid w:val="006F696E"/>
    <w:rsid w:val="006F6B91"/>
    <w:rsid w:val="006F792A"/>
    <w:rsid w:val="00700594"/>
    <w:rsid w:val="007013BF"/>
    <w:rsid w:val="00701E22"/>
    <w:rsid w:val="00702B1B"/>
    <w:rsid w:val="00702BB5"/>
    <w:rsid w:val="007040CB"/>
    <w:rsid w:val="007046E8"/>
    <w:rsid w:val="007049D7"/>
    <w:rsid w:val="0070523B"/>
    <w:rsid w:val="0070588C"/>
    <w:rsid w:val="00706D35"/>
    <w:rsid w:val="00707609"/>
    <w:rsid w:val="00707D16"/>
    <w:rsid w:val="00711157"/>
    <w:rsid w:val="00713056"/>
    <w:rsid w:val="00713B49"/>
    <w:rsid w:val="007146EA"/>
    <w:rsid w:val="00714886"/>
    <w:rsid w:val="007151B3"/>
    <w:rsid w:val="00715E8A"/>
    <w:rsid w:val="00717226"/>
    <w:rsid w:val="00720CCD"/>
    <w:rsid w:val="00720FDD"/>
    <w:rsid w:val="00722253"/>
    <w:rsid w:val="00722883"/>
    <w:rsid w:val="00722F07"/>
    <w:rsid w:val="00722FF1"/>
    <w:rsid w:val="00723AF0"/>
    <w:rsid w:val="00724A3B"/>
    <w:rsid w:val="00724D1E"/>
    <w:rsid w:val="00724F58"/>
    <w:rsid w:val="0072618B"/>
    <w:rsid w:val="00727911"/>
    <w:rsid w:val="0073007E"/>
    <w:rsid w:val="007311E2"/>
    <w:rsid w:val="00731E0D"/>
    <w:rsid w:val="00732519"/>
    <w:rsid w:val="0073365B"/>
    <w:rsid w:val="0073387A"/>
    <w:rsid w:val="007344AD"/>
    <w:rsid w:val="00734F5A"/>
    <w:rsid w:val="0073520C"/>
    <w:rsid w:val="00736871"/>
    <w:rsid w:val="00736958"/>
    <w:rsid w:val="00736D97"/>
    <w:rsid w:val="00737335"/>
    <w:rsid w:val="00737B10"/>
    <w:rsid w:val="00737CEF"/>
    <w:rsid w:val="00737DDA"/>
    <w:rsid w:val="00737EBC"/>
    <w:rsid w:val="00740961"/>
    <w:rsid w:val="007417F9"/>
    <w:rsid w:val="0074201D"/>
    <w:rsid w:val="007449BB"/>
    <w:rsid w:val="00746B57"/>
    <w:rsid w:val="00747455"/>
    <w:rsid w:val="007475C2"/>
    <w:rsid w:val="00747D90"/>
    <w:rsid w:val="00750803"/>
    <w:rsid w:val="00751CB9"/>
    <w:rsid w:val="007545FB"/>
    <w:rsid w:val="0075624F"/>
    <w:rsid w:val="007567ED"/>
    <w:rsid w:val="00756D96"/>
    <w:rsid w:val="007600CA"/>
    <w:rsid w:val="00763641"/>
    <w:rsid w:val="00763A57"/>
    <w:rsid w:val="007641A2"/>
    <w:rsid w:val="0076588C"/>
    <w:rsid w:val="007668BA"/>
    <w:rsid w:val="0076753A"/>
    <w:rsid w:val="00770596"/>
    <w:rsid w:val="0077277D"/>
    <w:rsid w:val="00772E6E"/>
    <w:rsid w:val="0077315E"/>
    <w:rsid w:val="007747D4"/>
    <w:rsid w:val="00774963"/>
    <w:rsid w:val="007750FC"/>
    <w:rsid w:val="007763CD"/>
    <w:rsid w:val="00780AB3"/>
    <w:rsid w:val="00781B7F"/>
    <w:rsid w:val="00782CBE"/>
    <w:rsid w:val="00782DCB"/>
    <w:rsid w:val="00784156"/>
    <w:rsid w:val="007844E7"/>
    <w:rsid w:val="00784810"/>
    <w:rsid w:val="007853DA"/>
    <w:rsid w:val="007860E5"/>
    <w:rsid w:val="00791535"/>
    <w:rsid w:val="00792110"/>
    <w:rsid w:val="007924B3"/>
    <w:rsid w:val="007927DB"/>
    <w:rsid w:val="00793320"/>
    <w:rsid w:val="007933B3"/>
    <w:rsid w:val="00794D72"/>
    <w:rsid w:val="00796250"/>
    <w:rsid w:val="0079656D"/>
    <w:rsid w:val="007A0196"/>
    <w:rsid w:val="007A048E"/>
    <w:rsid w:val="007A0777"/>
    <w:rsid w:val="007A113D"/>
    <w:rsid w:val="007A19AF"/>
    <w:rsid w:val="007A1E9D"/>
    <w:rsid w:val="007A2676"/>
    <w:rsid w:val="007A2801"/>
    <w:rsid w:val="007A2DFD"/>
    <w:rsid w:val="007A4EEE"/>
    <w:rsid w:val="007A6D85"/>
    <w:rsid w:val="007A6DAA"/>
    <w:rsid w:val="007A6E76"/>
    <w:rsid w:val="007A7EC8"/>
    <w:rsid w:val="007B032C"/>
    <w:rsid w:val="007B0997"/>
    <w:rsid w:val="007B1AF8"/>
    <w:rsid w:val="007B2A16"/>
    <w:rsid w:val="007B41DE"/>
    <w:rsid w:val="007B4B3F"/>
    <w:rsid w:val="007B787D"/>
    <w:rsid w:val="007B7B7B"/>
    <w:rsid w:val="007C27AF"/>
    <w:rsid w:val="007C3165"/>
    <w:rsid w:val="007C58D6"/>
    <w:rsid w:val="007C5B12"/>
    <w:rsid w:val="007C5F78"/>
    <w:rsid w:val="007C732D"/>
    <w:rsid w:val="007C7893"/>
    <w:rsid w:val="007D05B8"/>
    <w:rsid w:val="007D1008"/>
    <w:rsid w:val="007D3A7A"/>
    <w:rsid w:val="007D4576"/>
    <w:rsid w:val="007D5B27"/>
    <w:rsid w:val="007D5C80"/>
    <w:rsid w:val="007D62AE"/>
    <w:rsid w:val="007D76B5"/>
    <w:rsid w:val="007E013D"/>
    <w:rsid w:val="007E0ABE"/>
    <w:rsid w:val="007E12BB"/>
    <w:rsid w:val="007E2754"/>
    <w:rsid w:val="007E34F9"/>
    <w:rsid w:val="007E3EC1"/>
    <w:rsid w:val="007E4589"/>
    <w:rsid w:val="007E5818"/>
    <w:rsid w:val="007E59C2"/>
    <w:rsid w:val="007E60A8"/>
    <w:rsid w:val="007E61A7"/>
    <w:rsid w:val="007E65D7"/>
    <w:rsid w:val="007F0491"/>
    <w:rsid w:val="007F1B31"/>
    <w:rsid w:val="007F2891"/>
    <w:rsid w:val="007F30D9"/>
    <w:rsid w:val="007F4403"/>
    <w:rsid w:val="007F6B1A"/>
    <w:rsid w:val="007F70BC"/>
    <w:rsid w:val="0080089C"/>
    <w:rsid w:val="00801D49"/>
    <w:rsid w:val="00803318"/>
    <w:rsid w:val="00803456"/>
    <w:rsid w:val="00803505"/>
    <w:rsid w:val="00803DA3"/>
    <w:rsid w:val="0080401A"/>
    <w:rsid w:val="008044FC"/>
    <w:rsid w:val="00806783"/>
    <w:rsid w:val="00806979"/>
    <w:rsid w:val="00811BBD"/>
    <w:rsid w:val="00812119"/>
    <w:rsid w:val="00812232"/>
    <w:rsid w:val="00812976"/>
    <w:rsid w:val="00812FA9"/>
    <w:rsid w:val="008149C9"/>
    <w:rsid w:val="00814DEF"/>
    <w:rsid w:val="008155E1"/>
    <w:rsid w:val="00815A3F"/>
    <w:rsid w:val="00821A9C"/>
    <w:rsid w:val="0082239E"/>
    <w:rsid w:val="0082278B"/>
    <w:rsid w:val="00824E89"/>
    <w:rsid w:val="00825785"/>
    <w:rsid w:val="00825A87"/>
    <w:rsid w:val="00825A99"/>
    <w:rsid w:val="00826481"/>
    <w:rsid w:val="00826A95"/>
    <w:rsid w:val="00831B9B"/>
    <w:rsid w:val="0083456B"/>
    <w:rsid w:val="00835008"/>
    <w:rsid w:val="0083666F"/>
    <w:rsid w:val="0084051B"/>
    <w:rsid w:val="00840961"/>
    <w:rsid w:val="0084150F"/>
    <w:rsid w:val="0084159C"/>
    <w:rsid w:val="00842627"/>
    <w:rsid w:val="00842A7E"/>
    <w:rsid w:val="00844D3D"/>
    <w:rsid w:val="0084532E"/>
    <w:rsid w:val="00845810"/>
    <w:rsid w:val="00845F3C"/>
    <w:rsid w:val="00846159"/>
    <w:rsid w:val="0084638B"/>
    <w:rsid w:val="008476CA"/>
    <w:rsid w:val="008505C3"/>
    <w:rsid w:val="00851455"/>
    <w:rsid w:val="00851677"/>
    <w:rsid w:val="008522C6"/>
    <w:rsid w:val="00852CD5"/>
    <w:rsid w:val="00852E40"/>
    <w:rsid w:val="00854363"/>
    <w:rsid w:val="00855B42"/>
    <w:rsid w:val="00855E8A"/>
    <w:rsid w:val="0085650F"/>
    <w:rsid w:val="008573B9"/>
    <w:rsid w:val="00857A90"/>
    <w:rsid w:val="00857CDD"/>
    <w:rsid w:val="00860529"/>
    <w:rsid w:val="00860EA8"/>
    <w:rsid w:val="00864022"/>
    <w:rsid w:val="00864287"/>
    <w:rsid w:val="0086472B"/>
    <w:rsid w:val="00864B8F"/>
    <w:rsid w:val="008669C9"/>
    <w:rsid w:val="00867294"/>
    <w:rsid w:val="0087090E"/>
    <w:rsid w:val="008710A3"/>
    <w:rsid w:val="008710DB"/>
    <w:rsid w:val="008711BF"/>
    <w:rsid w:val="00871DAA"/>
    <w:rsid w:val="008733EC"/>
    <w:rsid w:val="0087368E"/>
    <w:rsid w:val="00873762"/>
    <w:rsid w:val="00873C48"/>
    <w:rsid w:val="00875720"/>
    <w:rsid w:val="0087626B"/>
    <w:rsid w:val="008800AD"/>
    <w:rsid w:val="008802D9"/>
    <w:rsid w:val="00880B03"/>
    <w:rsid w:val="00880B98"/>
    <w:rsid w:val="00881DEB"/>
    <w:rsid w:val="00881F26"/>
    <w:rsid w:val="008838A1"/>
    <w:rsid w:val="00884C38"/>
    <w:rsid w:val="00885FE9"/>
    <w:rsid w:val="0088685E"/>
    <w:rsid w:val="0088689E"/>
    <w:rsid w:val="00890FE1"/>
    <w:rsid w:val="00891794"/>
    <w:rsid w:val="00891929"/>
    <w:rsid w:val="00891D56"/>
    <w:rsid w:val="00891F14"/>
    <w:rsid w:val="0089229A"/>
    <w:rsid w:val="00892945"/>
    <w:rsid w:val="00893176"/>
    <w:rsid w:val="00895446"/>
    <w:rsid w:val="008955AF"/>
    <w:rsid w:val="00895CC7"/>
    <w:rsid w:val="0089653D"/>
    <w:rsid w:val="008A05E4"/>
    <w:rsid w:val="008A1D48"/>
    <w:rsid w:val="008A1D7B"/>
    <w:rsid w:val="008A2098"/>
    <w:rsid w:val="008A288A"/>
    <w:rsid w:val="008A32D1"/>
    <w:rsid w:val="008A57A0"/>
    <w:rsid w:val="008A7E20"/>
    <w:rsid w:val="008B03D8"/>
    <w:rsid w:val="008B1688"/>
    <w:rsid w:val="008B2218"/>
    <w:rsid w:val="008B28E9"/>
    <w:rsid w:val="008B47BA"/>
    <w:rsid w:val="008B54F2"/>
    <w:rsid w:val="008B5AF3"/>
    <w:rsid w:val="008B61CD"/>
    <w:rsid w:val="008B6562"/>
    <w:rsid w:val="008C0190"/>
    <w:rsid w:val="008C0437"/>
    <w:rsid w:val="008C19F2"/>
    <w:rsid w:val="008C2016"/>
    <w:rsid w:val="008C4C59"/>
    <w:rsid w:val="008C4CB3"/>
    <w:rsid w:val="008C4F0F"/>
    <w:rsid w:val="008C68D1"/>
    <w:rsid w:val="008C6CFD"/>
    <w:rsid w:val="008C7D07"/>
    <w:rsid w:val="008C7F38"/>
    <w:rsid w:val="008D2736"/>
    <w:rsid w:val="008D2C43"/>
    <w:rsid w:val="008D3941"/>
    <w:rsid w:val="008D3B9E"/>
    <w:rsid w:val="008D55C9"/>
    <w:rsid w:val="008D562F"/>
    <w:rsid w:val="008E1190"/>
    <w:rsid w:val="008E2978"/>
    <w:rsid w:val="008E377F"/>
    <w:rsid w:val="008E525B"/>
    <w:rsid w:val="008E5427"/>
    <w:rsid w:val="008E6805"/>
    <w:rsid w:val="008E710A"/>
    <w:rsid w:val="008E7460"/>
    <w:rsid w:val="008E7585"/>
    <w:rsid w:val="008F035E"/>
    <w:rsid w:val="008F0C7C"/>
    <w:rsid w:val="008F1251"/>
    <w:rsid w:val="008F2E5C"/>
    <w:rsid w:val="008F50C9"/>
    <w:rsid w:val="008F646F"/>
    <w:rsid w:val="00900658"/>
    <w:rsid w:val="00903B57"/>
    <w:rsid w:val="00905603"/>
    <w:rsid w:val="00906982"/>
    <w:rsid w:val="00906C2C"/>
    <w:rsid w:val="009075B8"/>
    <w:rsid w:val="009076D0"/>
    <w:rsid w:val="00910E15"/>
    <w:rsid w:val="00910E86"/>
    <w:rsid w:val="00910F4A"/>
    <w:rsid w:val="009133DC"/>
    <w:rsid w:val="00914F38"/>
    <w:rsid w:val="00915264"/>
    <w:rsid w:val="009163B1"/>
    <w:rsid w:val="00916F50"/>
    <w:rsid w:val="00917286"/>
    <w:rsid w:val="0091774F"/>
    <w:rsid w:val="0091776B"/>
    <w:rsid w:val="00920091"/>
    <w:rsid w:val="00920396"/>
    <w:rsid w:val="00922D4D"/>
    <w:rsid w:val="00924125"/>
    <w:rsid w:val="0092657D"/>
    <w:rsid w:val="00926B65"/>
    <w:rsid w:val="00930C93"/>
    <w:rsid w:val="0093281E"/>
    <w:rsid w:val="00932B67"/>
    <w:rsid w:val="00933768"/>
    <w:rsid w:val="00935018"/>
    <w:rsid w:val="0093671F"/>
    <w:rsid w:val="00937D0C"/>
    <w:rsid w:val="00937F0D"/>
    <w:rsid w:val="00937F77"/>
    <w:rsid w:val="00940DE2"/>
    <w:rsid w:val="00941D1F"/>
    <w:rsid w:val="0094366C"/>
    <w:rsid w:val="00943CDC"/>
    <w:rsid w:val="00944A63"/>
    <w:rsid w:val="00944AB9"/>
    <w:rsid w:val="00945C7D"/>
    <w:rsid w:val="00946090"/>
    <w:rsid w:val="0094666B"/>
    <w:rsid w:val="009469D9"/>
    <w:rsid w:val="00946A80"/>
    <w:rsid w:val="009479C0"/>
    <w:rsid w:val="00950640"/>
    <w:rsid w:val="00950668"/>
    <w:rsid w:val="00950914"/>
    <w:rsid w:val="00950C4C"/>
    <w:rsid w:val="00950C51"/>
    <w:rsid w:val="00951085"/>
    <w:rsid w:val="0095150C"/>
    <w:rsid w:val="00951585"/>
    <w:rsid w:val="00951973"/>
    <w:rsid w:val="0095252E"/>
    <w:rsid w:val="00952591"/>
    <w:rsid w:val="00952919"/>
    <w:rsid w:val="00952C90"/>
    <w:rsid w:val="00953ADF"/>
    <w:rsid w:val="00953B33"/>
    <w:rsid w:val="00953B55"/>
    <w:rsid w:val="009540F5"/>
    <w:rsid w:val="009568AF"/>
    <w:rsid w:val="00957255"/>
    <w:rsid w:val="00957E73"/>
    <w:rsid w:val="0096135C"/>
    <w:rsid w:val="009620D8"/>
    <w:rsid w:val="009627C7"/>
    <w:rsid w:val="00964C39"/>
    <w:rsid w:val="00964CBA"/>
    <w:rsid w:val="00965DAD"/>
    <w:rsid w:val="009665AA"/>
    <w:rsid w:val="00970E70"/>
    <w:rsid w:val="00972A83"/>
    <w:rsid w:val="00973E95"/>
    <w:rsid w:val="0097432F"/>
    <w:rsid w:val="009746D7"/>
    <w:rsid w:val="00974B02"/>
    <w:rsid w:val="009750B3"/>
    <w:rsid w:val="00976597"/>
    <w:rsid w:val="009803E6"/>
    <w:rsid w:val="009808B4"/>
    <w:rsid w:val="00981D43"/>
    <w:rsid w:val="00983EC3"/>
    <w:rsid w:val="00984821"/>
    <w:rsid w:val="009848C9"/>
    <w:rsid w:val="0098493A"/>
    <w:rsid w:val="00990ABD"/>
    <w:rsid w:val="009913EE"/>
    <w:rsid w:val="0099435B"/>
    <w:rsid w:val="00994AE0"/>
    <w:rsid w:val="00994C9B"/>
    <w:rsid w:val="00995C8E"/>
    <w:rsid w:val="00995F86"/>
    <w:rsid w:val="009961A7"/>
    <w:rsid w:val="00996F07"/>
    <w:rsid w:val="0099716A"/>
    <w:rsid w:val="009977D6"/>
    <w:rsid w:val="00997F3F"/>
    <w:rsid w:val="009A0323"/>
    <w:rsid w:val="009A03EA"/>
    <w:rsid w:val="009A0593"/>
    <w:rsid w:val="009A16D0"/>
    <w:rsid w:val="009A198B"/>
    <w:rsid w:val="009A1FD5"/>
    <w:rsid w:val="009A2797"/>
    <w:rsid w:val="009A2C14"/>
    <w:rsid w:val="009A3D97"/>
    <w:rsid w:val="009A3ED6"/>
    <w:rsid w:val="009A4E2D"/>
    <w:rsid w:val="009A598B"/>
    <w:rsid w:val="009A60D5"/>
    <w:rsid w:val="009A67F5"/>
    <w:rsid w:val="009A698B"/>
    <w:rsid w:val="009B0291"/>
    <w:rsid w:val="009B1D50"/>
    <w:rsid w:val="009B2D86"/>
    <w:rsid w:val="009B30B5"/>
    <w:rsid w:val="009B3F94"/>
    <w:rsid w:val="009B4C81"/>
    <w:rsid w:val="009B4D81"/>
    <w:rsid w:val="009B5E70"/>
    <w:rsid w:val="009B621A"/>
    <w:rsid w:val="009B63F2"/>
    <w:rsid w:val="009B672F"/>
    <w:rsid w:val="009B6EAB"/>
    <w:rsid w:val="009B718D"/>
    <w:rsid w:val="009B7D53"/>
    <w:rsid w:val="009C023B"/>
    <w:rsid w:val="009C05CB"/>
    <w:rsid w:val="009C09BB"/>
    <w:rsid w:val="009C0BCC"/>
    <w:rsid w:val="009C288F"/>
    <w:rsid w:val="009C3196"/>
    <w:rsid w:val="009C3FA3"/>
    <w:rsid w:val="009C43CE"/>
    <w:rsid w:val="009C45D9"/>
    <w:rsid w:val="009C4BDF"/>
    <w:rsid w:val="009C6058"/>
    <w:rsid w:val="009C68D2"/>
    <w:rsid w:val="009C6F32"/>
    <w:rsid w:val="009C7441"/>
    <w:rsid w:val="009C774B"/>
    <w:rsid w:val="009C7898"/>
    <w:rsid w:val="009D02C3"/>
    <w:rsid w:val="009D2BEF"/>
    <w:rsid w:val="009D36D4"/>
    <w:rsid w:val="009D44C2"/>
    <w:rsid w:val="009D46DA"/>
    <w:rsid w:val="009D509E"/>
    <w:rsid w:val="009D5168"/>
    <w:rsid w:val="009D7187"/>
    <w:rsid w:val="009D783B"/>
    <w:rsid w:val="009D7893"/>
    <w:rsid w:val="009E01DD"/>
    <w:rsid w:val="009E3AAF"/>
    <w:rsid w:val="009E3F5B"/>
    <w:rsid w:val="009E4B53"/>
    <w:rsid w:val="009E547A"/>
    <w:rsid w:val="009E603D"/>
    <w:rsid w:val="009E6622"/>
    <w:rsid w:val="009F1FB0"/>
    <w:rsid w:val="009F30C8"/>
    <w:rsid w:val="009F340E"/>
    <w:rsid w:val="009F4054"/>
    <w:rsid w:val="009F5D7E"/>
    <w:rsid w:val="009F68E2"/>
    <w:rsid w:val="009F6D91"/>
    <w:rsid w:val="00A016D6"/>
    <w:rsid w:val="00A01746"/>
    <w:rsid w:val="00A02F7D"/>
    <w:rsid w:val="00A03202"/>
    <w:rsid w:val="00A03791"/>
    <w:rsid w:val="00A06657"/>
    <w:rsid w:val="00A110BB"/>
    <w:rsid w:val="00A110ED"/>
    <w:rsid w:val="00A117F4"/>
    <w:rsid w:val="00A11A1C"/>
    <w:rsid w:val="00A121BB"/>
    <w:rsid w:val="00A12607"/>
    <w:rsid w:val="00A12DA0"/>
    <w:rsid w:val="00A134BA"/>
    <w:rsid w:val="00A15077"/>
    <w:rsid w:val="00A1552A"/>
    <w:rsid w:val="00A1666A"/>
    <w:rsid w:val="00A16DFA"/>
    <w:rsid w:val="00A17C0A"/>
    <w:rsid w:val="00A22FA7"/>
    <w:rsid w:val="00A235C9"/>
    <w:rsid w:val="00A238D0"/>
    <w:rsid w:val="00A27360"/>
    <w:rsid w:val="00A3098B"/>
    <w:rsid w:val="00A30AD1"/>
    <w:rsid w:val="00A31E19"/>
    <w:rsid w:val="00A33919"/>
    <w:rsid w:val="00A344B4"/>
    <w:rsid w:val="00A3601F"/>
    <w:rsid w:val="00A36968"/>
    <w:rsid w:val="00A369D2"/>
    <w:rsid w:val="00A40D46"/>
    <w:rsid w:val="00A41149"/>
    <w:rsid w:val="00A41416"/>
    <w:rsid w:val="00A43651"/>
    <w:rsid w:val="00A44006"/>
    <w:rsid w:val="00A44745"/>
    <w:rsid w:val="00A44F15"/>
    <w:rsid w:val="00A46DCD"/>
    <w:rsid w:val="00A47B7B"/>
    <w:rsid w:val="00A47FAE"/>
    <w:rsid w:val="00A50621"/>
    <w:rsid w:val="00A50739"/>
    <w:rsid w:val="00A514F0"/>
    <w:rsid w:val="00A52815"/>
    <w:rsid w:val="00A52D7F"/>
    <w:rsid w:val="00A54175"/>
    <w:rsid w:val="00A5629D"/>
    <w:rsid w:val="00A56809"/>
    <w:rsid w:val="00A56D19"/>
    <w:rsid w:val="00A57E61"/>
    <w:rsid w:val="00A60072"/>
    <w:rsid w:val="00A60D9A"/>
    <w:rsid w:val="00A61480"/>
    <w:rsid w:val="00A63A07"/>
    <w:rsid w:val="00A63B2A"/>
    <w:rsid w:val="00A654A2"/>
    <w:rsid w:val="00A656CD"/>
    <w:rsid w:val="00A6624B"/>
    <w:rsid w:val="00A670B1"/>
    <w:rsid w:val="00A67143"/>
    <w:rsid w:val="00A67183"/>
    <w:rsid w:val="00A70079"/>
    <w:rsid w:val="00A707FE"/>
    <w:rsid w:val="00A731B4"/>
    <w:rsid w:val="00A7466A"/>
    <w:rsid w:val="00A7493D"/>
    <w:rsid w:val="00A76452"/>
    <w:rsid w:val="00A768E6"/>
    <w:rsid w:val="00A7776E"/>
    <w:rsid w:val="00A77C92"/>
    <w:rsid w:val="00A817C2"/>
    <w:rsid w:val="00A8199A"/>
    <w:rsid w:val="00A82205"/>
    <w:rsid w:val="00A82AED"/>
    <w:rsid w:val="00A83F5F"/>
    <w:rsid w:val="00A84DF8"/>
    <w:rsid w:val="00A859E7"/>
    <w:rsid w:val="00A861C1"/>
    <w:rsid w:val="00A86D3D"/>
    <w:rsid w:val="00A87D52"/>
    <w:rsid w:val="00A9013E"/>
    <w:rsid w:val="00A915F3"/>
    <w:rsid w:val="00A94B17"/>
    <w:rsid w:val="00A94F1F"/>
    <w:rsid w:val="00A95347"/>
    <w:rsid w:val="00A955F0"/>
    <w:rsid w:val="00A95978"/>
    <w:rsid w:val="00A97926"/>
    <w:rsid w:val="00AA09A3"/>
    <w:rsid w:val="00AA0C4B"/>
    <w:rsid w:val="00AA41BA"/>
    <w:rsid w:val="00AA471D"/>
    <w:rsid w:val="00AA4AE1"/>
    <w:rsid w:val="00AA4B1C"/>
    <w:rsid w:val="00AA52AC"/>
    <w:rsid w:val="00AA6188"/>
    <w:rsid w:val="00AA6DCB"/>
    <w:rsid w:val="00AA7E33"/>
    <w:rsid w:val="00AB02E2"/>
    <w:rsid w:val="00AB069A"/>
    <w:rsid w:val="00AB1C95"/>
    <w:rsid w:val="00AB1DD3"/>
    <w:rsid w:val="00AB265E"/>
    <w:rsid w:val="00AB2948"/>
    <w:rsid w:val="00AB39FA"/>
    <w:rsid w:val="00AB3B30"/>
    <w:rsid w:val="00AB426C"/>
    <w:rsid w:val="00AB451C"/>
    <w:rsid w:val="00AB4DC4"/>
    <w:rsid w:val="00AB59F2"/>
    <w:rsid w:val="00AC187C"/>
    <w:rsid w:val="00AC1E2A"/>
    <w:rsid w:val="00AC1E63"/>
    <w:rsid w:val="00AC31F5"/>
    <w:rsid w:val="00AC3B9D"/>
    <w:rsid w:val="00AC3E62"/>
    <w:rsid w:val="00AC5AF9"/>
    <w:rsid w:val="00AC6192"/>
    <w:rsid w:val="00AC6601"/>
    <w:rsid w:val="00AD1AC8"/>
    <w:rsid w:val="00AD1E3E"/>
    <w:rsid w:val="00AD2F03"/>
    <w:rsid w:val="00AD57FE"/>
    <w:rsid w:val="00AD6559"/>
    <w:rsid w:val="00AD6933"/>
    <w:rsid w:val="00AD6B7B"/>
    <w:rsid w:val="00AD6EB9"/>
    <w:rsid w:val="00AD73E1"/>
    <w:rsid w:val="00AD7CAB"/>
    <w:rsid w:val="00AE14EC"/>
    <w:rsid w:val="00AE16C9"/>
    <w:rsid w:val="00AE27DF"/>
    <w:rsid w:val="00AE314C"/>
    <w:rsid w:val="00AE3EF5"/>
    <w:rsid w:val="00AE4898"/>
    <w:rsid w:val="00AE4F2A"/>
    <w:rsid w:val="00AE5F33"/>
    <w:rsid w:val="00AF0AD5"/>
    <w:rsid w:val="00AF138C"/>
    <w:rsid w:val="00AF15E6"/>
    <w:rsid w:val="00AF17AD"/>
    <w:rsid w:val="00AF2ADA"/>
    <w:rsid w:val="00AF51E7"/>
    <w:rsid w:val="00AF6744"/>
    <w:rsid w:val="00AF69B9"/>
    <w:rsid w:val="00AF6E17"/>
    <w:rsid w:val="00AF77B9"/>
    <w:rsid w:val="00AF7EC8"/>
    <w:rsid w:val="00B01EE1"/>
    <w:rsid w:val="00B031A1"/>
    <w:rsid w:val="00B04A43"/>
    <w:rsid w:val="00B04D06"/>
    <w:rsid w:val="00B05556"/>
    <w:rsid w:val="00B05620"/>
    <w:rsid w:val="00B05FBE"/>
    <w:rsid w:val="00B0722A"/>
    <w:rsid w:val="00B10EFC"/>
    <w:rsid w:val="00B1126B"/>
    <w:rsid w:val="00B11977"/>
    <w:rsid w:val="00B12E05"/>
    <w:rsid w:val="00B12E47"/>
    <w:rsid w:val="00B12EBE"/>
    <w:rsid w:val="00B13445"/>
    <w:rsid w:val="00B151DA"/>
    <w:rsid w:val="00B16431"/>
    <w:rsid w:val="00B166A4"/>
    <w:rsid w:val="00B168A4"/>
    <w:rsid w:val="00B16D84"/>
    <w:rsid w:val="00B16FB8"/>
    <w:rsid w:val="00B219B7"/>
    <w:rsid w:val="00B22719"/>
    <w:rsid w:val="00B2463C"/>
    <w:rsid w:val="00B24B81"/>
    <w:rsid w:val="00B25038"/>
    <w:rsid w:val="00B26374"/>
    <w:rsid w:val="00B26E54"/>
    <w:rsid w:val="00B3159A"/>
    <w:rsid w:val="00B33261"/>
    <w:rsid w:val="00B33465"/>
    <w:rsid w:val="00B336EE"/>
    <w:rsid w:val="00B35609"/>
    <w:rsid w:val="00B35C09"/>
    <w:rsid w:val="00B3620D"/>
    <w:rsid w:val="00B36D9F"/>
    <w:rsid w:val="00B36E05"/>
    <w:rsid w:val="00B37014"/>
    <w:rsid w:val="00B379C5"/>
    <w:rsid w:val="00B40450"/>
    <w:rsid w:val="00B4183F"/>
    <w:rsid w:val="00B42198"/>
    <w:rsid w:val="00B421E0"/>
    <w:rsid w:val="00B42E5E"/>
    <w:rsid w:val="00B432A2"/>
    <w:rsid w:val="00B453A8"/>
    <w:rsid w:val="00B45954"/>
    <w:rsid w:val="00B468F4"/>
    <w:rsid w:val="00B46AD2"/>
    <w:rsid w:val="00B52D26"/>
    <w:rsid w:val="00B54509"/>
    <w:rsid w:val="00B54590"/>
    <w:rsid w:val="00B54F1D"/>
    <w:rsid w:val="00B554DC"/>
    <w:rsid w:val="00B61A7B"/>
    <w:rsid w:val="00B62C10"/>
    <w:rsid w:val="00B62EFD"/>
    <w:rsid w:val="00B64645"/>
    <w:rsid w:val="00B649A7"/>
    <w:rsid w:val="00B64BBE"/>
    <w:rsid w:val="00B655AB"/>
    <w:rsid w:val="00B67DE1"/>
    <w:rsid w:val="00B7025D"/>
    <w:rsid w:val="00B72D2E"/>
    <w:rsid w:val="00B73DC1"/>
    <w:rsid w:val="00B75159"/>
    <w:rsid w:val="00B77636"/>
    <w:rsid w:val="00B77D7A"/>
    <w:rsid w:val="00B77E25"/>
    <w:rsid w:val="00B80134"/>
    <w:rsid w:val="00B8189D"/>
    <w:rsid w:val="00B8193F"/>
    <w:rsid w:val="00B8473D"/>
    <w:rsid w:val="00B84B21"/>
    <w:rsid w:val="00B86258"/>
    <w:rsid w:val="00B86780"/>
    <w:rsid w:val="00B86FA1"/>
    <w:rsid w:val="00B870B6"/>
    <w:rsid w:val="00B87653"/>
    <w:rsid w:val="00B90E10"/>
    <w:rsid w:val="00B93115"/>
    <w:rsid w:val="00B94E44"/>
    <w:rsid w:val="00B956BA"/>
    <w:rsid w:val="00B96473"/>
    <w:rsid w:val="00B964CA"/>
    <w:rsid w:val="00BA0782"/>
    <w:rsid w:val="00BA31C4"/>
    <w:rsid w:val="00BA33A6"/>
    <w:rsid w:val="00BA434D"/>
    <w:rsid w:val="00BA4655"/>
    <w:rsid w:val="00BA46C0"/>
    <w:rsid w:val="00BA68A2"/>
    <w:rsid w:val="00BA729A"/>
    <w:rsid w:val="00BA77A5"/>
    <w:rsid w:val="00BA78B6"/>
    <w:rsid w:val="00BA7935"/>
    <w:rsid w:val="00BB047B"/>
    <w:rsid w:val="00BB05E4"/>
    <w:rsid w:val="00BB0606"/>
    <w:rsid w:val="00BB45BC"/>
    <w:rsid w:val="00BB4818"/>
    <w:rsid w:val="00BB4AF3"/>
    <w:rsid w:val="00BB6398"/>
    <w:rsid w:val="00BB6C0C"/>
    <w:rsid w:val="00BB7D68"/>
    <w:rsid w:val="00BC2238"/>
    <w:rsid w:val="00BC25EF"/>
    <w:rsid w:val="00BC2C5B"/>
    <w:rsid w:val="00BC2D36"/>
    <w:rsid w:val="00BC2DAF"/>
    <w:rsid w:val="00BC378C"/>
    <w:rsid w:val="00BC3ABB"/>
    <w:rsid w:val="00BC3DE9"/>
    <w:rsid w:val="00BC49F4"/>
    <w:rsid w:val="00BC4EFE"/>
    <w:rsid w:val="00BC4FD3"/>
    <w:rsid w:val="00BC6827"/>
    <w:rsid w:val="00BC6C7A"/>
    <w:rsid w:val="00BC7D9E"/>
    <w:rsid w:val="00BD0372"/>
    <w:rsid w:val="00BD32EF"/>
    <w:rsid w:val="00BD3B6B"/>
    <w:rsid w:val="00BD44F5"/>
    <w:rsid w:val="00BD4948"/>
    <w:rsid w:val="00BD4B12"/>
    <w:rsid w:val="00BD5B70"/>
    <w:rsid w:val="00BE03A1"/>
    <w:rsid w:val="00BE2BB3"/>
    <w:rsid w:val="00BE32E9"/>
    <w:rsid w:val="00BE4340"/>
    <w:rsid w:val="00BE48D4"/>
    <w:rsid w:val="00BE5C41"/>
    <w:rsid w:val="00BE5C58"/>
    <w:rsid w:val="00BE79CC"/>
    <w:rsid w:val="00BE7AC5"/>
    <w:rsid w:val="00BF0646"/>
    <w:rsid w:val="00BF18D4"/>
    <w:rsid w:val="00BF1C32"/>
    <w:rsid w:val="00BF291B"/>
    <w:rsid w:val="00BF3F9E"/>
    <w:rsid w:val="00BF4117"/>
    <w:rsid w:val="00BF5AC9"/>
    <w:rsid w:val="00BF6810"/>
    <w:rsid w:val="00BF76A6"/>
    <w:rsid w:val="00C00DCB"/>
    <w:rsid w:val="00C00FB7"/>
    <w:rsid w:val="00C01F23"/>
    <w:rsid w:val="00C03294"/>
    <w:rsid w:val="00C044BE"/>
    <w:rsid w:val="00C04BAB"/>
    <w:rsid w:val="00C0515F"/>
    <w:rsid w:val="00C0607B"/>
    <w:rsid w:val="00C06DEF"/>
    <w:rsid w:val="00C073F4"/>
    <w:rsid w:val="00C075A2"/>
    <w:rsid w:val="00C07D80"/>
    <w:rsid w:val="00C107CB"/>
    <w:rsid w:val="00C118C4"/>
    <w:rsid w:val="00C11CAE"/>
    <w:rsid w:val="00C11F58"/>
    <w:rsid w:val="00C120D7"/>
    <w:rsid w:val="00C1236B"/>
    <w:rsid w:val="00C12BAE"/>
    <w:rsid w:val="00C132D1"/>
    <w:rsid w:val="00C139CA"/>
    <w:rsid w:val="00C13A7D"/>
    <w:rsid w:val="00C13C99"/>
    <w:rsid w:val="00C14CF8"/>
    <w:rsid w:val="00C15C4D"/>
    <w:rsid w:val="00C1721B"/>
    <w:rsid w:val="00C17359"/>
    <w:rsid w:val="00C17E35"/>
    <w:rsid w:val="00C20D50"/>
    <w:rsid w:val="00C214C8"/>
    <w:rsid w:val="00C215AE"/>
    <w:rsid w:val="00C229A2"/>
    <w:rsid w:val="00C22E5A"/>
    <w:rsid w:val="00C232C2"/>
    <w:rsid w:val="00C23AFF"/>
    <w:rsid w:val="00C23FA8"/>
    <w:rsid w:val="00C241A8"/>
    <w:rsid w:val="00C241B4"/>
    <w:rsid w:val="00C24ABA"/>
    <w:rsid w:val="00C24EB9"/>
    <w:rsid w:val="00C254A8"/>
    <w:rsid w:val="00C254EF"/>
    <w:rsid w:val="00C264CB"/>
    <w:rsid w:val="00C26767"/>
    <w:rsid w:val="00C30B0B"/>
    <w:rsid w:val="00C31253"/>
    <w:rsid w:val="00C3461E"/>
    <w:rsid w:val="00C34AA1"/>
    <w:rsid w:val="00C35129"/>
    <w:rsid w:val="00C3532F"/>
    <w:rsid w:val="00C358A2"/>
    <w:rsid w:val="00C36360"/>
    <w:rsid w:val="00C37984"/>
    <w:rsid w:val="00C37D4C"/>
    <w:rsid w:val="00C37DD6"/>
    <w:rsid w:val="00C419DB"/>
    <w:rsid w:val="00C42741"/>
    <w:rsid w:val="00C42AE2"/>
    <w:rsid w:val="00C43DD0"/>
    <w:rsid w:val="00C44A49"/>
    <w:rsid w:val="00C46577"/>
    <w:rsid w:val="00C476F1"/>
    <w:rsid w:val="00C51429"/>
    <w:rsid w:val="00C5198C"/>
    <w:rsid w:val="00C51E8F"/>
    <w:rsid w:val="00C52938"/>
    <w:rsid w:val="00C52FC0"/>
    <w:rsid w:val="00C53F9E"/>
    <w:rsid w:val="00C559E9"/>
    <w:rsid w:val="00C56BC4"/>
    <w:rsid w:val="00C57515"/>
    <w:rsid w:val="00C57E5E"/>
    <w:rsid w:val="00C60571"/>
    <w:rsid w:val="00C608C1"/>
    <w:rsid w:val="00C61279"/>
    <w:rsid w:val="00C63D4E"/>
    <w:rsid w:val="00C63EA9"/>
    <w:rsid w:val="00C6479E"/>
    <w:rsid w:val="00C64BAD"/>
    <w:rsid w:val="00C665A0"/>
    <w:rsid w:val="00C67725"/>
    <w:rsid w:val="00C700F3"/>
    <w:rsid w:val="00C7092F"/>
    <w:rsid w:val="00C7342C"/>
    <w:rsid w:val="00C75832"/>
    <w:rsid w:val="00C759D4"/>
    <w:rsid w:val="00C76DDA"/>
    <w:rsid w:val="00C807B3"/>
    <w:rsid w:val="00C80A49"/>
    <w:rsid w:val="00C825C9"/>
    <w:rsid w:val="00C828B1"/>
    <w:rsid w:val="00C843DA"/>
    <w:rsid w:val="00C84A39"/>
    <w:rsid w:val="00C84A3D"/>
    <w:rsid w:val="00C86CC3"/>
    <w:rsid w:val="00C87D82"/>
    <w:rsid w:val="00C901B1"/>
    <w:rsid w:val="00C90EBC"/>
    <w:rsid w:val="00C91B69"/>
    <w:rsid w:val="00C92584"/>
    <w:rsid w:val="00C928A1"/>
    <w:rsid w:val="00C93418"/>
    <w:rsid w:val="00C936B8"/>
    <w:rsid w:val="00C9489F"/>
    <w:rsid w:val="00C94E42"/>
    <w:rsid w:val="00C95C40"/>
    <w:rsid w:val="00C95C50"/>
    <w:rsid w:val="00C96EDE"/>
    <w:rsid w:val="00C97015"/>
    <w:rsid w:val="00CA09B1"/>
    <w:rsid w:val="00CA1652"/>
    <w:rsid w:val="00CA1D04"/>
    <w:rsid w:val="00CA2A65"/>
    <w:rsid w:val="00CA3856"/>
    <w:rsid w:val="00CA5A3F"/>
    <w:rsid w:val="00CA60D3"/>
    <w:rsid w:val="00CA65AD"/>
    <w:rsid w:val="00CA67E0"/>
    <w:rsid w:val="00CB0122"/>
    <w:rsid w:val="00CB0269"/>
    <w:rsid w:val="00CB0833"/>
    <w:rsid w:val="00CB18F5"/>
    <w:rsid w:val="00CB3F0C"/>
    <w:rsid w:val="00CB4F16"/>
    <w:rsid w:val="00CB5AC4"/>
    <w:rsid w:val="00CB5FC2"/>
    <w:rsid w:val="00CC008E"/>
    <w:rsid w:val="00CC02ED"/>
    <w:rsid w:val="00CC07BF"/>
    <w:rsid w:val="00CC1229"/>
    <w:rsid w:val="00CC17DF"/>
    <w:rsid w:val="00CC5921"/>
    <w:rsid w:val="00CC5C13"/>
    <w:rsid w:val="00CC63EB"/>
    <w:rsid w:val="00CC6EA9"/>
    <w:rsid w:val="00CD022A"/>
    <w:rsid w:val="00CD03BE"/>
    <w:rsid w:val="00CD0707"/>
    <w:rsid w:val="00CD0DF7"/>
    <w:rsid w:val="00CD17B2"/>
    <w:rsid w:val="00CD1A25"/>
    <w:rsid w:val="00CD2658"/>
    <w:rsid w:val="00CD2770"/>
    <w:rsid w:val="00CD3EEC"/>
    <w:rsid w:val="00CD46AB"/>
    <w:rsid w:val="00CD49A3"/>
    <w:rsid w:val="00CD52FB"/>
    <w:rsid w:val="00CD65E7"/>
    <w:rsid w:val="00CD68A6"/>
    <w:rsid w:val="00CD7BFC"/>
    <w:rsid w:val="00CD7F4F"/>
    <w:rsid w:val="00CE2B95"/>
    <w:rsid w:val="00CE2F1A"/>
    <w:rsid w:val="00CE3273"/>
    <w:rsid w:val="00CE34DB"/>
    <w:rsid w:val="00CE3ADE"/>
    <w:rsid w:val="00CE452B"/>
    <w:rsid w:val="00CE4E0C"/>
    <w:rsid w:val="00CE5438"/>
    <w:rsid w:val="00CE700C"/>
    <w:rsid w:val="00CF0022"/>
    <w:rsid w:val="00CF0D86"/>
    <w:rsid w:val="00CF1877"/>
    <w:rsid w:val="00CF1A11"/>
    <w:rsid w:val="00CF1A34"/>
    <w:rsid w:val="00CF28D6"/>
    <w:rsid w:val="00CF30FC"/>
    <w:rsid w:val="00CF4286"/>
    <w:rsid w:val="00CF4FE5"/>
    <w:rsid w:val="00CF53ED"/>
    <w:rsid w:val="00CF5CB2"/>
    <w:rsid w:val="00CF7121"/>
    <w:rsid w:val="00CF71D8"/>
    <w:rsid w:val="00D013E1"/>
    <w:rsid w:val="00D01B9F"/>
    <w:rsid w:val="00D03B38"/>
    <w:rsid w:val="00D03F18"/>
    <w:rsid w:val="00D03F87"/>
    <w:rsid w:val="00D04076"/>
    <w:rsid w:val="00D04CD4"/>
    <w:rsid w:val="00D04ECF"/>
    <w:rsid w:val="00D054FD"/>
    <w:rsid w:val="00D07174"/>
    <w:rsid w:val="00D101DC"/>
    <w:rsid w:val="00D10332"/>
    <w:rsid w:val="00D118C7"/>
    <w:rsid w:val="00D12095"/>
    <w:rsid w:val="00D13D1B"/>
    <w:rsid w:val="00D13EEA"/>
    <w:rsid w:val="00D14152"/>
    <w:rsid w:val="00D173CC"/>
    <w:rsid w:val="00D20D78"/>
    <w:rsid w:val="00D21ACB"/>
    <w:rsid w:val="00D21AEC"/>
    <w:rsid w:val="00D22D06"/>
    <w:rsid w:val="00D22E28"/>
    <w:rsid w:val="00D23AFC"/>
    <w:rsid w:val="00D24772"/>
    <w:rsid w:val="00D263B2"/>
    <w:rsid w:val="00D26E91"/>
    <w:rsid w:val="00D2769F"/>
    <w:rsid w:val="00D306B4"/>
    <w:rsid w:val="00D34180"/>
    <w:rsid w:val="00D3441D"/>
    <w:rsid w:val="00D355C4"/>
    <w:rsid w:val="00D357DD"/>
    <w:rsid w:val="00D3612A"/>
    <w:rsid w:val="00D37703"/>
    <w:rsid w:val="00D37DBF"/>
    <w:rsid w:val="00D37F25"/>
    <w:rsid w:val="00D4007E"/>
    <w:rsid w:val="00D42F4F"/>
    <w:rsid w:val="00D44141"/>
    <w:rsid w:val="00D444E7"/>
    <w:rsid w:val="00D44703"/>
    <w:rsid w:val="00D44B04"/>
    <w:rsid w:val="00D468D9"/>
    <w:rsid w:val="00D46E9D"/>
    <w:rsid w:val="00D50FF8"/>
    <w:rsid w:val="00D52B4A"/>
    <w:rsid w:val="00D5341E"/>
    <w:rsid w:val="00D54E15"/>
    <w:rsid w:val="00D5604C"/>
    <w:rsid w:val="00D56A53"/>
    <w:rsid w:val="00D60042"/>
    <w:rsid w:val="00D6070F"/>
    <w:rsid w:val="00D62E87"/>
    <w:rsid w:val="00D6324F"/>
    <w:rsid w:val="00D63458"/>
    <w:rsid w:val="00D66983"/>
    <w:rsid w:val="00D66D37"/>
    <w:rsid w:val="00D67FEC"/>
    <w:rsid w:val="00D7187C"/>
    <w:rsid w:val="00D72442"/>
    <w:rsid w:val="00D726C2"/>
    <w:rsid w:val="00D73151"/>
    <w:rsid w:val="00D74ACA"/>
    <w:rsid w:val="00D74F84"/>
    <w:rsid w:val="00D750CC"/>
    <w:rsid w:val="00D7541E"/>
    <w:rsid w:val="00D758DC"/>
    <w:rsid w:val="00D76C28"/>
    <w:rsid w:val="00D800CC"/>
    <w:rsid w:val="00D801E1"/>
    <w:rsid w:val="00D80337"/>
    <w:rsid w:val="00D81367"/>
    <w:rsid w:val="00D819A2"/>
    <w:rsid w:val="00D821B0"/>
    <w:rsid w:val="00D82EA1"/>
    <w:rsid w:val="00D83328"/>
    <w:rsid w:val="00D838C5"/>
    <w:rsid w:val="00D84369"/>
    <w:rsid w:val="00D8458A"/>
    <w:rsid w:val="00D845C5"/>
    <w:rsid w:val="00D84C8F"/>
    <w:rsid w:val="00D85237"/>
    <w:rsid w:val="00D86013"/>
    <w:rsid w:val="00D865D8"/>
    <w:rsid w:val="00D8680A"/>
    <w:rsid w:val="00D87351"/>
    <w:rsid w:val="00D873AD"/>
    <w:rsid w:val="00D87EB3"/>
    <w:rsid w:val="00D90BEE"/>
    <w:rsid w:val="00D915CC"/>
    <w:rsid w:val="00D91AAC"/>
    <w:rsid w:val="00D91C06"/>
    <w:rsid w:val="00D91C9F"/>
    <w:rsid w:val="00D92C19"/>
    <w:rsid w:val="00D937E4"/>
    <w:rsid w:val="00D93FD1"/>
    <w:rsid w:val="00D94799"/>
    <w:rsid w:val="00D94F28"/>
    <w:rsid w:val="00DA08F5"/>
    <w:rsid w:val="00DA0C16"/>
    <w:rsid w:val="00DA2ADC"/>
    <w:rsid w:val="00DA65B2"/>
    <w:rsid w:val="00DA6786"/>
    <w:rsid w:val="00DB01E2"/>
    <w:rsid w:val="00DB0764"/>
    <w:rsid w:val="00DB176D"/>
    <w:rsid w:val="00DB3506"/>
    <w:rsid w:val="00DB4A66"/>
    <w:rsid w:val="00DB5008"/>
    <w:rsid w:val="00DB54CA"/>
    <w:rsid w:val="00DB6A1C"/>
    <w:rsid w:val="00DB7A9A"/>
    <w:rsid w:val="00DC3177"/>
    <w:rsid w:val="00DC3276"/>
    <w:rsid w:val="00DC38B2"/>
    <w:rsid w:val="00DC44E9"/>
    <w:rsid w:val="00DC6ADA"/>
    <w:rsid w:val="00DD13AB"/>
    <w:rsid w:val="00DD16D2"/>
    <w:rsid w:val="00DD17BB"/>
    <w:rsid w:val="00DD2841"/>
    <w:rsid w:val="00DD2C47"/>
    <w:rsid w:val="00DD2EB2"/>
    <w:rsid w:val="00DD37D8"/>
    <w:rsid w:val="00DD4498"/>
    <w:rsid w:val="00DD47D5"/>
    <w:rsid w:val="00DD487A"/>
    <w:rsid w:val="00DD4CCE"/>
    <w:rsid w:val="00DD4EB5"/>
    <w:rsid w:val="00DD5902"/>
    <w:rsid w:val="00DD66C0"/>
    <w:rsid w:val="00DD6B22"/>
    <w:rsid w:val="00DD703C"/>
    <w:rsid w:val="00DE01A4"/>
    <w:rsid w:val="00DE05BF"/>
    <w:rsid w:val="00DE165A"/>
    <w:rsid w:val="00DE2053"/>
    <w:rsid w:val="00DE37ED"/>
    <w:rsid w:val="00DE3A53"/>
    <w:rsid w:val="00DE4597"/>
    <w:rsid w:val="00DE5BDA"/>
    <w:rsid w:val="00DE643F"/>
    <w:rsid w:val="00DE6638"/>
    <w:rsid w:val="00DE6710"/>
    <w:rsid w:val="00DE6B04"/>
    <w:rsid w:val="00DE7487"/>
    <w:rsid w:val="00DF0483"/>
    <w:rsid w:val="00DF0C0F"/>
    <w:rsid w:val="00DF1A91"/>
    <w:rsid w:val="00DF20A4"/>
    <w:rsid w:val="00DF3364"/>
    <w:rsid w:val="00DF37DD"/>
    <w:rsid w:val="00DF4925"/>
    <w:rsid w:val="00DF4A39"/>
    <w:rsid w:val="00DF57DC"/>
    <w:rsid w:val="00DF677F"/>
    <w:rsid w:val="00DF6840"/>
    <w:rsid w:val="00DF725D"/>
    <w:rsid w:val="00E010AB"/>
    <w:rsid w:val="00E015AD"/>
    <w:rsid w:val="00E0233F"/>
    <w:rsid w:val="00E02678"/>
    <w:rsid w:val="00E02BAD"/>
    <w:rsid w:val="00E032E1"/>
    <w:rsid w:val="00E050EC"/>
    <w:rsid w:val="00E05BC9"/>
    <w:rsid w:val="00E06262"/>
    <w:rsid w:val="00E0748A"/>
    <w:rsid w:val="00E10DA4"/>
    <w:rsid w:val="00E10DDF"/>
    <w:rsid w:val="00E119F5"/>
    <w:rsid w:val="00E11BF2"/>
    <w:rsid w:val="00E128A9"/>
    <w:rsid w:val="00E12A7F"/>
    <w:rsid w:val="00E143DA"/>
    <w:rsid w:val="00E14BA3"/>
    <w:rsid w:val="00E150E2"/>
    <w:rsid w:val="00E16744"/>
    <w:rsid w:val="00E17947"/>
    <w:rsid w:val="00E2028E"/>
    <w:rsid w:val="00E2054A"/>
    <w:rsid w:val="00E208B0"/>
    <w:rsid w:val="00E21B9F"/>
    <w:rsid w:val="00E22BB0"/>
    <w:rsid w:val="00E230A1"/>
    <w:rsid w:val="00E230E4"/>
    <w:rsid w:val="00E23836"/>
    <w:rsid w:val="00E247FB"/>
    <w:rsid w:val="00E24C1F"/>
    <w:rsid w:val="00E24E40"/>
    <w:rsid w:val="00E25953"/>
    <w:rsid w:val="00E259B1"/>
    <w:rsid w:val="00E27F5A"/>
    <w:rsid w:val="00E32BEA"/>
    <w:rsid w:val="00E32F5B"/>
    <w:rsid w:val="00E364D7"/>
    <w:rsid w:val="00E368AF"/>
    <w:rsid w:val="00E3799F"/>
    <w:rsid w:val="00E37DA2"/>
    <w:rsid w:val="00E4034F"/>
    <w:rsid w:val="00E4078D"/>
    <w:rsid w:val="00E4091B"/>
    <w:rsid w:val="00E4121B"/>
    <w:rsid w:val="00E417B7"/>
    <w:rsid w:val="00E42FA4"/>
    <w:rsid w:val="00E43ACF"/>
    <w:rsid w:val="00E4426B"/>
    <w:rsid w:val="00E45864"/>
    <w:rsid w:val="00E4622C"/>
    <w:rsid w:val="00E46D41"/>
    <w:rsid w:val="00E5095A"/>
    <w:rsid w:val="00E50D5F"/>
    <w:rsid w:val="00E51FFB"/>
    <w:rsid w:val="00E52A77"/>
    <w:rsid w:val="00E52DD3"/>
    <w:rsid w:val="00E52EA7"/>
    <w:rsid w:val="00E5471E"/>
    <w:rsid w:val="00E558A4"/>
    <w:rsid w:val="00E55CC7"/>
    <w:rsid w:val="00E55F66"/>
    <w:rsid w:val="00E5652F"/>
    <w:rsid w:val="00E5712D"/>
    <w:rsid w:val="00E576D9"/>
    <w:rsid w:val="00E57773"/>
    <w:rsid w:val="00E60814"/>
    <w:rsid w:val="00E63C49"/>
    <w:rsid w:val="00E65EA1"/>
    <w:rsid w:val="00E6605D"/>
    <w:rsid w:val="00E6611F"/>
    <w:rsid w:val="00E667C7"/>
    <w:rsid w:val="00E67610"/>
    <w:rsid w:val="00E67CBC"/>
    <w:rsid w:val="00E71221"/>
    <w:rsid w:val="00E72173"/>
    <w:rsid w:val="00E72EB8"/>
    <w:rsid w:val="00E74460"/>
    <w:rsid w:val="00E75AAE"/>
    <w:rsid w:val="00E75C99"/>
    <w:rsid w:val="00E77248"/>
    <w:rsid w:val="00E816B3"/>
    <w:rsid w:val="00E81EC5"/>
    <w:rsid w:val="00E82285"/>
    <w:rsid w:val="00E828DE"/>
    <w:rsid w:val="00E829D6"/>
    <w:rsid w:val="00E82AAD"/>
    <w:rsid w:val="00E830B7"/>
    <w:rsid w:val="00E87655"/>
    <w:rsid w:val="00E91635"/>
    <w:rsid w:val="00E9168B"/>
    <w:rsid w:val="00E923A0"/>
    <w:rsid w:val="00E9265B"/>
    <w:rsid w:val="00E92D1F"/>
    <w:rsid w:val="00E94FCA"/>
    <w:rsid w:val="00E95253"/>
    <w:rsid w:val="00E95F85"/>
    <w:rsid w:val="00E96102"/>
    <w:rsid w:val="00E96A4A"/>
    <w:rsid w:val="00E978F3"/>
    <w:rsid w:val="00E9798E"/>
    <w:rsid w:val="00EA0BDD"/>
    <w:rsid w:val="00EA1E6B"/>
    <w:rsid w:val="00EA3BA4"/>
    <w:rsid w:val="00EA486D"/>
    <w:rsid w:val="00EA5CE7"/>
    <w:rsid w:val="00EA6125"/>
    <w:rsid w:val="00EA71B2"/>
    <w:rsid w:val="00EA7287"/>
    <w:rsid w:val="00EB1BDD"/>
    <w:rsid w:val="00EB3228"/>
    <w:rsid w:val="00EB3AE6"/>
    <w:rsid w:val="00EB4487"/>
    <w:rsid w:val="00EB6302"/>
    <w:rsid w:val="00EB6C5C"/>
    <w:rsid w:val="00EB6C65"/>
    <w:rsid w:val="00EB6D01"/>
    <w:rsid w:val="00EC0435"/>
    <w:rsid w:val="00EC0F16"/>
    <w:rsid w:val="00EC2B22"/>
    <w:rsid w:val="00EC2B8A"/>
    <w:rsid w:val="00EC3D80"/>
    <w:rsid w:val="00EC6FE6"/>
    <w:rsid w:val="00EC7180"/>
    <w:rsid w:val="00EC750C"/>
    <w:rsid w:val="00EC7B38"/>
    <w:rsid w:val="00ED1D70"/>
    <w:rsid w:val="00ED209D"/>
    <w:rsid w:val="00ED418D"/>
    <w:rsid w:val="00ED4212"/>
    <w:rsid w:val="00ED4362"/>
    <w:rsid w:val="00ED4673"/>
    <w:rsid w:val="00ED46C4"/>
    <w:rsid w:val="00ED5D29"/>
    <w:rsid w:val="00ED5F88"/>
    <w:rsid w:val="00ED664B"/>
    <w:rsid w:val="00ED7359"/>
    <w:rsid w:val="00ED7454"/>
    <w:rsid w:val="00ED7C2E"/>
    <w:rsid w:val="00EE0F43"/>
    <w:rsid w:val="00EE5111"/>
    <w:rsid w:val="00EE7DDE"/>
    <w:rsid w:val="00EF157F"/>
    <w:rsid w:val="00EF2699"/>
    <w:rsid w:val="00EF2730"/>
    <w:rsid w:val="00EF28D7"/>
    <w:rsid w:val="00EF4EBC"/>
    <w:rsid w:val="00EF7213"/>
    <w:rsid w:val="00EF78F0"/>
    <w:rsid w:val="00F01D63"/>
    <w:rsid w:val="00F02613"/>
    <w:rsid w:val="00F03786"/>
    <w:rsid w:val="00F049B7"/>
    <w:rsid w:val="00F04B80"/>
    <w:rsid w:val="00F05E37"/>
    <w:rsid w:val="00F05F4C"/>
    <w:rsid w:val="00F06988"/>
    <w:rsid w:val="00F07897"/>
    <w:rsid w:val="00F07B8D"/>
    <w:rsid w:val="00F07EF7"/>
    <w:rsid w:val="00F112AC"/>
    <w:rsid w:val="00F12A50"/>
    <w:rsid w:val="00F130AD"/>
    <w:rsid w:val="00F133B3"/>
    <w:rsid w:val="00F13492"/>
    <w:rsid w:val="00F1561E"/>
    <w:rsid w:val="00F15A2C"/>
    <w:rsid w:val="00F15FBB"/>
    <w:rsid w:val="00F16D89"/>
    <w:rsid w:val="00F2002D"/>
    <w:rsid w:val="00F211AA"/>
    <w:rsid w:val="00F22093"/>
    <w:rsid w:val="00F227E8"/>
    <w:rsid w:val="00F23825"/>
    <w:rsid w:val="00F23B42"/>
    <w:rsid w:val="00F24647"/>
    <w:rsid w:val="00F25CDE"/>
    <w:rsid w:val="00F26374"/>
    <w:rsid w:val="00F264CF"/>
    <w:rsid w:val="00F26A9F"/>
    <w:rsid w:val="00F306AF"/>
    <w:rsid w:val="00F30A74"/>
    <w:rsid w:val="00F30DE4"/>
    <w:rsid w:val="00F331B5"/>
    <w:rsid w:val="00F343D2"/>
    <w:rsid w:val="00F34A4F"/>
    <w:rsid w:val="00F34AF9"/>
    <w:rsid w:val="00F3609D"/>
    <w:rsid w:val="00F378EE"/>
    <w:rsid w:val="00F41068"/>
    <w:rsid w:val="00F4172A"/>
    <w:rsid w:val="00F41F3E"/>
    <w:rsid w:val="00F434D7"/>
    <w:rsid w:val="00F447BA"/>
    <w:rsid w:val="00F45645"/>
    <w:rsid w:val="00F45725"/>
    <w:rsid w:val="00F45CEC"/>
    <w:rsid w:val="00F45E6C"/>
    <w:rsid w:val="00F47B58"/>
    <w:rsid w:val="00F47BED"/>
    <w:rsid w:val="00F51200"/>
    <w:rsid w:val="00F526FD"/>
    <w:rsid w:val="00F5320F"/>
    <w:rsid w:val="00F53521"/>
    <w:rsid w:val="00F53991"/>
    <w:rsid w:val="00F53D34"/>
    <w:rsid w:val="00F55649"/>
    <w:rsid w:val="00F560DB"/>
    <w:rsid w:val="00F57140"/>
    <w:rsid w:val="00F61722"/>
    <w:rsid w:val="00F617C6"/>
    <w:rsid w:val="00F61CF5"/>
    <w:rsid w:val="00F6208E"/>
    <w:rsid w:val="00F66446"/>
    <w:rsid w:val="00F665BF"/>
    <w:rsid w:val="00F665FE"/>
    <w:rsid w:val="00F66A33"/>
    <w:rsid w:val="00F66D5F"/>
    <w:rsid w:val="00F66F7C"/>
    <w:rsid w:val="00F67322"/>
    <w:rsid w:val="00F67566"/>
    <w:rsid w:val="00F70BA5"/>
    <w:rsid w:val="00F71818"/>
    <w:rsid w:val="00F727CB"/>
    <w:rsid w:val="00F733C8"/>
    <w:rsid w:val="00F73842"/>
    <w:rsid w:val="00F73B39"/>
    <w:rsid w:val="00F741D2"/>
    <w:rsid w:val="00F74320"/>
    <w:rsid w:val="00F743D3"/>
    <w:rsid w:val="00F74453"/>
    <w:rsid w:val="00F74981"/>
    <w:rsid w:val="00F75C04"/>
    <w:rsid w:val="00F75D7B"/>
    <w:rsid w:val="00F769BF"/>
    <w:rsid w:val="00F77B7B"/>
    <w:rsid w:val="00F77C66"/>
    <w:rsid w:val="00F77D7B"/>
    <w:rsid w:val="00F80C81"/>
    <w:rsid w:val="00F810E0"/>
    <w:rsid w:val="00F8412C"/>
    <w:rsid w:val="00F85DA5"/>
    <w:rsid w:val="00F868BE"/>
    <w:rsid w:val="00F86A8D"/>
    <w:rsid w:val="00F90467"/>
    <w:rsid w:val="00F90692"/>
    <w:rsid w:val="00F92482"/>
    <w:rsid w:val="00F94C10"/>
    <w:rsid w:val="00F954D2"/>
    <w:rsid w:val="00F95772"/>
    <w:rsid w:val="00F97F09"/>
    <w:rsid w:val="00FA159F"/>
    <w:rsid w:val="00FA2420"/>
    <w:rsid w:val="00FA27ED"/>
    <w:rsid w:val="00FA2833"/>
    <w:rsid w:val="00FA2A52"/>
    <w:rsid w:val="00FA3BC1"/>
    <w:rsid w:val="00FA6D11"/>
    <w:rsid w:val="00FA7706"/>
    <w:rsid w:val="00FB2461"/>
    <w:rsid w:val="00FB2CA2"/>
    <w:rsid w:val="00FB4289"/>
    <w:rsid w:val="00FB4ADE"/>
    <w:rsid w:val="00FC0149"/>
    <w:rsid w:val="00FC1824"/>
    <w:rsid w:val="00FC2985"/>
    <w:rsid w:val="00FC4E47"/>
    <w:rsid w:val="00FC518C"/>
    <w:rsid w:val="00FC7254"/>
    <w:rsid w:val="00FC7611"/>
    <w:rsid w:val="00FD008B"/>
    <w:rsid w:val="00FD0E0E"/>
    <w:rsid w:val="00FD12A2"/>
    <w:rsid w:val="00FD18C2"/>
    <w:rsid w:val="00FD2403"/>
    <w:rsid w:val="00FD2A23"/>
    <w:rsid w:val="00FD3264"/>
    <w:rsid w:val="00FD3621"/>
    <w:rsid w:val="00FD424D"/>
    <w:rsid w:val="00FD5803"/>
    <w:rsid w:val="00FD6B74"/>
    <w:rsid w:val="00FD6F5F"/>
    <w:rsid w:val="00FD7C55"/>
    <w:rsid w:val="00FE0495"/>
    <w:rsid w:val="00FE0B4E"/>
    <w:rsid w:val="00FE2CF0"/>
    <w:rsid w:val="00FE3646"/>
    <w:rsid w:val="00FE74C1"/>
    <w:rsid w:val="00FF0D60"/>
    <w:rsid w:val="00FF0FF8"/>
    <w:rsid w:val="00FF1752"/>
    <w:rsid w:val="00FF20D4"/>
    <w:rsid w:val="00FF2AF6"/>
    <w:rsid w:val="00FF36F2"/>
    <w:rsid w:val="00FF3F44"/>
    <w:rsid w:val="00FF491C"/>
    <w:rsid w:val="00FF5712"/>
    <w:rsid w:val="00FF5A91"/>
    <w:rsid w:val="00FF6F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332D7571"/>
  <w15:docId w15:val="{EE1B66C7-4E92-4545-AFD0-BD12824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905603"/>
    <w:rPr>
      <w:color w:val="605E5C"/>
      <w:shd w:val="clear" w:color="auto" w:fill="E1DFDD"/>
    </w:rPr>
  </w:style>
  <w:style w:type="character" w:styleId="UnresolvedMention">
    <w:name w:val="Unresolved Mention"/>
    <w:basedOn w:val="DefaultParagraphFont"/>
    <w:uiPriority w:val="99"/>
    <w:semiHidden/>
    <w:unhideWhenUsed/>
    <w:rsid w:val="008B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04931078">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305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rticle/pmg19/chapter/Foreword" TargetMode="External"/><Relationship Id="rId13" Type="http://schemas.openxmlformats.org/officeDocument/2006/relationships/hyperlink" Target="https://www.nice.org.uk/guidance/ta49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ice.org.uk/guidance/ta490" TargetMode="External"/><Relationship Id="rId17" Type="http://schemas.openxmlformats.org/officeDocument/2006/relationships/hyperlink" Target="https://www.nice.org.uk/get-involved/meetings-in-public/technology-appraisal-committee" TargetMode="Externa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committee-d-memb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473" TargetMode="Externa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cancer-drugs-fund" TargetMode="External"/><Relationship Id="rId10" Type="http://schemas.openxmlformats.org/officeDocument/2006/relationships/hyperlink" Target="https://www.nice.org.uk/guidance/indevelopment/gid-ta10181/docum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icedsu.org.uk/wp-content/uploads/2016/03/TSD17-DSU-Observational-data-FINAL.pdf" TargetMode="External"/><Relationship Id="rId14" Type="http://schemas.openxmlformats.org/officeDocument/2006/relationships/hyperlink" Target="https://www.nice.org.uk/process/pmg9/chapter/the-appraisal-of-the-evidence-and-structured-decision-mak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253E-BB36-4981-9044-B3E0F162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7AB96D0E</Template>
  <TotalTime>44</TotalTime>
  <Pages>22</Pages>
  <Words>5732</Words>
  <Characters>33649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39303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Kirsty Pitt</dc:creator>
  <cp:keywords/>
  <cp:lastModifiedBy>Stephen Robinson</cp:lastModifiedBy>
  <cp:revision>13</cp:revision>
  <cp:lastPrinted>2019-04-04T12:42:00Z</cp:lastPrinted>
  <dcterms:created xsi:type="dcterms:W3CDTF">2020-01-07T13:45:00Z</dcterms:created>
  <dcterms:modified xsi:type="dcterms:W3CDTF">2020-01-07T14:48:00Z</dcterms:modified>
</cp:coreProperties>
</file>