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69B17" w14:textId="77777777" w:rsidR="000F48EC" w:rsidRPr="000F48EC" w:rsidRDefault="000F48EC" w:rsidP="0093671F">
      <w:pPr>
        <w:pStyle w:val="Title2"/>
      </w:pPr>
      <w:bookmarkStart w:id="0" w:name="_GoBack"/>
      <w:bookmarkEnd w:id="0"/>
      <w:r w:rsidRPr="000F48EC">
        <w:t>NATIONAL INSTITUTE FOR HEALTH AND C</w:t>
      </w:r>
      <w:r w:rsidR="00CC63EB">
        <w:t>ARE</w:t>
      </w:r>
      <w:r w:rsidRPr="000F48EC">
        <w:t xml:space="preserve"> EXCELLENCE</w:t>
      </w:r>
    </w:p>
    <w:p w14:paraId="1EB88CA9" w14:textId="2538DBFE" w:rsidR="000F48EC" w:rsidRPr="00121549" w:rsidRDefault="007A2801" w:rsidP="000069F9">
      <w:pPr>
        <w:pStyle w:val="Title2"/>
      </w:pPr>
      <w:r w:rsidRPr="00121549">
        <w:t>Appraisal consultation document</w:t>
      </w:r>
    </w:p>
    <w:p w14:paraId="724C1257" w14:textId="6471B0E6" w:rsidR="007A2801" w:rsidRPr="000F48EC" w:rsidRDefault="00591223" w:rsidP="00034110">
      <w:pPr>
        <w:pStyle w:val="Title1"/>
      </w:pPr>
      <w:r>
        <w:t>Liraglutide</w:t>
      </w:r>
      <w:r w:rsidR="009C1509" w:rsidRPr="009C1509">
        <w:t xml:space="preserve"> for </w:t>
      </w:r>
      <w:r>
        <w:t>managing overweight and obesity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14:paraId="1F01B85F" w14:textId="77777777" w:rsidTr="00734F5A">
        <w:tc>
          <w:tcPr>
            <w:tcW w:w="8529" w:type="dxa"/>
            <w:shd w:val="clear" w:color="auto" w:fill="auto"/>
          </w:tcPr>
          <w:p w14:paraId="6B688C3D" w14:textId="5E08E264" w:rsidR="007A2801" w:rsidRPr="00981B9F" w:rsidRDefault="007A2801" w:rsidP="00734F5A">
            <w:pPr>
              <w:pStyle w:val="NICEnormalsinglespacing"/>
            </w:pPr>
            <w:r w:rsidRPr="00981B9F">
              <w:t xml:space="preserve">The Department of Health </w:t>
            </w:r>
            <w:r>
              <w:t xml:space="preserve">and Social Care </w:t>
            </w:r>
            <w:r w:rsidRPr="00981B9F">
              <w:t xml:space="preserve">has asked the National Institute for Health and Care Excellence (NICE) to produce guidance on using </w:t>
            </w:r>
            <w:r w:rsidR="00591223">
              <w:t>liraglutide</w:t>
            </w:r>
            <w:r w:rsidRPr="00981B9F">
              <w:t xml:space="preserve"> in the NHS in England. The </w:t>
            </w:r>
            <w:r>
              <w:t>a</w:t>
            </w:r>
            <w:r w:rsidRPr="00981B9F">
              <w:t xml:space="preserve">ppraisal </w:t>
            </w:r>
            <w:r>
              <w:t>c</w:t>
            </w:r>
            <w:r w:rsidRPr="00981B9F">
              <w:t xml:space="preserve">ommittee has considered the evidence submitted by the </w:t>
            </w:r>
            <w:r>
              <w:t>company</w:t>
            </w:r>
            <w:r w:rsidR="00CD0B86">
              <w:t>,</w:t>
            </w:r>
            <w:r w:rsidR="00BD6CCE">
              <w:t xml:space="preserve"> </w:t>
            </w:r>
            <w:r w:rsidRPr="00981B9F">
              <w:t>the views of non-</w:t>
            </w:r>
            <w:r>
              <w:t>company</w:t>
            </w:r>
            <w:r w:rsidRPr="00981B9F">
              <w:t xml:space="preserve"> consultees and commentators, clinical </w:t>
            </w:r>
            <w:r>
              <w:t>experts</w:t>
            </w:r>
            <w:r w:rsidRPr="00981B9F">
              <w:t xml:space="preserve"> and patient experts. </w:t>
            </w:r>
          </w:p>
          <w:p w14:paraId="24D8EB16" w14:textId="0455FD2E" w:rsidR="007A2801" w:rsidRPr="00981B9F" w:rsidRDefault="007A2801" w:rsidP="00734F5A">
            <w:pPr>
              <w:pStyle w:val="NICEnormalsinglespacing"/>
            </w:pPr>
            <w:r w:rsidRPr="00E975D0">
              <w:rPr>
                <w:b/>
              </w:rPr>
              <w:t>This document has been prepared for consultation with the consultees.</w:t>
            </w:r>
            <w:r w:rsidRPr="00981B9F">
              <w:t xml:space="preserve"> It summarises the evidence and views that have been </w:t>
            </w:r>
            <w:r w:rsidR="00C82B56" w:rsidRPr="00981B9F">
              <w:t>considered and</w:t>
            </w:r>
            <w:r w:rsidRPr="00981B9F">
              <w:t xml:space="preserve"> sets out the recommendations made by the </w:t>
            </w:r>
            <w:r>
              <w:t>c</w:t>
            </w:r>
            <w:r w:rsidRPr="00981B9F">
              <w:t>ommittee. NICE invites comments from the consultees and commentators for this appraisal and the public. This document should be read along with the evidence (</w:t>
            </w:r>
            <w:r>
              <w:t xml:space="preserve">see </w:t>
            </w:r>
            <w:r w:rsidRPr="00981B9F">
              <w:t xml:space="preserve">the </w:t>
            </w:r>
            <w:hyperlink r:id="rId8" w:history="1">
              <w:r>
                <w:rPr>
                  <w:rStyle w:val="Hyperlink"/>
                </w:rPr>
                <w:t>committee papers</w:t>
              </w:r>
            </w:hyperlink>
            <w:r w:rsidRPr="00981B9F">
              <w:t xml:space="preserve">). </w:t>
            </w:r>
          </w:p>
          <w:p w14:paraId="30BF6643" w14:textId="77777777" w:rsidR="007A2801" w:rsidRPr="00981494" w:rsidRDefault="007A2801" w:rsidP="00734F5A">
            <w:pPr>
              <w:pStyle w:val="NICEnormalsinglespacing"/>
            </w:pPr>
            <w:r w:rsidRPr="00981494">
              <w:t xml:space="preserve">The </w:t>
            </w:r>
            <w:r>
              <w:t>a</w:t>
            </w:r>
            <w:r w:rsidRPr="00981494">
              <w:t xml:space="preserve">ppraisal </w:t>
            </w:r>
            <w:r>
              <w:t>c</w:t>
            </w:r>
            <w:r w:rsidRPr="00981494">
              <w:t>ommittee is interested in receiving comments on the following:</w:t>
            </w:r>
          </w:p>
          <w:p w14:paraId="39C2E5D1" w14:textId="12B8D83C" w:rsidR="007A2801" w:rsidRDefault="007A2801" w:rsidP="00734F5A">
            <w:pPr>
              <w:pStyle w:val="Bulletleft1"/>
              <w:spacing w:line="240" w:lineRule="auto"/>
            </w:pPr>
            <w:r w:rsidRPr="00981494">
              <w:t xml:space="preserve">Has </w:t>
            </w:r>
            <w:proofErr w:type="gramStart"/>
            <w:r w:rsidRPr="00981494">
              <w:t>all of</w:t>
            </w:r>
            <w:proofErr w:type="gramEnd"/>
            <w:r w:rsidRPr="00981494">
              <w:t xml:space="preserve"> the relevant evidence been taken into account?</w:t>
            </w:r>
          </w:p>
          <w:p w14:paraId="0197EEB4" w14:textId="225C4ACC" w:rsidR="0054786F" w:rsidRPr="00981494" w:rsidRDefault="0054786F" w:rsidP="001079F2">
            <w:pPr>
              <w:pStyle w:val="Bulletleft1"/>
              <w:spacing w:line="240" w:lineRule="auto"/>
            </w:pPr>
            <w:r>
              <w:t>Is the company’s proposed population the population that would benefit most from liraglutide?</w:t>
            </w:r>
          </w:p>
          <w:p w14:paraId="04F755BA" w14:textId="6E7DE7E6" w:rsidR="007A2801" w:rsidRPr="00981494" w:rsidRDefault="007A2801" w:rsidP="00734F5A">
            <w:pPr>
              <w:pStyle w:val="Bulletleft1"/>
              <w:spacing w:line="240" w:lineRule="auto"/>
            </w:pPr>
            <w:r w:rsidRPr="00981494">
              <w:t>Are the summaries of clinical and cost</w:t>
            </w:r>
            <w:r w:rsidR="00942FB8">
              <w:t>-</w:t>
            </w:r>
            <w:r w:rsidRPr="00981494">
              <w:t>effectiveness reasonable interpretations of the evidence?</w:t>
            </w:r>
          </w:p>
          <w:p w14:paraId="1FA06909" w14:textId="77777777" w:rsidR="007A2801" w:rsidRPr="00981494" w:rsidRDefault="007A2801" w:rsidP="00734F5A">
            <w:pPr>
              <w:pStyle w:val="Bulletleft1"/>
              <w:spacing w:line="240" w:lineRule="auto"/>
            </w:pPr>
            <w:r w:rsidRPr="00981494">
              <w:t>Are the recommendations sound and a suitable basis for guidance to the NHS?</w:t>
            </w:r>
          </w:p>
          <w:p w14:paraId="67EA350A" w14:textId="77777777" w:rsidR="007A2801" w:rsidRPr="00981494" w:rsidRDefault="007A2801" w:rsidP="00734F5A">
            <w:pPr>
              <w:pStyle w:val="Bulletleft1"/>
              <w:spacing w:line="240" w:lineRule="auto"/>
            </w:pPr>
            <w:r w:rsidRPr="00981494">
              <w:t xml:space="preserve">Are there any aspects of the recommendations that need </w:t>
            </w:r>
            <w:proofErr w:type="gramStart"/>
            <w:r w:rsidRPr="00981494">
              <w:t>particular consideration</w:t>
            </w:r>
            <w:proofErr w:type="gramEnd"/>
            <w:r w:rsidRPr="00981494">
              <w:t xml:space="preserve"> to ensure we avoid unlawful discrimination against any group of people on the grounds of race, gender, disability, religion or belief, sexual orientation, age, gender reassignment, pregnancy and maternity?</w:t>
            </w:r>
          </w:p>
        </w:tc>
      </w:tr>
    </w:tbl>
    <w:p w14:paraId="200AD208" w14:textId="77777777" w:rsidR="007A2801" w:rsidRDefault="007A2801">
      <w:pPr>
        <w:rPr>
          <w:rFonts w:ascii="Arial" w:hAnsi="Arial"/>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14:paraId="3DC6DAA9" w14:textId="77777777" w:rsidTr="00734F5A">
        <w:tc>
          <w:tcPr>
            <w:tcW w:w="8529" w:type="dxa"/>
            <w:shd w:val="clear" w:color="auto" w:fill="auto"/>
          </w:tcPr>
          <w:p w14:paraId="5A283540" w14:textId="77777777" w:rsidR="007A2801" w:rsidRPr="00E975D0" w:rsidRDefault="007A2801" w:rsidP="00734F5A">
            <w:pPr>
              <w:pStyle w:val="NICEnormalsinglespacing"/>
              <w:rPr>
                <w:b/>
                <w:bCs/>
              </w:rPr>
            </w:pPr>
            <w:r w:rsidRPr="00E975D0">
              <w:rPr>
                <w:b/>
                <w:bCs/>
              </w:rPr>
              <w:lastRenderedPageBreak/>
              <w:t>Note that this document is not NICE's final guidance on this technology. The recommendations in section 1 may change after consultation.</w:t>
            </w:r>
          </w:p>
          <w:p w14:paraId="538FC8DE" w14:textId="77777777" w:rsidR="007A2801" w:rsidRPr="00981494" w:rsidRDefault="007A2801" w:rsidP="00734F5A">
            <w:pPr>
              <w:pStyle w:val="NICEnormalsinglespacing"/>
            </w:pPr>
            <w:r w:rsidRPr="00981494">
              <w:t>After consultation:</w:t>
            </w:r>
          </w:p>
          <w:p w14:paraId="4E19C6B6" w14:textId="77777777" w:rsidR="007A2801" w:rsidRPr="00981494" w:rsidRDefault="007A2801" w:rsidP="00734F5A">
            <w:pPr>
              <w:pStyle w:val="Bulletleft1"/>
              <w:spacing w:line="240" w:lineRule="auto"/>
            </w:pPr>
            <w:r w:rsidRPr="00981494">
              <w:t xml:space="preserve">The </w:t>
            </w:r>
            <w:r>
              <w:t>a</w:t>
            </w:r>
            <w:r w:rsidRPr="00981494">
              <w:t xml:space="preserve">ppraisal </w:t>
            </w:r>
            <w:r>
              <w:t>c</w:t>
            </w:r>
            <w:r w:rsidRPr="00981494">
              <w:t>ommittee will meet again to consider the evidence, this appraisal consultation document and comments from the consultees.</w:t>
            </w:r>
          </w:p>
          <w:p w14:paraId="4DE91AB2" w14:textId="77777777" w:rsidR="007A2801" w:rsidRPr="00981494" w:rsidRDefault="007A2801" w:rsidP="00734F5A">
            <w:pPr>
              <w:pStyle w:val="Bulletleft1"/>
              <w:spacing w:line="240" w:lineRule="auto"/>
            </w:pPr>
            <w:r w:rsidRPr="00981494">
              <w:t xml:space="preserve">At that meeting, the </w:t>
            </w:r>
            <w:r>
              <w:t>c</w:t>
            </w:r>
            <w:r w:rsidRPr="00981494">
              <w:t>ommittee will also consider comments made by people who are not consultees.</w:t>
            </w:r>
          </w:p>
          <w:p w14:paraId="02B1EBB2" w14:textId="77777777" w:rsidR="007A2801" w:rsidRPr="00981494" w:rsidRDefault="007A2801" w:rsidP="00734F5A">
            <w:pPr>
              <w:pStyle w:val="Bulletleft1"/>
              <w:spacing w:line="240" w:lineRule="auto"/>
            </w:pPr>
            <w:r w:rsidRPr="00981494">
              <w:t xml:space="preserve">After considering these comments, the </w:t>
            </w:r>
            <w:r>
              <w:t>c</w:t>
            </w:r>
            <w:r w:rsidRPr="00981494">
              <w:t>ommittee will prepare the final appraisal d</w:t>
            </w:r>
            <w:r>
              <w:t>ocument</w:t>
            </w:r>
            <w:r w:rsidRPr="00981494">
              <w:t>.</w:t>
            </w:r>
          </w:p>
          <w:p w14:paraId="7EABB4A5" w14:textId="6DC1EFA7" w:rsidR="007A2801" w:rsidRPr="00981494" w:rsidRDefault="007A2801" w:rsidP="00734F5A">
            <w:pPr>
              <w:pStyle w:val="Bulletleft1last"/>
              <w:spacing w:line="240" w:lineRule="auto"/>
            </w:pPr>
            <w:r w:rsidRPr="00981494">
              <w:t>Subject to any appeal by consultees, the final appraisal d</w:t>
            </w:r>
            <w:r>
              <w:t>ocument</w:t>
            </w:r>
            <w:r w:rsidRPr="00981494">
              <w:t xml:space="preserve"> may be used as the basis for NICE’s guidance on using</w:t>
            </w:r>
            <w:r w:rsidR="00C82B56">
              <w:t xml:space="preserve"> </w:t>
            </w:r>
            <w:r w:rsidR="00A65976">
              <w:t>liraglutide</w:t>
            </w:r>
            <w:r w:rsidRPr="00981494">
              <w:t xml:space="preserve"> in the NHS in England. </w:t>
            </w:r>
          </w:p>
          <w:p w14:paraId="1C3E2BDC" w14:textId="77777777" w:rsidR="007A2801" w:rsidRPr="00981494" w:rsidRDefault="007A2801" w:rsidP="00734F5A">
            <w:pPr>
              <w:pStyle w:val="NICEnormalsinglespacing"/>
            </w:pPr>
            <w:r w:rsidRPr="00276C00">
              <w:t xml:space="preserve">For further details, see </w:t>
            </w:r>
            <w:r>
              <w:t>NICE’s</w:t>
            </w:r>
            <w:r w:rsidRPr="00276C00">
              <w:t xml:space="preserve"> </w:t>
            </w:r>
            <w:hyperlink r:id="rId9" w:history="1">
              <w:r w:rsidRPr="00021681">
                <w:rPr>
                  <w:rStyle w:val="Hyperlink"/>
                </w:rPr>
                <w:t>guide to the processes of technology appraisal</w:t>
              </w:r>
            </w:hyperlink>
            <w:r>
              <w:t>.</w:t>
            </w:r>
          </w:p>
          <w:p w14:paraId="18256287" w14:textId="77777777" w:rsidR="007A2801" w:rsidRPr="00981494" w:rsidRDefault="007A2801" w:rsidP="00734F5A">
            <w:pPr>
              <w:pStyle w:val="NICEnormalsinglespacing"/>
              <w:rPr>
                <w:b/>
                <w:bCs/>
              </w:rPr>
            </w:pPr>
            <w:r w:rsidRPr="00981494">
              <w:rPr>
                <w:b/>
                <w:bCs/>
              </w:rPr>
              <w:t>The key dates for this appraisal are:</w:t>
            </w:r>
          </w:p>
          <w:p w14:paraId="6D419315" w14:textId="1D2088BE" w:rsidR="007A2801" w:rsidRPr="00981494" w:rsidRDefault="007A2801" w:rsidP="00734F5A">
            <w:pPr>
              <w:pStyle w:val="NICEnormalsinglespacing"/>
            </w:pPr>
            <w:r w:rsidRPr="00981494">
              <w:t xml:space="preserve">Closing date for comments: </w:t>
            </w:r>
            <w:r w:rsidR="00261CAC">
              <w:t>14 February 2020</w:t>
            </w:r>
          </w:p>
          <w:p w14:paraId="07B475C2" w14:textId="41A038A7" w:rsidR="007A2801" w:rsidRPr="00981494" w:rsidRDefault="007A2801" w:rsidP="00734F5A">
            <w:pPr>
              <w:pStyle w:val="NICEnormalsinglespacing"/>
            </w:pPr>
            <w:r w:rsidRPr="00981494">
              <w:t xml:space="preserve">Second </w:t>
            </w:r>
            <w:r>
              <w:t>a</w:t>
            </w:r>
            <w:r w:rsidRPr="00981494">
              <w:t xml:space="preserve">ppraisal </w:t>
            </w:r>
            <w:r>
              <w:t>c</w:t>
            </w:r>
            <w:r w:rsidRPr="00981494">
              <w:t xml:space="preserve">ommittee meeting: </w:t>
            </w:r>
            <w:r w:rsidR="00261CAC">
              <w:t>25 February 2020</w:t>
            </w:r>
          </w:p>
          <w:p w14:paraId="311640F6" w14:textId="67216A09" w:rsidR="007A2801" w:rsidRPr="00981494" w:rsidRDefault="007A2801" w:rsidP="00734F5A">
            <w:pPr>
              <w:pStyle w:val="NICEnormalsinglespacing"/>
            </w:pPr>
            <w:r w:rsidRPr="00981494">
              <w:t xml:space="preserve">Details of membership of the </w:t>
            </w:r>
            <w:r>
              <w:t>a</w:t>
            </w:r>
            <w:r w:rsidRPr="00981494">
              <w:t xml:space="preserve">ppraisal </w:t>
            </w:r>
            <w:r>
              <w:t>c</w:t>
            </w:r>
            <w:r w:rsidRPr="00981494">
              <w:t xml:space="preserve">ommittee are given in section </w:t>
            </w:r>
            <w:r w:rsidR="00E70534">
              <w:t>6</w:t>
            </w:r>
            <w:r>
              <w:t>.</w:t>
            </w:r>
          </w:p>
        </w:tc>
      </w:tr>
    </w:tbl>
    <w:p w14:paraId="10BF4F34" w14:textId="77777777" w:rsidR="007A2801" w:rsidRDefault="007A2801" w:rsidP="00C76DDA">
      <w:pPr>
        <w:pStyle w:val="NICEnormal"/>
      </w:pPr>
    </w:p>
    <w:p w14:paraId="164E2E26" w14:textId="77777777" w:rsidR="007A2801" w:rsidRDefault="007A2801">
      <w:pPr>
        <w:rPr>
          <w:rFonts w:ascii="Arial" w:hAnsi="Arial"/>
        </w:rPr>
      </w:pPr>
      <w:r>
        <w:br w:type="page"/>
      </w:r>
    </w:p>
    <w:p w14:paraId="504D1A61" w14:textId="77777777" w:rsidR="000F48EC" w:rsidRPr="000F48EC" w:rsidRDefault="00B379C5" w:rsidP="00F130AD">
      <w:pPr>
        <w:pStyle w:val="Numberedheading1"/>
      </w:pPr>
      <w:r>
        <w:lastRenderedPageBreak/>
        <w:t>Recommendations</w:t>
      </w:r>
    </w:p>
    <w:p w14:paraId="32B7740D" w14:textId="5064A244" w:rsidR="00C31253" w:rsidRPr="00591223" w:rsidRDefault="00DB71CC" w:rsidP="00DF16BA">
      <w:pPr>
        <w:pStyle w:val="Numberedlevel2text"/>
      </w:pPr>
      <w:r>
        <w:rPr>
          <w:lang w:val="en-GB"/>
        </w:rPr>
        <w:t xml:space="preserve">Liraglutide </w:t>
      </w:r>
      <w:r w:rsidR="00C31253" w:rsidRPr="00133921">
        <w:t>is</w:t>
      </w:r>
      <w:r w:rsidR="00591223">
        <w:rPr>
          <w:lang w:val="en-GB"/>
        </w:rPr>
        <w:t xml:space="preserve"> </w:t>
      </w:r>
      <w:r>
        <w:rPr>
          <w:lang w:val="en-GB"/>
        </w:rPr>
        <w:t>not</w:t>
      </w:r>
      <w:r w:rsidR="00C31253" w:rsidRPr="00133921">
        <w:t xml:space="preserve"> </w:t>
      </w:r>
      <w:r w:rsidR="00C31253" w:rsidRPr="00706C73">
        <w:t>recommended</w:t>
      </w:r>
      <w:r w:rsidR="00706C73">
        <w:rPr>
          <w:lang w:val="en-GB"/>
        </w:rPr>
        <w:t>,</w:t>
      </w:r>
      <w:r w:rsidR="00C31253" w:rsidRPr="00706C73">
        <w:t xml:space="preserve"> within its marketing authorisation</w:t>
      </w:r>
      <w:r w:rsidR="00706C73">
        <w:rPr>
          <w:lang w:val="en-GB"/>
        </w:rPr>
        <w:t>,</w:t>
      </w:r>
      <w:r w:rsidR="00591223" w:rsidRPr="00706C73">
        <w:rPr>
          <w:lang w:val="en-GB"/>
        </w:rPr>
        <w:t xml:space="preserve"> for managing overweight and obesity in adults</w:t>
      </w:r>
      <w:r w:rsidR="00742288">
        <w:rPr>
          <w:lang w:val="en-GB"/>
        </w:rPr>
        <w:t xml:space="preserve"> </w:t>
      </w:r>
      <w:r w:rsidR="00591223">
        <w:rPr>
          <w:lang w:val="en-GB"/>
        </w:rPr>
        <w:t>alongside a reduced-calorie diet and increased physical activity</w:t>
      </w:r>
      <w:r w:rsidR="00A93E27">
        <w:rPr>
          <w:lang w:val="en-GB"/>
        </w:rPr>
        <w:t>.</w:t>
      </w:r>
    </w:p>
    <w:p w14:paraId="4664DD7B" w14:textId="1E00095E" w:rsidR="00591223" w:rsidRDefault="001E11A4" w:rsidP="00DF16BA">
      <w:pPr>
        <w:pStyle w:val="Numberedlevel2text"/>
      </w:pPr>
      <w:r>
        <w:rPr>
          <w:lang w:val="en-GB"/>
        </w:rPr>
        <w:t xml:space="preserve">This recommendation </w:t>
      </w:r>
      <w:r w:rsidR="00591223">
        <w:rPr>
          <w:lang w:val="en-GB"/>
        </w:rPr>
        <w:t xml:space="preserve">is </w:t>
      </w:r>
      <w:r w:rsidR="00591223" w:rsidRPr="00591223">
        <w:rPr>
          <w:lang w:val="en-GB"/>
        </w:rPr>
        <w:t xml:space="preserve">not intended to affect treatment with </w:t>
      </w:r>
      <w:r w:rsidR="00591223">
        <w:rPr>
          <w:lang w:val="en-GB"/>
        </w:rPr>
        <w:t xml:space="preserve">liraglutide </w:t>
      </w:r>
      <w:r w:rsidR="00591223" w:rsidRPr="00591223">
        <w:rPr>
          <w:lang w:val="en-GB"/>
        </w:rPr>
        <w:t>that was started in the NHS before this guidance was published. Adults having treatment outside this recommendation may continue without change</w:t>
      </w:r>
      <w:r w:rsidR="00336C40">
        <w:rPr>
          <w:lang w:val="en-GB"/>
        </w:rPr>
        <w:t>s</w:t>
      </w:r>
      <w:r w:rsidR="00591223" w:rsidRPr="00591223">
        <w:rPr>
          <w:lang w:val="en-GB"/>
        </w:rPr>
        <w:t xml:space="preserve"> to the funding arrangements in place for them before this guidance was published, until they and their NHS clinician consider it appropriate to stop.</w:t>
      </w:r>
    </w:p>
    <w:p w14:paraId="1870D8F8" w14:textId="77777777" w:rsidR="00C11F58" w:rsidRPr="008522C6" w:rsidRDefault="00C11F58" w:rsidP="008522C6">
      <w:pPr>
        <w:pStyle w:val="NICEnormal"/>
        <w:rPr>
          <w:b/>
        </w:rPr>
      </w:pPr>
      <w:r w:rsidRPr="008522C6">
        <w:rPr>
          <w:b/>
        </w:rPr>
        <w:t>Why the committee made these recommendations</w:t>
      </w:r>
    </w:p>
    <w:p w14:paraId="69E456F3" w14:textId="7309FB18" w:rsidR="00591223" w:rsidRDefault="00591223" w:rsidP="00706E7B">
      <w:pPr>
        <w:pStyle w:val="NICEnormal"/>
      </w:pPr>
      <w:r>
        <w:t xml:space="preserve">Obesity is very common in England, affecting about </w:t>
      </w:r>
      <w:r w:rsidR="007C5E56">
        <w:t>26</w:t>
      </w:r>
      <w:r>
        <w:t xml:space="preserve">% of the </w:t>
      </w:r>
      <w:r w:rsidR="007C5E56">
        <w:t>adult</w:t>
      </w:r>
      <w:r w:rsidR="002233C4">
        <w:t xml:space="preserve"> </w:t>
      </w:r>
      <w:r>
        <w:t>population. Current management for overweight and obesity is lifestyle measures</w:t>
      </w:r>
      <w:r w:rsidR="007C5E56">
        <w:t xml:space="preserve"> </w:t>
      </w:r>
      <w:r w:rsidR="00706E7B">
        <w:t>alone</w:t>
      </w:r>
      <w:r>
        <w:t>, lifestyle measures with orlistat</w:t>
      </w:r>
      <w:r w:rsidR="004E227D">
        <w:t>,</w:t>
      </w:r>
      <w:r>
        <w:t xml:space="preserve"> or bariatric surgery.</w:t>
      </w:r>
    </w:p>
    <w:p w14:paraId="75A5DEA9" w14:textId="6D6D1AD9" w:rsidR="000C0523" w:rsidRDefault="00591223" w:rsidP="00706E7B">
      <w:pPr>
        <w:pStyle w:val="NICEnormal"/>
      </w:pPr>
      <w:r>
        <w:t xml:space="preserve">Clinical trial evidence shows that liraglutide with lifestyle measures is more effective </w:t>
      </w:r>
      <w:r w:rsidR="004E227D">
        <w:t xml:space="preserve">for </w:t>
      </w:r>
      <w:r w:rsidR="000C3639">
        <w:t xml:space="preserve">weight </w:t>
      </w:r>
      <w:r w:rsidR="00207843">
        <w:t xml:space="preserve">loss </w:t>
      </w:r>
      <w:r w:rsidR="004E227D">
        <w:t xml:space="preserve">and delaying the development of type 2 diabetes </w:t>
      </w:r>
      <w:r w:rsidR="00C72F3A">
        <w:t>t</w:t>
      </w:r>
      <w:r>
        <w:t>han lifestyle measures alone</w:t>
      </w:r>
      <w:r w:rsidR="00B12645">
        <w:t>.</w:t>
      </w:r>
      <w:r>
        <w:t xml:space="preserve"> </w:t>
      </w:r>
      <w:r w:rsidR="00B12645">
        <w:t xml:space="preserve">But </w:t>
      </w:r>
      <w:r>
        <w:t>its long-term effectiveness</w:t>
      </w:r>
      <w:r w:rsidR="000F6DC6">
        <w:t>,</w:t>
      </w:r>
      <w:r w:rsidR="00E569ED">
        <w:t xml:space="preserve"> </w:t>
      </w:r>
      <w:r w:rsidR="00EE7500">
        <w:t xml:space="preserve">particularly </w:t>
      </w:r>
      <w:r w:rsidR="00B12645">
        <w:t>on the risk of cardiovascular disease</w:t>
      </w:r>
      <w:r w:rsidR="000F6DC6">
        <w:t>,</w:t>
      </w:r>
      <w:r w:rsidR="00B12645">
        <w:t xml:space="preserve"> </w:t>
      </w:r>
      <w:r w:rsidR="000F6DC6">
        <w:t>is</w:t>
      </w:r>
      <w:r w:rsidR="00B12645">
        <w:t xml:space="preserve"> </w:t>
      </w:r>
      <w:r w:rsidR="00E569ED">
        <w:t xml:space="preserve">unknown. </w:t>
      </w:r>
    </w:p>
    <w:p w14:paraId="0DABF610" w14:textId="65EA88BE" w:rsidR="00204D65" w:rsidRDefault="00D47086" w:rsidP="00706E7B">
      <w:pPr>
        <w:pStyle w:val="NICEnormal"/>
      </w:pPr>
      <w:r>
        <w:t xml:space="preserve">In its submission, the company made a case for liraglutide’s cost-effectiveness in people who were considered at high risk of the adverse consequences of obesity, that is, adults with a BMI </w:t>
      </w:r>
      <w:r>
        <w:rPr>
          <w:rFonts w:cs="Arial"/>
        </w:rPr>
        <w:t>≥</w:t>
      </w:r>
      <w:r>
        <w:t> 35 kg/m</w:t>
      </w:r>
      <w:r>
        <w:rPr>
          <w:vertAlign w:val="superscript"/>
        </w:rPr>
        <w:t>2</w:t>
      </w:r>
      <w:r>
        <w:t xml:space="preserve"> with pre-diabetes and a high risk of cardiovascular disease. It did not provide evidence for the whole population covered by the marketing authorisation.</w:t>
      </w:r>
    </w:p>
    <w:p w14:paraId="0EA29449" w14:textId="4C10FAE2" w:rsidR="00EE7D6D" w:rsidRPr="00EE7D6D" w:rsidRDefault="00B12645" w:rsidP="00706E7B">
      <w:pPr>
        <w:pStyle w:val="NICEnormal"/>
      </w:pPr>
      <w:r>
        <w:t xml:space="preserve">Because of </w:t>
      </w:r>
      <w:r w:rsidR="000C0523">
        <w:t>the unc</w:t>
      </w:r>
      <w:r w:rsidR="0031339A">
        <w:t>ertainty</w:t>
      </w:r>
      <w:r w:rsidR="000C0523">
        <w:t xml:space="preserve"> in </w:t>
      </w:r>
      <w:r w:rsidR="0031339A">
        <w:t>the clinical evidence,</w:t>
      </w:r>
      <w:r w:rsidR="00F02F5D">
        <w:t xml:space="preserve"> even in this high-risk subgroup,</w:t>
      </w:r>
      <w:r>
        <w:t xml:space="preserve"> the</w:t>
      </w:r>
      <w:r w:rsidR="00591223">
        <w:t xml:space="preserve"> cost</w:t>
      </w:r>
      <w:r w:rsidR="00942FB8">
        <w:t>-</w:t>
      </w:r>
      <w:r w:rsidR="00591223">
        <w:t xml:space="preserve">effectiveness </w:t>
      </w:r>
      <w:r w:rsidR="00F0438C">
        <w:t xml:space="preserve">estimate </w:t>
      </w:r>
      <w:r w:rsidR="00591223">
        <w:t>is highly uncertain</w:t>
      </w:r>
      <w:r w:rsidR="000C0523">
        <w:t xml:space="preserve"> and </w:t>
      </w:r>
      <w:r w:rsidR="00F02F5D">
        <w:t xml:space="preserve">potentially </w:t>
      </w:r>
      <w:r w:rsidR="000C0523">
        <w:t>much higher than what NICE considers a cost-effective use of NHS resources</w:t>
      </w:r>
      <w:r w:rsidR="00706E7B">
        <w:t>.</w:t>
      </w:r>
      <w:r w:rsidR="007C5E56">
        <w:t xml:space="preserve"> </w:t>
      </w:r>
      <w:r w:rsidR="000952A2">
        <w:t>Therefore,</w:t>
      </w:r>
      <w:r w:rsidR="00706E7B">
        <w:t xml:space="preserve"> liraglutide cannot be recommended.</w:t>
      </w:r>
    </w:p>
    <w:p w14:paraId="0B369E2E" w14:textId="62C84904" w:rsidR="00EA1CB1" w:rsidRDefault="00EA1CB1" w:rsidP="00EA1CB1">
      <w:pPr>
        <w:pStyle w:val="Numberedheading1"/>
        <w:keepLines/>
      </w:pPr>
      <w:r>
        <w:lastRenderedPageBreak/>
        <w:t>Information about</w:t>
      </w:r>
      <w:r w:rsidR="009C1509">
        <w:t xml:space="preserve"> </w:t>
      </w:r>
      <w:r w:rsidR="00F758AA">
        <w:t>liraglutide</w:t>
      </w:r>
    </w:p>
    <w:p w14:paraId="59CBB252" w14:textId="25FE2E35" w:rsidR="00F758AA" w:rsidRDefault="00F758AA" w:rsidP="00F758AA">
      <w:pPr>
        <w:pStyle w:val="Heading2"/>
      </w:pPr>
      <w:r>
        <w:t>Marketing authorisation indication</w:t>
      </w:r>
    </w:p>
    <w:p w14:paraId="233F745B" w14:textId="033B8A5A" w:rsidR="00F758AA" w:rsidRDefault="00F758AA" w:rsidP="00F758AA">
      <w:pPr>
        <w:pStyle w:val="Numberedlevel2text"/>
      </w:pPr>
      <w:r w:rsidRPr="00DB71CC">
        <w:t xml:space="preserve">Liraglutide </w:t>
      </w:r>
      <w:r w:rsidR="005C52FC">
        <w:rPr>
          <w:lang w:val="en-US"/>
        </w:rPr>
        <w:t>(</w:t>
      </w:r>
      <w:proofErr w:type="spellStart"/>
      <w:r w:rsidR="005C52FC">
        <w:rPr>
          <w:lang w:val="en-US"/>
        </w:rPr>
        <w:t>Saxenda</w:t>
      </w:r>
      <w:proofErr w:type="spellEnd"/>
      <w:r w:rsidR="005C52FC">
        <w:rPr>
          <w:lang w:val="en-US"/>
        </w:rPr>
        <w:t xml:space="preserve">, Novo Nordisk) is indicated </w:t>
      </w:r>
      <w:r w:rsidR="00AB4244">
        <w:rPr>
          <w:lang w:val="en-US"/>
        </w:rPr>
        <w:t>‘</w:t>
      </w:r>
      <w:r w:rsidRPr="00DB71CC">
        <w:t>as an adjunct to a reduced-calorie diet and increased physical activity for weight management in adult patients with an initial BMI of ≥30</w:t>
      </w:r>
      <w:r w:rsidR="005C52FC">
        <w:rPr>
          <w:lang w:val="en-US"/>
        </w:rPr>
        <w:t> </w:t>
      </w:r>
      <w:r w:rsidRPr="00DB71CC">
        <w:t>kg/m² (obese), or ≥27</w:t>
      </w:r>
      <w:r w:rsidR="005C52FC">
        <w:rPr>
          <w:lang w:val="en-US"/>
        </w:rPr>
        <w:t> </w:t>
      </w:r>
      <w:r w:rsidRPr="00DB71CC">
        <w:t>kg/m² to &lt;30</w:t>
      </w:r>
      <w:r w:rsidR="005C52FC">
        <w:rPr>
          <w:lang w:val="en-US"/>
        </w:rPr>
        <w:t> </w:t>
      </w:r>
      <w:r w:rsidRPr="00DB71CC">
        <w:t xml:space="preserve">kg/m² (overweight) in the presence of at least one weight-related comorbidity such as </w:t>
      </w:r>
      <w:proofErr w:type="spellStart"/>
      <w:r w:rsidRPr="00DB71CC">
        <w:t>dysglycaemia</w:t>
      </w:r>
      <w:proofErr w:type="spellEnd"/>
      <w:r w:rsidRPr="00DB71CC">
        <w:t xml:space="preserve"> (pre-diabetes or type</w:t>
      </w:r>
      <w:r w:rsidR="005C52FC">
        <w:rPr>
          <w:lang w:val="en-US"/>
        </w:rPr>
        <w:t> </w:t>
      </w:r>
      <w:r w:rsidRPr="00DB71CC">
        <w:t>2 diabetes mellitus), hypertension, dyslipidaemia or obstructive sleep apnoea</w:t>
      </w:r>
      <w:r w:rsidR="00AB4244">
        <w:rPr>
          <w:lang w:val="en-US"/>
        </w:rPr>
        <w:t>’</w:t>
      </w:r>
      <w:r w:rsidRPr="00DB71CC">
        <w:t>.</w:t>
      </w:r>
    </w:p>
    <w:p w14:paraId="21C38295" w14:textId="77777777" w:rsidR="00F758AA" w:rsidRDefault="00F758AA" w:rsidP="00F758AA">
      <w:pPr>
        <w:pStyle w:val="Heading2"/>
      </w:pPr>
      <w:r>
        <w:t>Dosage in the marketing authorisation</w:t>
      </w:r>
    </w:p>
    <w:p w14:paraId="05A839F1" w14:textId="5053BB9A" w:rsidR="00F758AA" w:rsidRDefault="00F758AA" w:rsidP="00C26AC9">
      <w:pPr>
        <w:pStyle w:val="Numberedlevel2text"/>
      </w:pPr>
      <w:r>
        <w:t xml:space="preserve">The starting </w:t>
      </w:r>
      <w:r w:rsidR="00A974D2">
        <w:rPr>
          <w:lang w:val="en-US"/>
        </w:rPr>
        <w:t>dosage</w:t>
      </w:r>
      <w:r w:rsidR="00A974D2">
        <w:t xml:space="preserve"> </w:t>
      </w:r>
      <w:r>
        <w:t>is 0.6</w:t>
      </w:r>
      <w:r w:rsidR="00BC7920">
        <w:t> </w:t>
      </w:r>
      <w:r>
        <w:t>mg once daily</w:t>
      </w:r>
      <w:r w:rsidR="00272D97" w:rsidRPr="00A974D2">
        <w:rPr>
          <w:lang w:val="en-US"/>
        </w:rPr>
        <w:t xml:space="preserve"> </w:t>
      </w:r>
      <w:r w:rsidR="00272D97" w:rsidRPr="004C36E7">
        <w:rPr>
          <w:lang w:val="en-GB"/>
        </w:rPr>
        <w:t>by subcutaneous injection.</w:t>
      </w:r>
      <w:r>
        <w:t xml:space="preserve"> The </w:t>
      </w:r>
      <w:r w:rsidR="00A974D2">
        <w:rPr>
          <w:lang w:val="en-US"/>
        </w:rPr>
        <w:t>dosage</w:t>
      </w:r>
      <w:r w:rsidR="00A974D2">
        <w:t xml:space="preserve"> </w:t>
      </w:r>
      <w:r>
        <w:t>should be increased to 3.0</w:t>
      </w:r>
      <w:r w:rsidR="00BC7920">
        <w:t> </w:t>
      </w:r>
      <w:r>
        <w:t>mg once daily in increments of 0.6</w:t>
      </w:r>
      <w:r w:rsidR="00BC7920">
        <w:t> </w:t>
      </w:r>
      <w:r>
        <w:t xml:space="preserve">mg with at least 1-week intervals to improve gastro-intestinal tolerability. If escalation to the next dose step is not tolerated for </w:t>
      </w:r>
      <w:r w:rsidR="00942FB8">
        <w:t>2</w:t>
      </w:r>
      <w:r w:rsidR="00AE530F" w:rsidRPr="00A974D2">
        <w:rPr>
          <w:lang w:val="en-US"/>
        </w:rPr>
        <w:t> </w:t>
      </w:r>
      <w:r>
        <w:t xml:space="preserve">consecutive weeks, consider </w:t>
      </w:r>
      <w:r w:rsidR="005C52FC" w:rsidRPr="00A974D2">
        <w:rPr>
          <w:lang w:val="en-US"/>
        </w:rPr>
        <w:t>stopping</w:t>
      </w:r>
      <w:r w:rsidR="005C52FC">
        <w:t xml:space="preserve"> </w:t>
      </w:r>
      <w:r>
        <w:t>treatment. Daily doses higher than 3.0</w:t>
      </w:r>
      <w:r w:rsidR="00BC7920">
        <w:t> </w:t>
      </w:r>
      <w:r>
        <w:t>mg are not recommended</w:t>
      </w:r>
      <w:r w:rsidR="00E120A4" w:rsidRPr="00A974D2">
        <w:rPr>
          <w:lang w:val="en-US"/>
        </w:rPr>
        <w:t>.</w:t>
      </w:r>
      <w:r w:rsidR="005C52FC" w:rsidRPr="005C52FC">
        <w:t xml:space="preserve"> </w:t>
      </w:r>
      <w:r w:rsidR="005C52FC" w:rsidRPr="00A974D2">
        <w:rPr>
          <w:lang w:val="en-US"/>
        </w:rPr>
        <w:t xml:space="preserve">Treatment should be </w:t>
      </w:r>
      <w:r w:rsidR="005C52FC" w:rsidRPr="004C36E7">
        <w:rPr>
          <w:lang w:val="en-US"/>
        </w:rPr>
        <w:t>stopped after 12</w:t>
      </w:r>
      <w:r w:rsidR="00AE530F" w:rsidRPr="004C36E7">
        <w:rPr>
          <w:lang w:val="en-US"/>
        </w:rPr>
        <w:t> </w:t>
      </w:r>
      <w:r w:rsidR="005C52FC" w:rsidRPr="004C36E7">
        <w:rPr>
          <w:lang w:val="en-US"/>
        </w:rPr>
        <w:t>weeks on the 3.0</w:t>
      </w:r>
      <w:r w:rsidR="00BC7920" w:rsidRPr="004C36E7">
        <w:rPr>
          <w:lang w:val="en-US"/>
        </w:rPr>
        <w:t> mg</w:t>
      </w:r>
      <w:r w:rsidR="00A974D2">
        <w:rPr>
          <w:lang w:val="en-US"/>
        </w:rPr>
        <w:t xml:space="preserve"> per </w:t>
      </w:r>
      <w:r w:rsidR="005C52FC" w:rsidRPr="004C36E7">
        <w:rPr>
          <w:lang w:val="en-US"/>
        </w:rPr>
        <w:t xml:space="preserve">day </w:t>
      </w:r>
      <w:r w:rsidR="00A974D2">
        <w:rPr>
          <w:lang w:val="en-US"/>
        </w:rPr>
        <w:t>dosage</w:t>
      </w:r>
      <w:r w:rsidR="005C52FC" w:rsidRPr="004C36E7">
        <w:rPr>
          <w:lang w:val="en-US"/>
        </w:rPr>
        <w:t xml:space="preserve"> if the patient has not lost at least 5% of their initial body weight.</w:t>
      </w:r>
      <w:r w:rsidR="00A974D2">
        <w:rPr>
          <w:lang w:val="en-US"/>
        </w:rPr>
        <w:t xml:space="preserve"> </w:t>
      </w:r>
      <w:r w:rsidR="00101571" w:rsidRPr="00D8780F">
        <w:t>For full details of dose schedules, see the summary of product characteristics.</w:t>
      </w:r>
    </w:p>
    <w:p w14:paraId="7C0AE499" w14:textId="77777777" w:rsidR="00F758AA" w:rsidRDefault="00F758AA" w:rsidP="00F758AA">
      <w:pPr>
        <w:pStyle w:val="Heading2"/>
      </w:pPr>
      <w:r>
        <w:t>Price</w:t>
      </w:r>
    </w:p>
    <w:p w14:paraId="727E64A5" w14:textId="3CC6C503" w:rsidR="00F758AA" w:rsidRPr="006053AF" w:rsidRDefault="00F758AA" w:rsidP="00290E1B">
      <w:pPr>
        <w:pStyle w:val="Numberedlevel2text"/>
      </w:pPr>
      <w:r>
        <w:t>The list price of liraglutide (</w:t>
      </w:r>
      <w:proofErr w:type="spellStart"/>
      <w:r>
        <w:t>Saxenda</w:t>
      </w:r>
      <w:proofErr w:type="spellEnd"/>
      <w:r>
        <w:t>) is £196.20 for 5 x 6 mg/ml 3</w:t>
      </w:r>
      <w:r w:rsidR="00DD2000">
        <w:noBreakHyphen/>
      </w:r>
      <w:r>
        <w:t xml:space="preserve">ml </w:t>
      </w:r>
      <w:r w:rsidR="00CC219D">
        <w:rPr>
          <w:lang w:val="en-US"/>
        </w:rPr>
        <w:t>(18</w:t>
      </w:r>
      <w:r w:rsidR="00F90C0F">
        <w:rPr>
          <w:lang w:val="en-US"/>
        </w:rPr>
        <w:t> </w:t>
      </w:r>
      <w:r w:rsidR="00CC219D">
        <w:rPr>
          <w:lang w:val="en-US"/>
        </w:rPr>
        <w:t xml:space="preserve">mg) </w:t>
      </w:r>
      <w:r>
        <w:t>pre-filled pens.</w:t>
      </w:r>
      <w:r w:rsidR="006053AF">
        <w:rPr>
          <w:lang w:val="en-US"/>
        </w:rPr>
        <w:t xml:space="preserve"> </w:t>
      </w:r>
      <w:r w:rsidR="006053AF">
        <w:t>The company has a commercial arrangement, which would have applied if the technology had been recommended</w:t>
      </w:r>
      <w:r w:rsidR="006053AF">
        <w:rPr>
          <w:lang w:val="en-US"/>
        </w:rPr>
        <w:t>.</w:t>
      </w:r>
    </w:p>
    <w:p w14:paraId="73192919" w14:textId="77777777" w:rsidR="00F130AD" w:rsidRDefault="00222BEA" w:rsidP="00E43538">
      <w:pPr>
        <w:pStyle w:val="Numberedheading1"/>
      </w:pPr>
      <w:r w:rsidRPr="000F48EC">
        <w:t>Co</w:t>
      </w:r>
      <w:r>
        <w:t>mmittee discussion</w:t>
      </w:r>
    </w:p>
    <w:p w14:paraId="274A9659" w14:textId="659D0779" w:rsidR="002B5772" w:rsidRPr="00C63D4E" w:rsidRDefault="00BC7D9E" w:rsidP="002B5772">
      <w:pPr>
        <w:pStyle w:val="NICEnormal"/>
      </w:pPr>
      <w:r w:rsidRPr="007D7F83">
        <w:t xml:space="preserve">The </w:t>
      </w:r>
      <w:r w:rsidR="00343B53">
        <w:t>a</w:t>
      </w:r>
      <w:r w:rsidRPr="007D7F83">
        <w:t xml:space="preserve">ppraisal </w:t>
      </w:r>
      <w:r w:rsidR="00343B53">
        <w:t>c</w:t>
      </w:r>
      <w:r w:rsidRPr="007D7F83">
        <w:t xml:space="preserve">ommittee </w:t>
      </w:r>
      <w:r w:rsidR="00CD7BFC">
        <w:t xml:space="preserve">(section </w:t>
      </w:r>
      <w:r w:rsidR="005D534A">
        <w:t>6</w:t>
      </w:r>
      <w:r w:rsidR="00CD7BFC">
        <w:t xml:space="preserve">) </w:t>
      </w:r>
      <w:r w:rsidRPr="007D7F83">
        <w:t>considered evidence submitted by</w:t>
      </w:r>
      <w:r w:rsidR="00946091">
        <w:t xml:space="preserve"> </w:t>
      </w:r>
      <w:r w:rsidR="00DB71CC">
        <w:t>Novo Nordisk</w:t>
      </w:r>
      <w:r w:rsidR="002B5772">
        <w:t>,</w:t>
      </w:r>
      <w:r w:rsidRPr="00981B9F">
        <w:t xml:space="preserve"> </w:t>
      </w:r>
      <w:r w:rsidRPr="007D7F83">
        <w:t xml:space="preserve">a review of this submission by the </w:t>
      </w:r>
      <w:r w:rsidR="00343B53">
        <w:t>e</w:t>
      </w:r>
      <w:r w:rsidRPr="007D7F83">
        <w:t xml:space="preserve">vidence </w:t>
      </w:r>
      <w:r w:rsidR="00343B53">
        <w:t>r</w:t>
      </w:r>
      <w:r w:rsidRPr="007D7F83">
        <w:t xml:space="preserve">eview </w:t>
      </w:r>
      <w:r w:rsidR="00343B53">
        <w:t>g</w:t>
      </w:r>
      <w:r w:rsidRPr="007D7F83">
        <w:t>roup</w:t>
      </w:r>
      <w:r w:rsidR="002B5772">
        <w:t xml:space="preserve">, and the technical </w:t>
      </w:r>
      <w:r w:rsidR="00E9265B">
        <w:t>report</w:t>
      </w:r>
      <w:r w:rsidR="007E013D">
        <w:t xml:space="preserve"> developed</w:t>
      </w:r>
      <w:r w:rsidR="00E9265B">
        <w:t xml:space="preserve"> through engagement with stakeholders</w:t>
      </w:r>
      <w:r w:rsidRPr="007D7F83">
        <w:t>.</w:t>
      </w:r>
      <w:r w:rsidR="00C63D4E">
        <w:t xml:space="preserve"> </w:t>
      </w:r>
      <w:r w:rsidR="002B5772">
        <w:t xml:space="preserve">See the </w:t>
      </w:r>
      <w:hyperlink r:id="rId10" w:history="1">
        <w:r w:rsidR="002B5772">
          <w:rPr>
            <w:rStyle w:val="Hyperlink"/>
          </w:rPr>
          <w:t>committee papers</w:t>
        </w:r>
      </w:hyperlink>
      <w:r w:rsidR="002B5772">
        <w:t xml:space="preserve"> for full details of the evidence</w:t>
      </w:r>
      <w:r w:rsidR="002B5772" w:rsidRPr="000F2D8A">
        <w:t>.</w:t>
      </w:r>
    </w:p>
    <w:p w14:paraId="746DA2DD" w14:textId="5C9DFDA7" w:rsidR="002B5772" w:rsidRDefault="00DB71CC" w:rsidP="00DB71CC">
      <w:pPr>
        <w:pStyle w:val="NICEnormal"/>
      </w:pPr>
      <w:r>
        <w:lastRenderedPageBreak/>
        <w:t>The committee</w:t>
      </w:r>
      <w:r w:rsidR="002B5772">
        <w:t xml:space="preserve"> recognised that there were remaining areas of uncertainty associated with the analyses presented (see technical report</w:t>
      </w:r>
      <w:r w:rsidR="00A33919">
        <w:t>,</w:t>
      </w:r>
      <w:r w:rsidR="002B5772">
        <w:t xml:space="preserve"> </w:t>
      </w:r>
      <w:r w:rsidR="00A33919">
        <w:t xml:space="preserve">table 2, </w:t>
      </w:r>
      <w:r w:rsidR="002B5772">
        <w:t xml:space="preserve">page </w:t>
      </w:r>
      <w:r w:rsidR="00DD4236">
        <w:t>3</w:t>
      </w:r>
      <w:r>
        <w:t>5</w:t>
      </w:r>
      <w:r w:rsidR="002B5772">
        <w:t xml:space="preserve">), and took these into account in </w:t>
      </w:r>
      <w:r>
        <w:t>their</w:t>
      </w:r>
      <w:r w:rsidR="002B5772">
        <w:t xml:space="preserve"> decision making. </w:t>
      </w:r>
      <w:r w:rsidR="00A43F0F">
        <w:t xml:space="preserve">It </w:t>
      </w:r>
      <w:r w:rsidR="002B5772">
        <w:t xml:space="preserve">discussed </w:t>
      </w:r>
      <w:r w:rsidR="00B13742">
        <w:t xml:space="preserve">all the </w:t>
      </w:r>
      <w:r w:rsidR="002B5772">
        <w:t>issues</w:t>
      </w:r>
      <w:r w:rsidR="00A33919">
        <w:t xml:space="preserve"> </w:t>
      </w:r>
      <w:r w:rsidR="00B13742">
        <w:t xml:space="preserve">(1 to 7) </w:t>
      </w:r>
      <w:r w:rsidR="002B5772">
        <w:t xml:space="preserve">which were outstanding </w:t>
      </w:r>
      <w:r w:rsidR="00E95253">
        <w:t>after</w:t>
      </w:r>
      <w:r w:rsidR="002B5772">
        <w:t xml:space="preserve"> </w:t>
      </w:r>
      <w:r w:rsidR="000205C6">
        <w:t xml:space="preserve">the </w:t>
      </w:r>
      <w:r w:rsidR="002B5772">
        <w:t>technical engagement</w:t>
      </w:r>
      <w:r w:rsidR="000205C6">
        <w:t xml:space="preserve"> stage</w:t>
      </w:r>
      <w:r w:rsidR="002B5772">
        <w:t>.</w:t>
      </w:r>
    </w:p>
    <w:p w14:paraId="593E9F1A" w14:textId="387B34EE" w:rsidR="009B7037" w:rsidRPr="00742288" w:rsidRDefault="009B7037" w:rsidP="00E43538">
      <w:pPr>
        <w:pStyle w:val="Heading2"/>
      </w:pPr>
      <w:r w:rsidRPr="00742288">
        <w:t xml:space="preserve">Clinical </w:t>
      </w:r>
      <w:r w:rsidR="00F93E60">
        <w:t>need</w:t>
      </w:r>
    </w:p>
    <w:p w14:paraId="3739B053" w14:textId="635F2F31" w:rsidR="00C820E3" w:rsidRPr="00742288" w:rsidRDefault="00C820E3" w:rsidP="00E43538">
      <w:pPr>
        <w:pStyle w:val="Heading3"/>
      </w:pPr>
      <w:r w:rsidRPr="00742288">
        <w:t xml:space="preserve">Living with </w:t>
      </w:r>
      <w:r w:rsidR="00C91FEF">
        <w:t>o</w:t>
      </w:r>
      <w:r w:rsidRPr="00742288">
        <w:t>besity is restrictive</w:t>
      </w:r>
    </w:p>
    <w:p w14:paraId="450930F5" w14:textId="2DDEFF8C" w:rsidR="009B7037" w:rsidRPr="001079F2" w:rsidRDefault="009B7037" w:rsidP="00742288">
      <w:pPr>
        <w:pStyle w:val="Numberedlevel2text"/>
      </w:pPr>
      <w:r>
        <w:t xml:space="preserve">The patient expert explained that living with obesity is challenging and restrictive. </w:t>
      </w:r>
      <w:r w:rsidR="00A57BC8">
        <w:t xml:space="preserve">There is stigma associated with being obese. The biological </w:t>
      </w:r>
      <w:r w:rsidR="00C820E3">
        <w:rPr>
          <w:lang w:val="en-US"/>
        </w:rPr>
        <w:t xml:space="preserve">and psychological </w:t>
      </w:r>
      <w:r w:rsidR="00A57BC8">
        <w:t>determinants of obesity are often overlooked with a general perception that people are obese by choice.</w:t>
      </w:r>
      <w:r w:rsidR="00C820E3">
        <w:rPr>
          <w:lang w:val="en-US"/>
        </w:rPr>
        <w:t xml:space="preserve"> </w:t>
      </w:r>
      <w:r w:rsidR="0048144D">
        <w:rPr>
          <w:lang w:val="en-US"/>
        </w:rPr>
        <w:t>Current treatment options are limited and t</w:t>
      </w:r>
      <w:r w:rsidR="00C820E3">
        <w:rPr>
          <w:lang w:val="en-US"/>
        </w:rPr>
        <w:t>here is a need for a treatment that deals with biological determinants of obesity.</w:t>
      </w:r>
      <w:r w:rsidR="00BE207F">
        <w:rPr>
          <w:lang w:val="en-US"/>
        </w:rPr>
        <w:t xml:space="preserve"> The committee understood the need for </w:t>
      </w:r>
      <w:r w:rsidR="0048144D">
        <w:rPr>
          <w:lang w:val="en-US"/>
        </w:rPr>
        <w:t xml:space="preserve">more </w:t>
      </w:r>
      <w:r w:rsidR="00BE207F">
        <w:rPr>
          <w:lang w:val="en-US"/>
        </w:rPr>
        <w:t>treatment</w:t>
      </w:r>
      <w:r w:rsidR="0048144D">
        <w:rPr>
          <w:lang w:val="en-US"/>
        </w:rPr>
        <w:t xml:space="preserve"> option</w:t>
      </w:r>
      <w:r w:rsidR="00BE207F">
        <w:rPr>
          <w:lang w:val="en-US"/>
        </w:rPr>
        <w:t xml:space="preserve">s </w:t>
      </w:r>
      <w:r w:rsidR="0048144D">
        <w:rPr>
          <w:lang w:val="en-US"/>
        </w:rPr>
        <w:t>that are effective in managing obesity</w:t>
      </w:r>
      <w:r w:rsidR="00BE207F">
        <w:rPr>
          <w:lang w:val="en-US"/>
        </w:rPr>
        <w:t>.</w:t>
      </w:r>
    </w:p>
    <w:p w14:paraId="0A71ED4B" w14:textId="02351D09" w:rsidR="006053AF" w:rsidRPr="00706E7B" w:rsidRDefault="005359AA" w:rsidP="006053AF">
      <w:pPr>
        <w:pStyle w:val="Heading3"/>
      </w:pPr>
      <w:r>
        <w:t>The company submission focused on a ‘high-risk’ subgroup</w:t>
      </w:r>
    </w:p>
    <w:p w14:paraId="327A15B0" w14:textId="5EFE90D7" w:rsidR="006053AF" w:rsidRDefault="006053AF" w:rsidP="0099197D">
      <w:pPr>
        <w:pStyle w:val="Numberedlevel2text"/>
      </w:pPr>
      <w:r>
        <w:t xml:space="preserve">The scope issued by NICE included people with a BMI </w:t>
      </w:r>
      <w:r w:rsidRPr="006053AF">
        <w:rPr>
          <w:lang w:val="en-US"/>
        </w:rPr>
        <w:t xml:space="preserve">of </w:t>
      </w:r>
      <w:r w:rsidRPr="007E4B37">
        <w:t>30</w:t>
      </w:r>
      <w:r w:rsidRPr="006053AF">
        <w:rPr>
          <w:lang w:val="en-US"/>
        </w:rPr>
        <w:t> </w:t>
      </w:r>
      <w:r w:rsidRPr="007E4B37">
        <w:t>kg/m</w:t>
      </w:r>
      <w:r w:rsidRPr="006053AF">
        <w:rPr>
          <w:vertAlign w:val="superscript"/>
        </w:rPr>
        <w:t>2</w:t>
      </w:r>
      <w:r w:rsidRPr="007E4B37">
        <w:t xml:space="preserve"> </w:t>
      </w:r>
      <w:r w:rsidRPr="006053AF">
        <w:rPr>
          <w:lang w:val="en-US"/>
        </w:rPr>
        <w:t>or m</w:t>
      </w:r>
      <w:r w:rsidRPr="002A38CB">
        <w:rPr>
          <w:lang w:val="en-US"/>
        </w:rPr>
        <w:t xml:space="preserve">ore </w:t>
      </w:r>
      <w:r w:rsidRPr="007E4B37">
        <w:t>(obese)</w:t>
      </w:r>
      <w:r>
        <w:t>,</w:t>
      </w:r>
      <w:r w:rsidRPr="007E4B37">
        <w:t xml:space="preserve"> or</w:t>
      </w:r>
      <w:r>
        <w:t xml:space="preserve"> </w:t>
      </w:r>
      <w:r w:rsidRPr="006053AF">
        <w:rPr>
          <w:lang w:val="en-US"/>
        </w:rPr>
        <w:t xml:space="preserve">from </w:t>
      </w:r>
      <w:r w:rsidRPr="007E4B37">
        <w:t>27</w:t>
      </w:r>
      <w:r w:rsidRPr="006053AF">
        <w:rPr>
          <w:lang w:val="en-US"/>
        </w:rPr>
        <w:t> </w:t>
      </w:r>
      <w:r w:rsidRPr="007E4B37">
        <w:t>kg/m</w:t>
      </w:r>
      <w:r w:rsidRPr="006053AF">
        <w:rPr>
          <w:vertAlign w:val="superscript"/>
        </w:rPr>
        <w:t>2</w:t>
      </w:r>
      <w:r w:rsidRPr="007E4B37">
        <w:t xml:space="preserve"> to </w:t>
      </w:r>
      <w:r w:rsidRPr="006053AF">
        <w:rPr>
          <w:lang w:val="en-US"/>
        </w:rPr>
        <w:t>less than</w:t>
      </w:r>
      <w:r w:rsidRPr="007E4B37">
        <w:t xml:space="preserve"> 30</w:t>
      </w:r>
      <w:r w:rsidRPr="006053AF">
        <w:rPr>
          <w:lang w:val="en-US"/>
        </w:rPr>
        <w:t> </w:t>
      </w:r>
      <w:r w:rsidRPr="007E4B37">
        <w:t>kg/m</w:t>
      </w:r>
      <w:r w:rsidRPr="006053AF">
        <w:rPr>
          <w:vertAlign w:val="superscript"/>
        </w:rPr>
        <w:t>2</w:t>
      </w:r>
      <w:r w:rsidRPr="007E4B37">
        <w:t xml:space="preserve"> (overweight) in the presence of at least </w:t>
      </w:r>
      <w:r w:rsidRPr="006053AF">
        <w:rPr>
          <w:lang w:val="en-US"/>
        </w:rPr>
        <w:t>1</w:t>
      </w:r>
      <w:r w:rsidRPr="007E4B37">
        <w:t xml:space="preserve"> weight-related comorbidity</w:t>
      </w:r>
      <w:r>
        <w:t xml:space="preserve">. </w:t>
      </w:r>
      <w:r w:rsidRPr="006053AF">
        <w:rPr>
          <w:lang w:val="en-US"/>
        </w:rPr>
        <w:t xml:space="preserve">This is the population in the marketing </w:t>
      </w:r>
      <w:proofErr w:type="spellStart"/>
      <w:r w:rsidRPr="006053AF">
        <w:rPr>
          <w:lang w:val="en-US"/>
        </w:rPr>
        <w:t>authorisation</w:t>
      </w:r>
      <w:proofErr w:type="spellEnd"/>
      <w:r w:rsidRPr="006053AF">
        <w:rPr>
          <w:lang w:val="en-US"/>
        </w:rPr>
        <w:t xml:space="preserve">. </w:t>
      </w:r>
      <w:r>
        <w:t xml:space="preserve">The </w:t>
      </w:r>
      <w:r w:rsidRPr="006053AF">
        <w:rPr>
          <w:lang w:val="en-US"/>
        </w:rPr>
        <w:t>company</w:t>
      </w:r>
      <w:r>
        <w:t xml:space="preserve"> only presented </w:t>
      </w:r>
      <w:r w:rsidRPr="006053AF">
        <w:rPr>
          <w:lang w:val="en-US"/>
        </w:rPr>
        <w:t>evidence</w:t>
      </w:r>
      <w:r>
        <w:t xml:space="preserve"> for people with a </w:t>
      </w:r>
      <w:r w:rsidRPr="007E4B37">
        <w:t>BMI of</w:t>
      </w:r>
      <w:r>
        <w:t xml:space="preserve"> </w:t>
      </w:r>
      <w:r w:rsidRPr="007E4B37">
        <w:t>35 kg/m</w:t>
      </w:r>
      <w:r w:rsidRPr="006053AF">
        <w:rPr>
          <w:vertAlign w:val="superscript"/>
        </w:rPr>
        <w:t>2</w:t>
      </w:r>
      <w:r w:rsidRPr="002A38CB">
        <w:rPr>
          <w:lang w:val="en-US"/>
        </w:rPr>
        <w:t xml:space="preserve"> or more, </w:t>
      </w:r>
      <w:r>
        <w:t xml:space="preserve">with </w:t>
      </w:r>
      <w:r w:rsidRPr="007E4B37">
        <w:t>pre-diabetes</w:t>
      </w:r>
      <w:r>
        <w:t xml:space="preserve"> and a high risk of cardiovascular disease.</w:t>
      </w:r>
      <w:r w:rsidRPr="006053AF">
        <w:rPr>
          <w:lang w:val="en-US"/>
        </w:rPr>
        <w:t xml:space="preserve"> </w:t>
      </w:r>
      <w:r w:rsidR="002A38CB">
        <w:rPr>
          <w:lang w:val="en-US"/>
        </w:rPr>
        <w:t xml:space="preserve">The company argued that this group of people </w:t>
      </w:r>
      <w:r w:rsidR="005359AA">
        <w:rPr>
          <w:lang w:val="en-US"/>
        </w:rPr>
        <w:t>w</w:t>
      </w:r>
      <w:r w:rsidR="004060A1">
        <w:rPr>
          <w:lang w:val="en-US"/>
        </w:rPr>
        <w:t>as</w:t>
      </w:r>
      <w:r w:rsidR="005359AA">
        <w:rPr>
          <w:lang w:val="en-US"/>
        </w:rPr>
        <w:t xml:space="preserve"> at high risk of experiencing the adverse consequences of obesity and </w:t>
      </w:r>
      <w:r w:rsidR="002A38CB">
        <w:rPr>
          <w:lang w:val="en-US"/>
        </w:rPr>
        <w:t>w</w:t>
      </w:r>
      <w:r w:rsidR="004060A1">
        <w:rPr>
          <w:lang w:val="en-US"/>
        </w:rPr>
        <w:t>as</w:t>
      </w:r>
      <w:r w:rsidR="002A38CB">
        <w:rPr>
          <w:lang w:val="en-US"/>
        </w:rPr>
        <w:t xml:space="preserve"> likely to </w:t>
      </w:r>
      <w:r w:rsidR="00E64260">
        <w:rPr>
          <w:lang w:val="en-US"/>
        </w:rPr>
        <w:t xml:space="preserve">gain most from </w:t>
      </w:r>
      <w:r w:rsidR="00387596">
        <w:rPr>
          <w:lang w:val="en-US"/>
        </w:rPr>
        <w:t xml:space="preserve">liraglutide. </w:t>
      </w:r>
      <w:r w:rsidRPr="006053AF">
        <w:rPr>
          <w:lang w:val="en-US"/>
        </w:rPr>
        <w:t xml:space="preserve">The </w:t>
      </w:r>
      <w:r w:rsidR="00387596">
        <w:rPr>
          <w:lang w:val="en-US"/>
        </w:rPr>
        <w:t xml:space="preserve">technical team heard at technical engagement that the population proposed by the company was </w:t>
      </w:r>
      <w:r w:rsidR="003001B3">
        <w:rPr>
          <w:lang w:val="en-US"/>
        </w:rPr>
        <w:t>clearly identif</w:t>
      </w:r>
      <w:r w:rsidR="006047BD">
        <w:rPr>
          <w:lang w:val="en-US"/>
        </w:rPr>
        <w:t>iable</w:t>
      </w:r>
      <w:r w:rsidR="003001B3">
        <w:rPr>
          <w:lang w:val="en-US"/>
        </w:rPr>
        <w:t xml:space="preserve"> and justified</w:t>
      </w:r>
      <w:r w:rsidR="005359AA">
        <w:rPr>
          <w:lang w:val="en-US"/>
        </w:rPr>
        <w:t>. However,</w:t>
      </w:r>
      <w:r w:rsidR="003001B3">
        <w:rPr>
          <w:lang w:val="en-US"/>
        </w:rPr>
        <w:t xml:space="preserve"> the evidence presented did not allow the </w:t>
      </w:r>
      <w:r w:rsidRPr="006053AF">
        <w:rPr>
          <w:lang w:val="en-US"/>
        </w:rPr>
        <w:t xml:space="preserve">committee to make a recommendation for the full population </w:t>
      </w:r>
      <w:r w:rsidR="007C0EE6">
        <w:rPr>
          <w:lang w:val="en-US"/>
        </w:rPr>
        <w:t>covered by</w:t>
      </w:r>
      <w:r w:rsidR="007C0EE6" w:rsidRPr="006053AF">
        <w:rPr>
          <w:lang w:val="en-US"/>
        </w:rPr>
        <w:t xml:space="preserve"> </w:t>
      </w:r>
      <w:r w:rsidRPr="006053AF">
        <w:rPr>
          <w:lang w:val="en-US"/>
        </w:rPr>
        <w:t xml:space="preserve">the </w:t>
      </w:r>
      <w:r w:rsidRPr="002A38CB">
        <w:rPr>
          <w:lang w:val="en-US"/>
        </w:rPr>
        <w:t xml:space="preserve">marketing </w:t>
      </w:r>
      <w:proofErr w:type="spellStart"/>
      <w:r w:rsidRPr="002A38CB">
        <w:rPr>
          <w:lang w:val="en-US"/>
        </w:rPr>
        <w:t>authorisation</w:t>
      </w:r>
      <w:proofErr w:type="spellEnd"/>
      <w:r w:rsidRPr="002A38CB">
        <w:rPr>
          <w:lang w:val="en-US"/>
        </w:rPr>
        <w:t>.</w:t>
      </w:r>
      <w:r w:rsidR="002A38CB">
        <w:rPr>
          <w:lang w:val="en-US"/>
        </w:rPr>
        <w:t xml:space="preserve"> </w:t>
      </w:r>
      <w:r w:rsidR="006047BD">
        <w:rPr>
          <w:lang w:val="en-US"/>
        </w:rPr>
        <w:t xml:space="preserve">The committee therefore agreed to focus on the population proposed by the company. </w:t>
      </w:r>
    </w:p>
    <w:p w14:paraId="20951ABC" w14:textId="029EC3B0" w:rsidR="00413C13" w:rsidRDefault="00854F22" w:rsidP="00643582">
      <w:pPr>
        <w:pStyle w:val="Heading2"/>
      </w:pPr>
      <w:r>
        <w:lastRenderedPageBreak/>
        <w:t>Current management and comparators</w:t>
      </w:r>
    </w:p>
    <w:p w14:paraId="19FEFA6B" w14:textId="0FA0927D" w:rsidR="009C2850" w:rsidRDefault="009C2850" w:rsidP="0051722B">
      <w:pPr>
        <w:pStyle w:val="Heading3"/>
      </w:pPr>
      <w:r>
        <w:t xml:space="preserve">Access to </w:t>
      </w:r>
      <w:r w:rsidR="00BA23AD">
        <w:t>tier </w:t>
      </w:r>
      <w:r>
        <w:t>3 weight</w:t>
      </w:r>
      <w:r w:rsidR="00BC7920">
        <w:t xml:space="preserve"> </w:t>
      </w:r>
      <w:r>
        <w:t>management services varies across England</w:t>
      </w:r>
    </w:p>
    <w:p w14:paraId="4E307DFA" w14:textId="31D14E6A" w:rsidR="007F3B3A" w:rsidRPr="009C2850" w:rsidRDefault="009C2850" w:rsidP="00E43538">
      <w:pPr>
        <w:pStyle w:val="Numberedlevel2text"/>
      </w:pPr>
      <w:r w:rsidRPr="00180565">
        <w:rPr>
          <w:lang w:val="en-GB"/>
        </w:rPr>
        <w:t xml:space="preserve">The clinical experts explained that weight management </w:t>
      </w:r>
      <w:r w:rsidR="00362A8D">
        <w:rPr>
          <w:lang w:val="en-GB"/>
        </w:rPr>
        <w:t>follows</w:t>
      </w:r>
      <w:r w:rsidRPr="00180565">
        <w:rPr>
          <w:lang w:val="en-GB"/>
        </w:rPr>
        <w:t xml:space="preserve"> NICE’s clinical guideline</w:t>
      </w:r>
      <w:r w:rsidR="00336C40">
        <w:rPr>
          <w:lang w:val="en-GB"/>
        </w:rPr>
        <w:t xml:space="preserve"> </w:t>
      </w:r>
      <w:r w:rsidRPr="00180565">
        <w:rPr>
          <w:lang w:val="en-GB"/>
        </w:rPr>
        <w:t xml:space="preserve">on </w:t>
      </w:r>
      <w:hyperlink r:id="rId11" w:history="1">
        <w:r w:rsidRPr="00180565">
          <w:rPr>
            <w:rStyle w:val="Hyperlink"/>
            <w:lang w:val="en-GB"/>
          </w:rPr>
          <w:t>obesity: identification, assessment and management</w:t>
        </w:r>
      </w:hyperlink>
      <w:r w:rsidRPr="00180565">
        <w:rPr>
          <w:lang w:val="en-GB"/>
        </w:rPr>
        <w:t xml:space="preserve">. </w:t>
      </w:r>
      <w:r w:rsidR="003001B3">
        <w:rPr>
          <w:lang w:val="en-GB"/>
        </w:rPr>
        <w:t>In the high-risk population proposed by the company, l</w:t>
      </w:r>
      <w:r w:rsidR="00362A8D">
        <w:rPr>
          <w:lang w:val="en-GB"/>
        </w:rPr>
        <w:t>iraglutide</w:t>
      </w:r>
      <w:r w:rsidR="00AC40B1" w:rsidRPr="00180565">
        <w:rPr>
          <w:lang w:val="en-GB"/>
        </w:rPr>
        <w:t xml:space="preserve"> would be </w:t>
      </w:r>
      <w:r w:rsidR="00BA23AD">
        <w:rPr>
          <w:lang w:val="en-GB"/>
        </w:rPr>
        <w:t>offered</w:t>
      </w:r>
      <w:r w:rsidR="00BA23AD" w:rsidRPr="00180565">
        <w:rPr>
          <w:lang w:val="en-GB"/>
        </w:rPr>
        <w:t xml:space="preserve"> </w:t>
      </w:r>
      <w:r w:rsidR="00AC40B1" w:rsidRPr="00180565">
        <w:rPr>
          <w:lang w:val="en-GB"/>
        </w:rPr>
        <w:t xml:space="preserve">through </w:t>
      </w:r>
      <w:r w:rsidR="00D16D97">
        <w:rPr>
          <w:lang w:val="en-GB"/>
        </w:rPr>
        <w:t>specialist</w:t>
      </w:r>
      <w:r w:rsidR="00AC40B1" w:rsidRPr="00545017">
        <w:t xml:space="preserve"> multi</w:t>
      </w:r>
      <w:r w:rsidR="00BC7920">
        <w:t>disciplinary</w:t>
      </w:r>
      <w:r w:rsidR="00AC40B1" w:rsidRPr="00545017">
        <w:t xml:space="preserve"> weight management (</w:t>
      </w:r>
      <w:r w:rsidR="00BA23AD">
        <w:rPr>
          <w:lang w:val="en-US"/>
        </w:rPr>
        <w:t>tier </w:t>
      </w:r>
      <w:r w:rsidR="00AC40B1" w:rsidRPr="00545017">
        <w:t>3</w:t>
      </w:r>
      <w:r w:rsidR="00BA23AD">
        <w:rPr>
          <w:lang w:val="en-US"/>
        </w:rPr>
        <w:t>)</w:t>
      </w:r>
      <w:r w:rsidR="009510B6" w:rsidRPr="00180565">
        <w:rPr>
          <w:lang w:val="en-US"/>
        </w:rPr>
        <w:t xml:space="preserve"> services</w:t>
      </w:r>
      <w:r w:rsidR="00362A8D">
        <w:rPr>
          <w:lang w:val="en-US"/>
        </w:rPr>
        <w:t>.</w:t>
      </w:r>
      <w:r w:rsidR="00AC40B1" w:rsidRPr="00545017">
        <w:t xml:space="preserve"> </w:t>
      </w:r>
      <w:r w:rsidR="00362A8D">
        <w:rPr>
          <w:lang w:val="en-US"/>
        </w:rPr>
        <w:t>These provide</w:t>
      </w:r>
      <w:r w:rsidR="00362A8D" w:rsidRPr="00180565">
        <w:rPr>
          <w:lang w:val="en-US"/>
        </w:rPr>
        <w:t xml:space="preserve"> </w:t>
      </w:r>
      <w:r w:rsidR="00AC40B1" w:rsidRPr="00545017">
        <w:t>dietary, lifestyle and behaviour modification</w:t>
      </w:r>
      <w:r w:rsidR="00362A8D">
        <w:rPr>
          <w:lang w:val="en-US"/>
        </w:rPr>
        <w:t>,</w:t>
      </w:r>
      <w:r w:rsidR="00AC40B1" w:rsidRPr="00545017">
        <w:t xml:space="preserve"> with or without drug therapy</w:t>
      </w:r>
      <w:r w:rsidR="00362A8D">
        <w:rPr>
          <w:lang w:val="en-US"/>
        </w:rPr>
        <w:t>,</w:t>
      </w:r>
      <w:r w:rsidR="00AC40B1" w:rsidRPr="00180565">
        <w:rPr>
          <w:lang w:val="en-US"/>
        </w:rPr>
        <w:t xml:space="preserve"> and psychological support. </w:t>
      </w:r>
      <w:r w:rsidRPr="00180565">
        <w:rPr>
          <w:lang w:val="en-GB"/>
        </w:rPr>
        <w:t xml:space="preserve">The clinical experts </w:t>
      </w:r>
      <w:r w:rsidR="009510B6" w:rsidRPr="00180565">
        <w:rPr>
          <w:lang w:val="en-GB"/>
        </w:rPr>
        <w:t xml:space="preserve">explained </w:t>
      </w:r>
      <w:r w:rsidR="00AC40B1" w:rsidRPr="00180565">
        <w:rPr>
          <w:lang w:val="en-GB"/>
        </w:rPr>
        <w:t xml:space="preserve">that long-term weight loss would not be achieved without </w:t>
      </w:r>
      <w:r w:rsidR="00362A8D">
        <w:rPr>
          <w:lang w:val="en-GB"/>
        </w:rPr>
        <w:t xml:space="preserve">the </w:t>
      </w:r>
      <w:r w:rsidR="00806520">
        <w:rPr>
          <w:lang w:val="en-GB"/>
        </w:rPr>
        <w:t xml:space="preserve">ongoing and </w:t>
      </w:r>
      <w:r w:rsidR="00AC40B1" w:rsidRPr="00180565">
        <w:rPr>
          <w:lang w:val="en-GB"/>
        </w:rPr>
        <w:t>psychological support</w:t>
      </w:r>
      <w:r w:rsidR="009510B6" w:rsidRPr="00180565">
        <w:rPr>
          <w:lang w:val="en-GB"/>
        </w:rPr>
        <w:t xml:space="preserve"> </w:t>
      </w:r>
      <w:r w:rsidR="00362A8D">
        <w:rPr>
          <w:lang w:val="en-GB"/>
        </w:rPr>
        <w:t xml:space="preserve">that </w:t>
      </w:r>
      <w:r w:rsidR="009510B6" w:rsidRPr="00180565">
        <w:rPr>
          <w:lang w:val="en-GB"/>
        </w:rPr>
        <w:t xml:space="preserve">is a </w:t>
      </w:r>
      <w:r w:rsidR="000921B9" w:rsidRPr="00180565">
        <w:rPr>
          <w:lang w:val="en-GB"/>
        </w:rPr>
        <w:t>feature</w:t>
      </w:r>
      <w:r w:rsidR="009510B6" w:rsidRPr="00180565">
        <w:rPr>
          <w:lang w:val="en-GB"/>
        </w:rPr>
        <w:t xml:space="preserve"> of </w:t>
      </w:r>
      <w:r w:rsidR="00BA23AD">
        <w:rPr>
          <w:lang w:val="en-GB"/>
        </w:rPr>
        <w:t>tier </w:t>
      </w:r>
      <w:r w:rsidR="009510B6" w:rsidRPr="00180565">
        <w:rPr>
          <w:lang w:val="en-GB"/>
        </w:rPr>
        <w:t>3 services</w:t>
      </w:r>
      <w:r w:rsidR="00AC40B1" w:rsidRPr="00180565">
        <w:rPr>
          <w:lang w:val="en-GB"/>
        </w:rPr>
        <w:t>.</w:t>
      </w:r>
      <w:r w:rsidR="009510B6" w:rsidRPr="00180565">
        <w:rPr>
          <w:lang w:val="en-GB"/>
        </w:rPr>
        <w:t xml:space="preserve"> The committee</w:t>
      </w:r>
      <w:r w:rsidR="003001B3">
        <w:rPr>
          <w:lang w:val="en-GB"/>
        </w:rPr>
        <w:t xml:space="preserve"> heard</w:t>
      </w:r>
      <w:r w:rsidR="009510B6" w:rsidRPr="00180565">
        <w:rPr>
          <w:lang w:val="en-GB"/>
        </w:rPr>
        <w:t xml:space="preserve"> that access to these services </w:t>
      </w:r>
      <w:r w:rsidR="00362A8D">
        <w:rPr>
          <w:lang w:val="en-GB"/>
        </w:rPr>
        <w:t>varies</w:t>
      </w:r>
      <w:r w:rsidRPr="00180565">
        <w:rPr>
          <w:lang w:val="en-GB"/>
        </w:rPr>
        <w:t xml:space="preserve"> across England.</w:t>
      </w:r>
      <w:r w:rsidR="00EE12A6">
        <w:rPr>
          <w:lang w:val="en-GB"/>
        </w:rPr>
        <w:t xml:space="preserve"> </w:t>
      </w:r>
      <w:r w:rsidR="00362A8D">
        <w:rPr>
          <w:lang w:val="en-GB"/>
        </w:rPr>
        <w:t>The</w:t>
      </w:r>
      <w:r w:rsidR="00EE12A6">
        <w:rPr>
          <w:lang w:val="en-GB"/>
        </w:rPr>
        <w:t xml:space="preserve"> clinical experts </w:t>
      </w:r>
      <w:r w:rsidR="00362A8D">
        <w:rPr>
          <w:lang w:val="en-GB"/>
        </w:rPr>
        <w:t xml:space="preserve">advised </w:t>
      </w:r>
      <w:r w:rsidR="00EE12A6">
        <w:rPr>
          <w:lang w:val="en-GB"/>
        </w:rPr>
        <w:t xml:space="preserve">that diabetic services in the NHS </w:t>
      </w:r>
      <w:r w:rsidR="00362A8D">
        <w:rPr>
          <w:lang w:val="en-GB"/>
        </w:rPr>
        <w:t xml:space="preserve">have </w:t>
      </w:r>
      <w:r w:rsidR="00EE12A6">
        <w:rPr>
          <w:lang w:val="en-GB"/>
        </w:rPr>
        <w:t xml:space="preserve">experience with liraglutide prescribing and might provide a suitable alternative where no </w:t>
      </w:r>
      <w:r w:rsidR="00BA23AD">
        <w:rPr>
          <w:lang w:val="en-GB"/>
        </w:rPr>
        <w:t>tier </w:t>
      </w:r>
      <w:r w:rsidR="00EE12A6">
        <w:rPr>
          <w:lang w:val="en-GB"/>
        </w:rPr>
        <w:t xml:space="preserve">3 </w:t>
      </w:r>
      <w:r w:rsidR="00582FB2">
        <w:rPr>
          <w:lang w:val="en-GB"/>
        </w:rPr>
        <w:t>service</w:t>
      </w:r>
      <w:r w:rsidR="00EE12A6">
        <w:rPr>
          <w:lang w:val="en-GB"/>
        </w:rPr>
        <w:t xml:space="preserve"> </w:t>
      </w:r>
      <w:r w:rsidR="00951508">
        <w:rPr>
          <w:lang w:val="en-GB"/>
        </w:rPr>
        <w:t xml:space="preserve">is </w:t>
      </w:r>
      <w:r w:rsidR="00BA23AD">
        <w:rPr>
          <w:lang w:val="en-GB"/>
        </w:rPr>
        <w:t>available</w:t>
      </w:r>
      <w:r w:rsidR="00362A8D">
        <w:rPr>
          <w:lang w:val="en-GB"/>
        </w:rPr>
        <w:t>.</w:t>
      </w:r>
      <w:r w:rsidR="00BA23AD">
        <w:rPr>
          <w:lang w:val="en-GB"/>
        </w:rPr>
        <w:t xml:space="preserve"> </w:t>
      </w:r>
      <w:r w:rsidR="00362A8D">
        <w:rPr>
          <w:lang w:val="en-GB"/>
        </w:rPr>
        <w:t xml:space="preserve">However, these services </w:t>
      </w:r>
      <w:r w:rsidR="00336C40">
        <w:rPr>
          <w:lang w:val="en-GB"/>
        </w:rPr>
        <w:t xml:space="preserve">may not </w:t>
      </w:r>
      <w:r w:rsidR="00362A8D">
        <w:rPr>
          <w:lang w:val="en-GB"/>
        </w:rPr>
        <w:t>provide</w:t>
      </w:r>
      <w:r w:rsidR="00336C40">
        <w:rPr>
          <w:lang w:val="en-GB"/>
        </w:rPr>
        <w:t xml:space="preserve"> psychological support for weight management</w:t>
      </w:r>
      <w:r w:rsidR="00EE12A6">
        <w:rPr>
          <w:lang w:val="en-GB"/>
        </w:rPr>
        <w:t>.</w:t>
      </w:r>
      <w:r w:rsidR="003001B3">
        <w:rPr>
          <w:lang w:val="en-GB"/>
        </w:rPr>
        <w:t xml:space="preserve"> The committee </w:t>
      </w:r>
      <w:r w:rsidR="003001B3" w:rsidRPr="00180565">
        <w:rPr>
          <w:lang w:val="en-GB"/>
        </w:rPr>
        <w:t xml:space="preserve">concluded that a </w:t>
      </w:r>
      <w:r w:rsidR="003001B3">
        <w:rPr>
          <w:lang w:val="en-GB"/>
        </w:rPr>
        <w:t>tier </w:t>
      </w:r>
      <w:r w:rsidR="003001B3" w:rsidRPr="00180565">
        <w:rPr>
          <w:lang w:val="en-GB"/>
        </w:rPr>
        <w:t xml:space="preserve">3 service </w:t>
      </w:r>
      <w:r w:rsidR="003001B3">
        <w:rPr>
          <w:lang w:val="en-GB"/>
        </w:rPr>
        <w:t>is</w:t>
      </w:r>
      <w:r w:rsidR="003001B3" w:rsidRPr="00180565">
        <w:rPr>
          <w:lang w:val="en-GB"/>
        </w:rPr>
        <w:t xml:space="preserve"> the appropriate context in which liraglutide would be </w:t>
      </w:r>
      <w:r w:rsidR="003001B3">
        <w:rPr>
          <w:lang w:val="en-GB"/>
        </w:rPr>
        <w:t>offered</w:t>
      </w:r>
      <w:r w:rsidR="003001B3" w:rsidRPr="00180565">
        <w:rPr>
          <w:lang w:val="en-GB"/>
        </w:rPr>
        <w:t xml:space="preserve"> but acknowledged </w:t>
      </w:r>
      <w:r w:rsidR="003001B3">
        <w:rPr>
          <w:lang w:val="en-GB"/>
        </w:rPr>
        <w:t>that, at present, access to these services is variable.</w:t>
      </w:r>
    </w:p>
    <w:p w14:paraId="10FF4A3C" w14:textId="324441AB" w:rsidR="0051722B" w:rsidRDefault="00E43538" w:rsidP="0051722B">
      <w:pPr>
        <w:pStyle w:val="Heading3"/>
      </w:pPr>
      <w:r>
        <w:t xml:space="preserve">Orlistat </w:t>
      </w:r>
      <w:r w:rsidR="001D09D8">
        <w:t xml:space="preserve">and bariatric surgery </w:t>
      </w:r>
      <w:r w:rsidR="00362A8D">
        <w:t xml:space="preserve">would </w:t>
      </w:r>
      <w:r w:rsidR="001D09D8">
        <w:t>not be alternatives to liraglutide</w:t>
      </w:r>
      <w:r>
        <w:t xml:space="preserve"> for most people</w:t>
      </w:r>
    </w:p>
    <w:p w14:paraId="279D4956" w14:textId="700371F8" w:rsidR="00854F22" w:rsidRPr="00854F22" w:rsidRDefault="00547F8E" w:rsidP="00AD1014">
      <w:pPr>
        <w:pStyle w:val="Numberedlevel2text"/>
      </w:pPr>
      <w:r>
        <w:rPr>
          <w:lang w:val="en-GB"/>
        </w:rPr>
        <w:t xml:space="preserve">The </w:t>
      </w:r>
      <w:r w:rsidR="009C2850">
        <w:rPr>
          <w:lang w:val="en-GB"/>
        </w:rPr>
        <w:t>clinical</w:t>
      </w:r>
      <w:r>
        <w:rPr>
          <w:lang w:val="en-GB"/>
        </w:rPr>
        <w:t xml:space="preserve"> experts explained that </w:t>
      </w:r>
      <w:r w:rsidR="00951508">
        <w:rPr>
          <w:lang w:val="en-GB"/>
        </w:rPr>
        <w:t xml:space="preserve">many people decide not to have </w:t>
      </w:r>
      <w:r w:rsidR="009C2850">
        <w:rPr>
          <w:lang w:val="en-GB"/>
        </w:rPr>
        <w:t>orlista</w:t>
      </w:r>
      <w:r w:rsidR="00854F22">
        <w:rPr>
          <w:lang w:val="en-GB"/>
        </w:rPr>
        <w:t xml:space="preserve">t </w:t>
      </w:r>
      <w:r w:rsidR="00951508">
        <w:rPr>
          <w:lang w:val="en-GB"/>
        </w:rPr>
        <w:t>or stop taking it</w:t>
      </w:r>
      <w:r w:rsidR="003906B9">
        <w:rPr>
          <w:lang w:val="en-GB"/>
        </w:rPr>
        <w:t xml:space="preserve"> because of its undesirable side</w:t>
      </w:r>
      <w:r w:rsidR="00F90C0F">
        <w:rPr>
          <w:lang w:val="en-GB"/>
        </w:rPr>
        <w:t xml:space="preserve"> </w:t>
      </w:r>
      <w:r w:rsidR="003906B9">
        <w:rPr>
          <w:lang w:val="en-GB"/>
        </w:rPr>
        <w:t xml:space="preserve">effects. </w:t>
      </w:r>
      <w:r w:rsidR="00E43538">
        <w:rPr>
          <w:lang w:val="en-GB"/>
        </w:rPr>
        <w:t xml:space="preserve">Most </w:t>
      </w:r>
      <w:r w:rsidR="003906B9">
        <w:rPr>
          <w:lang w:val="en-GB"/>
        </w:rPr>
        <w:t xml:space="preserve">people </w:t>
      </w:r>
      <w:r w:rsidR="00E43538">
        <w:rPr>
          <w:lang w:val="en-GB"/>
        </w:rPr>
        <w:t>referred</w:t>
      </w:r>
      <w:r w:rsidR="003906B9">
        <w:rPr>
          <w:lang w:val="en-GB"/>
        </w:rPr>
        <w:t xml:space="preserve"> to a </w:t>
      </w:r>
      <w:r w:rsidR="00BA23AD">
        <w:rPr>
          <w:lang w:val="en-GB"/>
        </w:rPr>
        <w:t>tier </w:t>
      </w:r>
      <w:r w:rsidR="003906B9">
        <w:rPr>
          <w:lang w:val="en-GB"/>
        </w:rPr>
        <w:t xml:space="preserve">3 service </w:t>
      </w:r>
      <w:r w:rsidR="00E43538">
        <w:rPr>
          <w:lang w:val="en-GB"/>
        </w:rPr>
        <w:t xml:space="preserve">will </w:t>
      </w:r>
      <w:r w:rsidR="003906B9">
        <w:rPr>
          <w:lang w:val="en-GB"/>
        </w:rPr>
        <w:t xml:space="preserve">have tried and </w:t>
      </w:r>
      <w:r w:rsidR="00E43538">
        <w:rPr>
          <w:lang w:val="en-GB"/>
        </w:rPr>
        <w:t xml:space="preserve">stopped </w:t>
      </w:r>
      <w:r w:rsidR="000921B9">
        <w:rPr>
          <w:lang w:val="en-GB"/>
        </w:rPr>
        <w:t>o</w:t>
      </w:r>
      <w:r w:rsidR="003906B9">
        <w:rPr>
          <w:lang w:val="en-GB"/>
        </w:rPr>
        <w:t>rlistat</w:t>
      </w:r>
      <w:r w:rsidR="00E43538">
        <w:rPr>
          <w:lang w:val="en-GB"/>
        </w:rPr>
        <w:t>,</w:t>
      </w:r>
      <w:r w:rsidR="003906B9">
        <w:rPr>
          <w:lang w:val="en-GB"/>
        </w:rPr>
        <w:t xml:space="preserve"> </w:t>
      </w:r>
      <w:r w:rsidR="00E43538">
        <w:rPr>
          <w:lang w:val="en-GB"/>
        </w:rPr>
        <w:t>so</w:t>
      </w:r>
      <w:r w:rsidR="003A1AB7" w:rsidRPr="003A1AB7">
        <w:rPr>
          <w:lang w:val="en-GB"/>
        </w:rPr>
        <w:t xml:space="preserve"> there </w:t>
      </w:r>
      <w:r w:rsidR="003A5C74" w:rsidRPr="003A1AB7">
        <w:rPr>
          <w:lang w:val="en-GB"/>
        </w:rPr>
        <w:t xml:space="preserve">is </w:t>
      </w:r>
      <w:r w:rsidR="003A5C74">
        <w:rPr>
          <w:lang w:val="en-GB"/>
        </w:rPr>
        <w:t>a</w:t>
      </w:r>
      <w:r w:rsidR="003906B9">
        <w:rPr>
          <w:lang w:val="en-GB"/>
        </w:rPr>
        <w:t xml:space="preserve"> </w:t>
      </w:r>
      <w:r w:rsidR="003A1AB7" w:rsidRPr="003A1AB7">
        <w:rPr>
          <w:lang w:val="en-GB"/>
        </w:rPr>
        <w:t xml:space="preserve">high clinical need for </w:t>
      </w:r>
      <w:r w:rsidR="00854F22">
        <w:rPr>
          <w:lang w:val="en-GB"/>
        </w:rPr>
        <w:t xml:space="preserve">other </w:t>
      </w:r>
      <w:r w:rsidR="003A1AB7" w:rsidRPr="003A1AB7">
        <w:rPr>
          <w:lang w:val="en-GB"/>
        </w:rPr>
        <w:t xml:space="preserve">pharmacological </w:t>
      </w:r>
      <w:r w:rsidR="00854F22">
        <w:rPr>
          <w:lang w:val="en-GB"/>
        </w:rPr>
        <w:t>options</w:t>
      </w:r>
      <w:r w:rsidR="003906B9">
        <w:rPr>
          <w:lang w:val="en-GB"/>
        </w:rPr>
        <w:t xml:space="preserve">. </w:t>
      </w:r>
      <w:r w:rsidR="00E43538">
        <w:rPr>
          <w:lang w:val="en-GB"/>
        </w:rPr>
        <w:t>The</w:t>
      </w:r>
      <w:r w:rsidR="00362A8D">
        <w:rPr>
          <w:lang w:val="en-GB"/>
        </w:rPr>
        <w:t xml:space="preserve"> clinical experts</w:t>
      </w:r>
      <w:r w:rsidR="00E43538">
        <w:rPr>
          <w:lang w:val="en-GB"/>
        </w:rPr>
        <w:t xml:space="preserve"> explained </w:t>
      </w:r>
      <w:r w:rsidR="00772286">
        <w:rPr>
          <w:lang w:val="en-GB"/>
        </w:rPr>
        <w:t xml:space="preserve">that liraglutide would only be considered </w:t>
      </w:r>
      <w:r w:rsidR="007031E1">
        <w:rPr>
          <w:lang w:val="en-GB"/>
        </w:rPr>
        <w:t>if</w:t>
      </w:r>
      <w:r w:rsidR="008C21E3">
        <w:rPr>
          <w:lang w:val="en-GB"/>
        </w:rPr>
        <w:t xml:space="preserve"> </w:t>
      </w:r>
      <w:r w:rsidR="00772286">
        <w:rPr>
          <w:lang w:val="en-GB"/>
        </w:rPr>
        <w:t>orlistat or bariatric surgery are not an option</w:t>
      </w:r>
      <w:r w:rsidR="00836CC5">
        <w:rPr>
          <w:lang w:val="en-GB"/>
        </w:rPr>
        <w:t xml:space="preserve"> </w:t>
      </w:r>
      <w:r w:rsidR="008C21E3">
        <w:rPr>
          <w:lang w:val="en-GB"/>
        </w:rPr>
        <w:t xml:space="preserve">for the patient </w:t>
      </w:r>
      <w:r w:rsidR="00836CC5">
        <w:rPr>
          <w:lang w:val="en-GB"/>
        </w:rPr>
        <w:t>or</w:t>
      </w:r>
      <w:r w:rsidR="008C21E3">
        <w:rPr>
          <w:lang w:val="en-GB"/>
        </w:rPr>
        <w:t xml:space="preserve"> they </w:t>
      </w:r>
      <w:r w:rsidR="00FA555A">
        <w:rPr>
          <w:lang w:val="en-GB"/>
        </w:rPr>
        <w:t>do not want</w:t>
      </w:r>
      <w:r w:rsidR="00836CC5">
        <w:rPr>
          <w:lang w:val="en-GB"/>
        </w:rPr>
        <w:t xml:space="preserve"> to have these treatments</w:t>
      </w:r>
      <w:r w:rsidR="00FA555A">
        <w:rPr>
          <w:lang w:val="en-GB"/>
        </w:rPr>
        <w:t>.</w:t>
      </w:r>
      <w:r w:rsidR="00836CC5">
        <w:rPr>
          <w:lang w:val="en-GB"/>
        </w:rPr>
        <w:t xml:space="preserve"> </w:t>
      </w:r>
      <w:r w:rsidR="008C21E3">
        <w:rPr>
          <w:lang w:val="en-GB"/>
        </w:rPr>
        <w:t>Only</w:t>
      </w:r>
      <w:r w:rsidR="003906B9" w:rsidRPr="00AD1014">
        <w:rPr>
          <w:lang w:val="en-GB"/>
        </w:rPr>
        <w:t xml:space="preserve"> around 0.1% of people </w:t>
      </w:r>
      <w:r w:rsidR="0052554C">
        <w:rPr>
          <w:lang w:val="en-GB"/>
        </w:rPr>
        <w:t xml:space="preserve">who are </w:t>
      </w:r>
      <w:r w:rsidR="003906B9" w:rsidRPr="00AD1014">
        <w:rPr>
          <w:lang w:val="en-GB"/>
        </w:rPr>
        <w:t>eligible for bariatric surgery have it.</w:t>
      </w:r>
      <w:r w:rsidR="003906B9">
        <w:rPr>
          <w:lang w:val="en-GB"/>
        </w:rPr>
        <w:t xml:space="preserve"> </w:t>
      </w:r>
      <w:r w:rsidR="00584B57">
        <w:rPr>
          <w:lang w:val="en-GB"/>
        </w:rPr>
        <w:t>The committee conclude</w:t>
      </w:r>
      <w:r w:rsidR="003A5C74">
        <w:rPr>
          <w:lang w:val="en-GB"/>
        </w:rPr>
        <w:t xml:space="preserve">d that </w:t>
      </w:r>
      <w:r w:rsidR="003A5C74" w:rsidRPr="003A5C74">
        <w:rPr>
          <w:lang w:val="en-GB"/>
        </w:rPr>
        <w:t>for most people, orlistat and bariatric surgery w</w:t>
      </w:r>
      <w:r w:rsidR="000921B9">
        <w:rPr>
          <w:lang w:val="en-GB"/>
        </w:rPr>
        <w:t>ould</w:t>
      </w:r>
      <w:r w:rsidR="003A5C74" w:rsidRPr="003A5C74">
        <w:rPr>
          <w:lang w:val="en-GB"/>
        </w:rPr>
        <w:t xml:space="preserve"> not be alternatives to liraglutide</w:t>
      </w:r>
      <w:r w:rsidR="003001B3">
        <w:rPr>
          <w:lang w:val="en-GB"/>
        </w:rPr>
        <w:t xml:space="preserve"> </w:t>
      </w:r>
      <w:r w:rsidR="006648F2">
        <w:rPr>
          <w:lang w:val="en-GB"/>
        </w:rPr>
        <w:t xml:space="preserve">and that a </w:t>
      </w:r>
      <w:r w:rsidR="006648F2">
        <w:rPr>
          <w:lang w:val="en-GB"/>
        </w:rPr>
        <w:lastRenderedPageBreak/>
        <w:t>comparison with standard management without pharmacotherapy was appropriate for decision-making</w:t>
      </w:r>
      <w:r w:rsidR="003A5C74">
        <w:rPr>
          <w:lang w:val="en-GB"/>
        </w:rPr>
        <w:t>.</w:t>
      </w:r>
    </w:p>
    <w:p w14:paraId="4B11F406" w14:textId="5B9A0EFF" w:rsidR="00C43A3F" w:rsidRPr="000364D1" w:rsidRDefault="00C43A3F" w:rsidP="00A2358B">
      <w:pPr>
        <w:pStyle w:val="Heading2"/>
      </w:pPr>
      <w:r w:rsidRPr="000364D1">
        <w:t xml:space="preserve">Clinical </w:t>
      </w:r>
      <w:r w:rsidR="00942FB8">
        <w:t>e</w:t>
      </w:r>
      <w:r w:rsidRPr="000364D1">
        <w:t>vidence</w:t>
      </w:r>
    </w:p>
    <w:p w14:paraId="00F4BC5E" w14:textId="0AA4F0BD" w:rsidR="00772286" w:rsidRDefault="00344B32" w:rsidP="00772286">
      <w:pPr>
        <w:pStyle w:val="Heading3"/>
      </w:pPr>
      <w:r>
        <w:t xml:space="preserve">The evidence from a post-hoc </w:t>
      </w:r>
      <w:r w:rsidR="00485C08">
        <w:t>subgroup</w:t>
      </w:r>
      <w:r>
        <w:t xml:space="preserve"> of trial </w:t>
      </w:r>
      <w:r w:rsidR="00772286">
        <w:t xml:space="preserve">1839 </w:t>
      </w:r>
      <w:r>
        <w:t>may not be reliable</w:t>
      </w:r>
    </w:p>
    <w:p w14:paraId="275BAEE2" w14:textId="2B0D4087" w:rsidR="00E57004" w:rsidRDefault="006648F2" w:rsidP="00326D37">
      <w:pPr>
        <w:pStyle w:val="Numberedlevel2text"/>
        <w:rPr>
          <w:lang w:val="en-US"/>
        </w:rPr>
      </w:pPr>
      <w:r>
        <w:rPr>
          <w:lang w:val="en-US"/>
        </w:rPr>
        <w:t>In order to estimate the effectiveness of liraglutide in its proposed population, t</w:t>
      </w:r>
      <w:r w:rsidR="00344B32" w:rsidRPr="00344B32">
        <w:t xml:space="preserve">he </w:t>
      </w:r>
      <w:r w:rsidR="00344B32" w:rsidRPr="00326D37">
        <w:rPr>
          <w:lang w:val="en-US"/>
        </w:rPr>
        <w:t>company</w:t>
      </w:r>
      <w:r w:rsidR="00344B32" w:rsidRPr="00344B32">
        <w:t xml:space="preserve"> </w:t>
      </w:r>
      <w:r w:rsidR="00344B32" w:rsidRPr="00326D37">
        <w:rPr>
          <w:lang w:val="en-US"/>
        </w:rPr>
        <w:t>presented</w:t>
      </w:r>
      <w:r w:rsidR="00344B32" w:rsidRPr="00344B32">
        <w:t xml:space="preserve"> a post-hoc subgroup analysis </w:t>
      </w:r>
      <w:r w:rsidR="00344B32" w:rsidRPr="00326D37">
        <w:rPr>
          <w:lang w:val="en-US"/>
        </w:rPr>
        <w:t>of</w:t>
      </w:r>
      <w:r w:rsidR="00344B32" w:rsidRPr="00344B32">
        <w:t xml:space="preserve"> </w:t>
      </w:r>
      <w:r w:rsidR="00344B32" w:rsidRPr="00326D37">
        <w:rPr>
          <w:lang w:val="en-US"/>
        </w:rPr>
        <w:t>trial </w:t>
      </w:r>
      <w:r w:rsidR="00344B32" w:rsidRPr="00344B32">
        <w:t>1839</w:t>
      </w:r>
      <w:r w:rsidR="00BE207F">
        <w:rPr>
          <w:lang w:val="en-US"/>
        </w:rPr>
        <w:t>.</w:t>
      </w:r>
      <w:r w:rsidR="00CD0842">
        <w:rPr>
          <w:lang w:val="en-US"/>
        </w:rPr>
        <w:t xml:space="preserve"> </w:t>
      </w:r>
      <w:r w:rsidR="00BE207F">
        <w:rPr>
          <w:lang w:val="en-US"/>
        </w:rPr>
        <w:t>This trial</w:t>
      </w:r>
      <w:r w:rsidR="00CD0842">
        <w:rPr>
          <w:lang w:val="en-US"/>
        </w:rPr>
        <w:t xml:space="preserve"> is a</w:t>
      </w:r>
      <w:r w:rsidR="00344B32" w:rsidRPr="00344B32">
        <w:t xml:space="preserve"> randomised double-blind </w:t>
      </w:r>
      <w:r w:rsidR="00CD0842">
        <w:rPr>
          <w:lang w:val="en-US"/>
        </w:rPr>
        <w:t>trial of</w:t>
      </w:r>
      <w:r w:rsidR="00344B32" w:rsidRPr="00344B32">
        <w:t xml:space="preserve"> liraglutide </w:t>
      </w:r>
      <w:r w:rsidR="00CD0842">
        <w:rPr>
          <w:lang w:val="en-US"/>
        </w:rPr>
        <w:t xml:space="preserve">or placebo </w:t>
      </w:r>
      <w:r w:rsidR="006047BD">
        <w:rPr>
          <w:lang w:val="en-US"/>
        </w:rPr>
        <w:t xml:space="preserve">both used together </w:t>
      </w:r>
      <w:r w:rsidR="00CD0842">
        <w:rPr>
          <w:lang w:val="en-US"/>
        </w:rPr>
        <w:t>with</w:t>
      </w:r>
      <w:r w:rsidR="00344B32" w:rsidRPr="00344B32">
        <w:t xml:space="preserve"> diet and exercise. </w:t>
      </w:r>
      <w:r w:rsidR="0044691B">
        <w:rPr>
          <w:lang w:val="en-US"/>
        </w:rPr>
        <w:t>The trial</w:t>
      </w:r>
      <w:r w:rsidR="00344B32" w:rsidRPr="00344B32">
        <w:t xml:space="preserve"> included 3,721 people with and without pre-diabetes. Pre-diabetes was a pre-defined subgroup </w:t>
      </w:r>
      <w:r w:rsidR="0035083E">
        <w:rPr>
          <w:lang w:val="en-US"/>
        </w:rPr>
        <w:t>that</w:t>
      </w:r>
      <w:r w:rsidR="0035083E" w:rsidRPr="00344B32">
        <w:t xml:space="preserve"> </w:t>
      </w:r>
      <w:r w:rsidR="00344B32" w:rsidRPr="00344B32">
        <w:t xml:space="preserve">included 2,254 people who were followed up for 3 years. The </w:t>
      </w:r>
      <w:r w:rsidR="0044691B">
        <w:rPr>
          <w:lang w:val="en-US"/>
        </w:rPr>
        <w:t>company’s</w:t>
      </w:r>
      <w:r w:rsidR="00344B32" w:rsidRPr="00344B32">
        <w:t xml:space="preserve"> post-hoc subgroup </w:t>
      </w:r>
      <w:r w:rsidR="0044691B">
        <w:rPr>
          <w:lang w:val="en-US"/>
        </w:rPr>
        <w:t>came from this</w:t>
      </w:r>
      <w:r w:rsidR="00344B32" w:rsidRPr="00344B32">
        <w:t xml:space="preserve"> pre-defined pre-diabetes subgroup</w:t>
      </w:r>
      <w:r w:rsidR="00344B32" w:rsidRPr="00326D37">
        <w:rPr>
          <w:lang w:val="en-US"/>
        </w:rPr>
        <w:t>.</w:t>
      </w:r>
      <w:r w:rsidR="00344B32" w:rsidRPr="00344B32">
        <w:t xml:space="preserve"> </w:t>
      </w:r>
      <w:r w:rsidR="0044691B">
        <w:rPr>
          <w:lang w:val="en-US"/>
        </w:rPr>
        <w:t>It</w:t>
      </w:r>
      <w:r w:rsidR="00344B32" w:rsidRPr="00344B32">
        <w:t xml:space="preserve"> included 800 people with a body mass index </w:t>
      </w:r>
      <w:r w:rsidR="00344B32" w:rsidRPr="00326D37">
        <w:rPr>
          <w:lang w:val="en-US"/>
        </w:rPr>
        <w:t>(</w:t>
      </w:r>
      <w:r w:rsidR="00344B32" w:rsidRPr="00344B32">
        <w:t>BMI</w:t>
      </w:r>
      <w:r w:rsidR="00344B32" w:rsidRPr="00326D37">
        <w:rPr>
          <w:lang w:val="en-US"/>
        </w:rPr>
        <w:t>)</w:t>
      </w:r>
      <w:r w:rsidR="00344B32" w:rsidRPr="00344B32">
        <w:t xml:space="preserve"> </w:t>
      </w:r>
      <w:r w:rsidR="00344B32" w:rsidRPr="00326D37">
        <w:rPr>
          <w:lang w:val="en-US"/>
        </w:rPr>
        <w:t xml:space="preserve">of </w:t>
      </w:r>
      <w:r w:rsidR="00344B32" w:rsidRPr="00344B32">
        <w:t>35</w:t>
      </w:r>
      <w:r w:rsidR="00F90C0F">
        <w:rPr>
          <w:lang w:val="en-US"/>
        </w:rPr>
        <w:t> </w:t>
      </w:r>
      <w:r w:rsidR="00344B32" w:rsidRPr="00344B32">
        <w:t>kg/m</w:t>
      </w:r>
      <w:r w:rsidR="00344B32" w:rsidRPr="00485C08">
        <w:rPr>
          <w:vertAlign w:val="superscript"/>
        </w:rPr>
        <w:t>2</w:t>
      </w:r>
      <w:r w:rsidR="00344B32" w:rsidRPr="00326D37">
        <w:rPr>
          <w:lang w:val="en-US"/>
        </w:rPr>
        <w:t xml:space="preserve"> or more</w:t>
      </w:r>
      <w:r w:rsidR="00344B32" w:rsidRPr="00344B32">
        <w:t xml:space="preserve">, </w:t>
      </w:r>
      <w:r w:rsidR="00344B32" w:rsidRPr="00326D37">
        <w:rPr>
          <w:lang w:val="en-US"/>
        </w:rPr>
        <w:t xml:space="preserve">with </w:t>
      </w:r>
      <w:r w:rsidR="00344B32" w:rsidRPr="00344B32">
        <w:t xml:space="preserve">pre-diabetes (defined as a haemoglobin A1c </w:t>
      </w:r>
      <w:r w:rsidR="00344B32" w:rsidRPr="00326D37">
        <w:rPr>
          <w:lang w:val="en-US"/>
        </w:rPr>
        <w:t>[</w:t>
      </w:r>
      <w:r w:rsidR="00344B32" w:rsidRPr="00344B32">
        <w:t>HbA1c</w:t>
      </w:r>
      <w:r w:rsidR="00344B32" w:rsidRPr="00326D37">
        <w:rPr>
          <w:lang w:val="en-US"/>
        </w:rPr>
        <w:t>]</w:t>
      </w:r>
      <w:r w:rsidR="00344B32" w:rsidRPr="00344B32">
        <w:t xml:space="preserve"> level of 42 to 47</w:t>
      </w:r>
      <w:r w:rsidR="00F90C0F">
        <w:rPr>
          <w:lang w:val="en-US"/>
        </w:rPr>
        <w:t> </w:t>
      </w:r>
      <w:r w:rsidR="00344B32" w:rsidRPr="00344B32">
        <w:t>mmol/mol [6.0 to 6.4%] or a fasting plasma glucose level of 5.5 to 6.9</w:t>
      </w:r>
      <w:r w:rsidR="00F90C0F">
        <w:rPr>
          <w:lang w:val="en-US"/>
        </w:rPr>
        <w:t> </w:t>
      </w:r>
      <w:r w:rsidR="00344B32" w:rsidRPr="00344B32">
        <w:t xml:space="preserve">mmol/L), and a high risk of cardiovascular disease </w:t>
      </w:r>
      <w:r w:rsidR="00344B32" w:rsidRPr="00326D37">
        <w:rPr>
          <w:lang w:val="en-US"/>
        </w:rPr>
        <w:t>(</w:t>
      </w:r>
      <w:r w:rsidR="00344B32" w:rsidRPr="00344B32">
        <w:t xml:space="preserve">defined as a total cholesterol </w:t>
      </w:r>
      <w:r w:rsidR="00344B32" w:rsidRPr="00326D37">
        <w:rPr>
          <w:lang w:val="en-US"/>
        </w:rPr>
        <w:t xml:space="preserve">level of more than </w:t>
      </w:r>
      <w:r w:rsidR="00344B32" w:rsidRPr="00344B32">
        <w:t>5</w:t>
      </w:r>
      <w:r w:rsidR="00F90C0F">
        <w:rPr>
          <w:lang w:val="en-US"/>
        </w:rPr>
        <w:t> </w:t>
      </w:r>
      <w:r w:rsidR="00344B32" w:rsidRPr="00344B32">
        <w:t>mmol/L, or systolic blood pressure</w:t>
      </w:r>
      <w:r w:rsidR="00E05354">
        <w:rPr>
          <w:lang w:val="en-GB"/>
        </w:rPr>
        <w:t xml:space="preserve"> (SBP)</w:t>
      </w:r>
      <w:r w:rsidR="00344B32" w:rsidRPr="00344B32">
        <w:t xml:space="preserve"> </w:t>
      </w:r>
      <w:r w:rsidR="00344B32" w:rsidRPr="00326D37">
        <w:rPr>
          <w:lang w:val="en-US"/>
        </w:rPr>
        <w:t xml:space="preserve">of more than </w:t>
      </w:r>
      <w:r w:rsidR="00344B32" w:rsidRPr="00344B32">
        <w:t xml:space="preserve">140 mmHg, or </w:t>
      </w:r>
      <w:r w:rsidR="00344B32" w:rsidRPr="00326D37">
        <w:rPr>
          <w:lang w:val="en-US"/>
        </w:rPr>
        <w:t xml:space="preserve">a </w:t>
      </w:r>
      <w:bookmarkStart w:id="1" w:name="_Hlk27983052"/>
      <w:r w:rsidR="00344B32" w:rsidRPr="00344B32">
        <w:t>high-density lipoprotein</w:t>
      </w:r>
      <w:r w:rsidR="00E05354">
        <w:rPr>
          <w:lang w:val="en-GB"/>
        </w:rPr>
        <w:t xml:space="preserve"> (HDL)</w:t>
      </w:r>
      <w:r w:rsidR="00344B32" w:rsidRPr="00344B32">
        <w:t xml:space="preserve"> </w:t>
      </w:r>
      <w:bookmarkEnd w:id="1"/>
      <w:r w:rsidR="00344B32" w:rsidRPr="00326D37">
        <w:rPr>
          <w:lang w:val="en-US"/>
        </w:rPr>
        <w:t xml:space="preserve">level of less than </w:t>
      </w:r>
      <w:r w:rsidR="00344B32" w:rsidRPr="00344B32">
        <w:t>1.0</w:t>
      </w:r>
      <w:r w:rsidR="00F90C0F">
        <w:rPr>
          <w:lang w:val="en-US"/>
        </w:rPr>
        <w:t> </w:t>
      </w:r>
      <w:r w:rsidR="00344B32" w:rsidRPr="00344B32">
        <w:t xml:space="preserve">mmol/L for men and </w:t>
      </w:r>
      <w:r w:rsidR="00344B32" w:rsidRPr="00326D37">
        <w:rPr>
          <w:lang w:val="en-US"/>
        </w:rPr>
        <w:t xml:space="preserve">less than </w:t>
      </w:r>
      <w:r w:rsidR="00344B32" w:rsidRPr="00344B32">
        <w:t>1.3</w:t>
      </w:r>
      <w:r w:rsidR="00F90C0F">
        <w:rPr>
          <w:lang w:val="en-US"/>
        </w:rPr>
        <w:t> </w:t>
      </w:r>
      <w:r w:rsidR="00344B32" w:rsidRPr="00344B32">
        <w:t>mmol/L for women</w:t>
      </w:r>
      <w:r w:rsidR="00344B32" w:rsidRPr="00326D37">
        <w:rPr>
          <w:lang w:val="en-US"/>
        </w:rPr>
        <w:t>)</w:t>
      </w:r>
      <w:r w:rsidR="00344B32" w:rsidRPr="00344B32">
        <w:t>.</w:t>
      </w:r>
      <w:r w:rsidR="00344B32" w:rsidRPr="00326D37">
        <w:rPr>
          <w:lang w:val="en-US"/>
        </w:rPr>
        <w:t xml:space="preserve"> Weight-related outcomes (BMI and percentage weight loss) significantly </w:t>
      </w:r>
      <w:proofErr w:type="spellStart"/>
      <w:r w:rsidR="00344B32" w:rsidRPr="00326D37">
        <w:rPr>
          <w:lang w:val="en-US"/>
        </w:rPr>
        <w:t>favoured</w:t>
      </w:r>
      <w:proofErr w:type="spellEnd"/>
      <w:r w:rsidR="00344B32" w:rsidRPr="00326D37">
        <w:rPr>
          <w:lang w:val="en-US"/>
        </w:rPr>
        <w:t xml:space="preserve"> liraglutide when compared with placebo. </w:t>
      </w:r>
      <w:r w:rsidR="0044691B">
        <w:rPr>
          <w:lang w:val="en-US"/>
        </w:rPr>
        <w:t>There</w:t>
      </w:r>
      <w:r w:rsidR="00344B32" w:rsidRPr="00326D37">
        <w:rPr>
          <w:lang w:val="en-US"/>
        </w:rPr>
        <w:t xml:space="preserve"> were significantly fewer confirmed type 2 diabetes cases with liraglutide than with placebo, and more patients became </w:t>
      </w:r>
      <w:proofErr w:type="spellStart"/>
      <w:r w:rsidR="00344B32" w:rsidRPr="00326D37">
        <w:rPr>
          <w:lang w:val="en-US"/>
        </w:rPr>
        <w:t>normoglycaemic</w:t>
      </w:r>
      <w:proofErr w:type="spellEnd"/>
      <w:r w:rsidR="00344B32" w:rsidRPr="00326D37">
        <w:rPr>
          <w:lang w:val="en-US"/>
        </w:rPr>
        <w:t xml:space="preserve"> on liraglutide than on placebo. </w:t>
      </w:r>
      <w:r w:rsidR="00326D37" w:rsidRPr="00326D37">
        <w:rPr>
          <w:lang w:val="en-US"/>
        </w:rPr>
        <w:t xml:space="preserve">The committee considered that the trial was of good quality. The post-hoc subgroup population was </w:t>
      </w:r>
      <w:proofErr w:type="gramStart"/>
      <w:r w:rsidR="00326D37" w:rsidRPr="00326D37">
        <w:rPr>
          <w:lang w:val="en-US"/>
        </w:rPr>
        <w:t>identifiable</w:t>
      </w:r>
      <w:r w:rsidR="0044691B">
        <w:rPr>
          <w:lang w:val="en-US"/>
        </w:rPr>
        <w:t>,</w:t>
      </w:r>
      <w:proofErr w:type="gramEnd"/>
      <w:r w:rsidR="00326D37" w:rsidRPr="00326D37">
        <w:rPr>
          <w:lang w:val="en-US"/>
        </w:rPr>
        <w:t xml:space="preserve"> in that it represented a high-risk population </w:t>
      </w:r>
      <w:r w:rsidR="0044691B">
        <w:rPr>
          <w:lang w:val="en-US"/>
        </w:rPr>
        <w:t>of people who were</w:t>
      </w:r>
      <w:r w:rsidR="0044691B" w:rsidRPr="00326D37">
        <w:rPr>
          <w:lang w:val="en-US"/>
        </w:rPr>
        <w:t xml:space="preserve"> </w:t>
      </w:r>
      <w:r w:rsidR="00326D37" w:rsidRPr="00326D37">
        <w:rPr>
          <w:lang w:val="en-US"/>
        </w:rPr>
        <w:t xml:space="preserve">likely to have </w:t>
      </w:r>
      <w:r w:rsidR="0044691B">
        <w:rPr>
          <w:lang w:val="en-US"/>
        </w:rPr>
        <w:t xml:space="preserve">had </w:t>
      </w:r>
      <w:r w:rsidR="00326D37" w:rsidRPr="00326D37">
        <w:rPr>
          <w:lang w:val="en-US"/>
        </w:rPr>
        <w:t xml:space="preserve">a higher absolute benefit from liraglutide. However, the committee had reservations about the use of data from a post-hoc subgroup </w:t>
      </w:r>
      <w:r w:rsidR="0044691B">
        <w:rPr>
          <w:lang w:val="en-US"/>
        </w:rPr>
        <w:t>that</w:t>
      </w:r>
      <w:r w:rsidR="0044691B" w:rsidRPr="00326D37">
        <w:rPr>
          <w:lang w:val="en-US"/>
        </w:rPr>
        <w:t xml:space="preserve"> </w:t>
      </w:r>
      <w:r w:rsidR="00326D37" w:rsidRPr="00326D37">
        <w:rPr>
          <w:lang w:val="en-US"/>
        </w:rPr>
        <w:t>would be associated with more uncertainty than the larger pre-defined pre-diabetes trial population.</w:t>
      </w:r>
    </w:p>
    <w:p w14:paraId="7349EAF5" w14:textId="77777777" w:rsidR="004060A1" w:rsidRDefault="004060A1" w:rsidP="004060A1">
      <w:pPr>
        <w:pStyle w:val="Heading3"/>
        <w:rPr>
          <w:lang w:val="en-US"/>
        </w:rPr>
      </w:pPr>
      <w:r>
        <w:rPr>
          <w:lang w:val="en-US"/>
        </w:rPr>
        <w:lastRenderedPageBreak/>
        <w:t>The evidence for clinical effectiveness should have come from the full pre-defined trial population</w:t>
      </w:r>
    </w:p>
    <w:p w14:paraId="572CF899" w14:textId="7B76C129" w:rsidR="004060A1" w:rsidRPr="00290E1B" w:rsidRDefault="004060A1" w:rsidP="00290E1B">
      <w:pPr>
        <w:pStyle w:val="Numberedlevel2text"/>
        <w:rPr>
          <w:lang w:val="en-US"/>
        </w:rPr>
      </w:pPr>
      <w:r w:rsidRPr="00A720F8">
        <w:t xml:space="preserve">The committee had concerns over the use of post-hoc subgroup data for clinical effectiveness in the </w:t>
      </w:r>
      <w:r>
        <w:rPr>
          <w:lang w:val="en-US"/>
        </w:rPr>
        <w:t xml:space="preserve">company’s </w:t>
      </w:r>
      <w:r w:rsidRPr="00A720F8">
        <w:t xml:space="preserve">model. </w:t>
      </w:r>
      <w:r>
        <w:rPr>
          <w:lang w:val="en-US"/>
        </w:rPr>
        <w:t>It</w:t>
      </w:r>
      <w:r w:rsidRPr="00A720F8">
        <w:t xml:space="preserve"> agreed that the post-hoc subgroup population was appropriate for consideration in that it represented a high-risk population </w:t>
      </w:r>
      <w:r>
        <w:rPr>
          <w:lang w:val="en-US"/>
        </w:rPr>
        <w:t>of people who were</w:t>
      </w:r>
      <w:r w:rsidRPr="00A720F8">
        <w:t xml:space="preserve"> more likely to </w:t>
      </w:r>
      <w:r>
        <w:rPr>
          <w:lang w:val="en-US"/>
        </w:rPr>
        <w:t>get</w:t>
      </w:r>
      <w:r w:rsidRPr="00A720F8">
        <w:t xml:space="preserve"> an absolute benefit from liraglutide than people who do not meet the</w:t>
      </w:r>
      <w:r>
        <w:rPr>
          <w:lang w:val="en-US"/>
        </w:rPr>
        <w:t xml:space="preserve"> defined</w:t>
      </w:r>
      <w:r w:rsidRPr="00A720F8">
        <w:t xml:space="preserve"> criteria. </w:t>
      </w:r>
      <w:r>
        <w:rPr>
          <w:lang w:val="en-US"/>
        </w:rPr>
        <w:t xml:space="preserve">But it was concerned that the post-hoc subgroup may have compromised </w:t>
      </w:r>
      <w:r w:rsidRPr="008B3F28">
        <w:rPr>
          <w:lang w:val="en-GB"/>
        </w:rPr>
        <w:t>randomisation</w:t>
      </w:r>
      <w:r>
        <w:rPr>
          <w:lang w:val="en-US"/>
        </w:rPr>
        <w:t>.</w:t>
      </w:r>
      <w:r w:rsidRPr="00A720F8">
        <w:t xml:space="preserve"> </w:t>
      </w:r>
      <w:r>
        <w:rPr>
          <w:lang w:val="en-US"/>
        </w:rPr>
        <w:t>The</w:t>
      </w:r>
      <w:r w:rsidRPr="00A720F8">
        <w:t xml:space="preserve"> committee </w:t>
      </w:r>
      <w:r>
        <w:rPr>
          <w:lang w:val="en-US"/>
        </w:rPr>
        <w:t>concluded</w:t>
      </w:r>
      <w:r w:rsidRPr="00A720F8">
        <w:t xml:space="preserve"> that the relative clinical effectiveness </w:t>
      </w:r>
      <w:r>
        <w:rPr>
          <w:lang w:val="en-US"/>
        </w:rPr>
        <w:t>of</w:t>
      </w:r>
      <w:r w:rsidRPr="00A720F8">
        <w:t xml:space="preserve"> liraglutide should have been estimated from the whole pre-diabetes population in the trial </w:t>
      </w:r>
      <w:r>
        <w:rPr>
          <w:lang w:val="en-US"/>
        </w:rPr>
        <w:t>because</w:t>
      </w:r>
      <w:r w:rsidRPr="00A720F8">
        <w:t xml:space="preserve"> this was larger, pre-specified and associated with less uncertainty than </w:t>
      </w:r>
      <w:r>
        <w:rPr>
          <w:lang w:val="en-US"/>
        </w:rPr>
        <w:t>the</w:t>
      </w:r>
      <w:r w:rsidRPr="00A720F8">
        <w:t xml:space="preserve"> smaller post-hoc subgroup.</w:t>
      </w:r>
    </w:p>
    <w:p w14:paraId="6155A83D" w14:textId="46E686AE" w:rsidR="00C01C45" w:rsidRDefault="00485C08" w:rsidP="00C01C45">
      <w:pPr>
        <w:pStyle w:val="Heading3"/>
        <w:rPr>
          <w:lang w:val="en-US"/>
        </w:rPr>
      </w:pPr>
      <w:r>
        <w:rPr>
          <w:lang w:val="en-US"/>
        </w:rPr>
        <w:t>Cardiovascular benefits were based on surrogate outcomes</w:t>
      </w:r>
      <w:r w:rsidR="00B96634">
        <w:rPr>
          <w:lang w:val="en-US"/>
        </w:rPr>
        <w:t xml:space="preserve"> and are therefore subject to uncertainty</w:t>
      </w:r>
    </w:p>
    <w:p w14:paraId="5C8A7811" w14:textId="4AA9EB08" w:rsidR="00014527" w:rsidRPr="001A129F" w:rsidRDefault="00836CC5" w:rsidP="003C3267">
      <w:pPr>
        <w:pStyle w:val="Numberedlevel2text"/>
        <w:rPr>
          <w:lang w:val="en-US"/>
        </w:rPr>
      </w:pPr>
      <w:r w:rsidRPr="00836CC5">
        <w:rPr>
          <w:lang w:val="en-GB"/>
        </w:rPr>
        <w:t xml:space="preserve">The committee considered the evidence from </w:t>
      </w:r>
      <w:r w:rsidR="00BA23AD">
        <w:rPr>
          <w:lang w:val="en-GB"/>
        </w:rPr>
        <w:t>trial </w:t>
      </w:r>
      <w:r w:rsidRPr="00836CC5">
        <w:rPr>
          <w:lang w:val="en-GB"/>
        </w:rPr>
        <w:t>1839</w:t>
      </w:r>
      <w:r w:rsidR="00C01C45">
        <w:rPr>
          <w:lang w:val="en-GB"/>
        </w:rPr>
        <w:t>,</w:t>
      </w:r>
      <w:r w:rsidRPr="00836CC5">
        <w:rPr>
          <w:lang w:val="en-GB"/>
        </w:rPr>
        <w:t xml:space="preserve"> which did not show a significant reduction in cardiovascular outcomes</w:t>
      </w:r>
      <w:r>
        <w:rPr>
          <w:lang w:val="en-GB"/>
        </w:rPr>
        <w:t xml:space="preserve"> in people </w:t>
      </w:r>
      <w:r w:rsidR="00A720F8">
        <w:rPr>
          <w:lang w:val="en-GB"/>
        </w:rPr>
        <w:t xml:space="preserve">having </w:t>
      </w:r>
      <w:r>
        <w:rPr>
          <w:lang w:val="en-GB"/>
        </w:rPr>
        <w:t>liraglutide compared with placebo</w:t>
      </w:r>
      <w:r w:rsidRPr="00836CC5">
        <w:rPr>
          <w:lang w:val="en-GB"/>
        </w:rPr>
        <w:t xml:space="preserve">. </w:t>
      </w:r>
      <w:r w:rsidR="00A720F8">
        <w:rPr>
          <w:lang w:val="en-GB"/>
        </w:rPr>
        <w:t>It</w:t>
      </w:r>
      <w:r w:rsidR="00C85A4B">
        <w:rPr>
          <w:lang w:val="en-GB"/>
        </w:rPr>
        <w:t xml:space="preserve"> </w:t>
      </w:r>
      <w:r w:rsidR="00E53A98">
        <w:rPr>
          <w:lang w:val="en-GB"/>
        </w:rPr>
        <w:t xml:space="preserve">noted the small number of significant cardiovascular events in the trial. </w:t>
      </w:r>
      <w:r w:rsidR="00A720F8">
        <w:rPr>
          <w:lang w:val="en-GB"/>
        </w:rPr>
        <w:t xml:space="preserve">The </w:t>
      </w:r>
      <w:r w:rsidR="00E53A98">
        <w:rPr>
          <w:lang w:val="en-GB"/>
        </w:rPr>
        <w:t xml:space="preserve">average age of the population was 48, in whom the baseline cardiovascular risk would not be particularly high. </w:t>
      </w:r>
      <w:r w:rsidR="00A720F8">
        <w:rPr>
          <w:lang w:val="en-GB"/>
        </w:rPr>
        <w:t xml:space="preserve">The </w:t>
      </w:r>
      <w:r w:rsidR="00E53A98">
        <w:rPr>
          <w:lang w:val="en-GB"/>
        </w:rPr>
        <w:t>company had indicated that weight gain stops at around age</w:t>
      </w:r>
      <w:r w:rsidR="00AE530F">
        <w:rPr>
          <w:lang w:val="en-GB"/>
        </w:rPr>
        <w:t> </w:t>
      </w:r>
      <w:r w:rsidR="00E53A98">
        <w:rPr>
          <w:lang w:val="en-GB"/>
        </w:rPr>
        <w:t xml:space="preserve">67 </w:t>
      </w:r>
      <w:r w:rsidR="00BC7920">
        <w:rPr>
          <w:lang w:val="en-GB"/>
        </w:rPr>
        <w:t>because of</w:t>
      </w:r>
      <w:r w:rsidR="00E53A98">
        <w:rPr>
          <w:lang w:val="en-GB"/>
        </w:rPr>
        <w:t xml:space="preserve"> loss of muscle mass, and therefore the average age of patients in the trial</w:t>
      </w:r>
      <w:r w:rsidR="00E46CC2">
        <w:rPr>
          <w:lang w:val="en-GB"/>
        </w:rPr>
        <w:t xml:space="preserve"> </w:t>
      </w:r>
      <w:r w:rsidR="00E53A98">
        <w:rPr>
          <w:lang w:val="en-GB"/>
        </w:rPr>
        <w:t>was not an unreasonable estimate of those who might be offered l</w:t>
      </w:r>
      <w:r w:rsidR="007F2C53">
        <w:rPr>
          <w:lang w:val="en-GB"/>
        </w:rPr>
        <w:t>i</w:t>
      </w:r>
      <w:r w:rsidR="00E53A98">
        <w:rPr>
          <w:lang w:val="en-GB"/>
        </w:rPr>
        <w:t xml:space="preserve">raglutide in clinical practice. </w:t>
      </w:r>
      <w:r w:rsidR="00763EE3">
        <w:rPr>
          <w:lang w:val="en-GB"/>
        </w:rPr>
        <w:t>The</w:t>
      </w:r>
      <w:r w:rsidR="00E46CC2">
        <w:rPr>
          <w:lang w:val="en-GB"/>
        </w:rPr>
        <w:t xml:space="preserve"> </w:t>
      </w:r>
      <w:r w:rsidR="00763EE3">
        <w:rPr>
          <w:lang w:val="en-GB"/>
        </w:rPr>
        <w:t xml:space="preserve">company included </w:t>
      </w:r>
      <w:r w:rsidR="00E46CC2">
        <w:rPr>
          <w:lang w:val="en-GB"/>
        </w:rPr>
        <w:t xml:space="preserve">a </w:t>
      </w:r>
      <w:r w:rsidR="00763EE3">
        <w:rPr>
          <w:lang w:val="en-GB"/>
        </w:rPr>
        <w:t>cardiovascular benefit of liraglutide in their model based on cardiovascular risk reduction through surrogate outcomes such as HbA1c and blood pressure</w:t>
      </w:r>
      <w:r w:rsidRPr="00836CC5">
        <w:rPr>
          <w:lang w:val="en-GB"/>
        </w:rPr>
        <w:t>.</w:t>
      </w:r>
      <w:r w:rsidR="00B96634">
        <w:rPr>
          <w:lang w:val="en-GB"/>
        </w:rPr>
        <w:t xml:space="preserve"> The committee concluded that the estimation of any reduction in cardiovascular events would be subject to uncertainty</w:t>
      </w:r>
      <w:r w:rsidR="002800B5">
        <w:rPr>
          <w:lang w:val="en-GB"/>
        </w:rPr>
        <w:t xml:space="preserve"> because they would rely on</w:t>
      </w:r>
      <w:r w:rsidR="009E2B00">
        <w:rPr>
          <w:lang w:val="en-GB"/>
        </w:rPr>
        <w:t xml:space="preserve"> an estimation of the relationship between the surrogate and the clinical event</w:t>
      </w:r>
      <w:r w:rsidR="00B96634">
        <w:rPr>
          <w:lang w:val="en-GB"/>
        </w:rPr>
        <w:t xml:space="preserve">. </w:t>
      </w:r>
    </w:p>
    <w:p w14:paraId="625E60D8" w14:textId="25A2444E" w:rsidR="00DD4236" w:rsidRDefault="00854F22" w:rsidP="00643582">
      <w:pPr>
        <w:pStyle w:val="Heading2"/>
      </w:pPr>
      <w:r>
        <w:lastRenderedPageBreak/>
        <w:t>Duration of treatment</w:t>
      </w:r>
    </w:p>
    <w:p w14:paraId="65B1FECF" w14:textId="3AE4BC59" w:rsidR="00014527" w:rsidRDefault="00014527" w:rsidP="00014527">
      <w:pPr>
        <w:pStyle w:val="Heading3"/>
      </w:pPr>
      <w:r>
        <w:t xml:space="preserve">Treatment for obesity is likely to be recurrent or </w:t>
      </w:r>
      <w:r w:rsidR="003C697D">
        <w:t>continued beyond 2 years</w:t>
      </w:r>
    </w:p>
    <w:p w14:paraId="5D23321C" w14:textId="4EC4F97E" w:rsidR="00014527" w:rsidRPr="00A37277" w:rsidRDefault="00014527" w:rsidP="00014527">
      <w:pPr>
        <w:pStyle w:val="Numberedlevel2text"/>
      </w:pPr>
      <w:r>
        <w:rPr>
          <w:lang w:val="en-GB"/>
        </w:rPr>
        <w:t>The committee considered that for long-term conditions</w:t>
      </w:r>
      <w:r w:rsidR="003C697D">
        <w:rPr>
          <w:lang w:val="en-GB"/>
        </w:rPr>
        <w:t>,</w:t>
      </w:r>
      <w:r>
        <w:rPr>
          <w:lang w:val="en-GB"/>
        </w:rPr>
        <w:t xml:space="preserve"> such as hypertension and diabetes</w:t>
      </w:r>
      <w:r w:rsidR="001254FF">
        <w:rPr>
          <w:lang w:val="en-GB"/>
        </w:rPr>
        <w:t>,</w:t>
      </w:r>
      <w:r>
        <w:rPr>
          <w:lang w:val="en-GB"/>
        </w:rPr>
        <w:t xml:space="preserve"> treatment is on</w:t>
      </w:r>
      <w:r w:rsidR="00942FB8">
        <w:rPr>
          <w:lang w:val="en-GB"/>
        </w:rPr>
        <w:t>going</w:t>
      </w:r>
      <w:r>
        <w:rPr>
          <w:lang w:val="en-GB"/>
        </w:rPr>
        <w:t xml:space="preserve">. </w:t>
      </w:r>
      <w:r w:rsidR="003C697D">
        <w:rPr>
          <w:lang w:val="en-GB"/>
        </w:rPr>
        <w:t xml:space="preserve">Because </w:t>
      </w:r>
      <w:r>
        <w:rPr>
          <w:lang w:val="en-GB"/>
        </w:rPr>
        <w:t>obesity is a long-term condition</w:t>
      </w:r>
      <w:r w:rsidR="003C697D">
        <w:rPr>
          <w:lang w:val="en-GB"/>
        </w:rPr>
        <w:t>,</w:t>
      </w:r>
      <w:r>
        <w:rPr>
          <w:lang w:val="en-GB"/>
        </w:rPr>
        <w:t xml:space="preserve"> the committee sought justification for why the company </w:t>
      </w:r>
      <w:r w:rsidR="001254FF">
        <w:rPr>
          <w:lang w:val="en-GB"/>
        </w:rPr>
        <w:t xml:space="preserve">proposed </w:t>
      </w:r>
      <w:r w:rsidRPr="00F37C31">
        <w:rPr>
          <w:szCs w:val="24"/>
        </w:rPr>
        <w:t xml:space="preserve">that all patients </w:t>
      </w:r>
      <w:r w:rsidR="001254FF">
        <w:rPr>
          <w:szCs w:val="24"/>
          <w:lang w:val="en-GB"/>
        </w:rPr>
        <w:t xml:space="preserve">who </w:t>
      </w:r>
      <w:r w:rsidR="003C697D">
        <w:rPr>
          <w:szCs w:val="24"/>
          <w:lang w:val="en-GB"/>
        </w:rPr>
        <w:t xml:space="preserve">have </w:t>
      </w:r>
      <w:r w:rsidR="001254FF">
        <w:rPr>
          <w:szCs w:val="24"/>
          <w:lang w:val="en-GB"/>
        </w:rPr>
        <w:t xml:space="preserve">an initial weight loss of more than 5% </w:t>
      </w:r>
      <w:r w:rsidR="009A0D7B">
        <w:rPr>
          <w:szCs w:val="24"/>
          <w:lang w:val="en-GB"/>
        </w:rPr>
        <w:t xml:space="preserve">would </w:t>
      </w:r>
      <w:r w:rsidRPr="00F37C31">
        <w:rPr>
          <w:szCs w:val="24"/>
        </w:rPr>
        <w:t>stop treatment at 2</w:t>
      </w:r>
      <w:r w:rsidR="00C73DBC">
        <w:rPr>
          <w:szCs w:val="24"/>
          <w:lang w:val="en-US"/>
        </w:rPr>
        <w:t> </w:t>
      </w:r>
      <w:r w:rsidRPr="00F37C31">
        <w:rPr>
          <w:szCs w:val="24"/>
        </w:rPr>
        <w:t>years</w:t>
      </w:r>
      <w:r>
        <w:rPr>
          <w:szCs w:val="24"/>
          <w:lang w:val="en-US"/>
        </w:rPr>
        <w:t xml:space="preserve">. The </w:t>
      </w:r>
      <w:r>
        <w:rPr>
          <w:lang w:val="en-GB"/>
        </w:rPr>
        <w:t xml:space="preserve">clinical experts explained that people who </w:t>
      </w:r>
      <w:r w:rsidR="009A0D7B">
        <w:rPr>
          <w:lang w:val="en-GB"/>
        </w:rPr>
        <w:t>have lost weight</w:t>
      </w:r>
      <w:r>
        <w:rPr>
          <w:lang w:val="en-GB"/>
        </w:rPr>
        <w:t xml:space="preserve"> </w:t>
      </w:r>
      <w:r w:rsidR="00A16593">
        <w:rPr>
          <w:lang w:val="en-GB"/>
        </w:rPr>
        <w:t xml:space="preserve">are </w:t>
      </w:r>
      <w:r>
        <w:rPr>
          <w:lang w:val="en-GB"/>
        </w:rPr>
        <w:t xml:space="preserve">likely to </w:t>
      </w:r>
      <w:r w:rsidR="00A16593">
        <w:rPr>
          <w:lang w:val="en-GB"/>
        </w:rPr>
        <w:t xml:space="preserve">want </w:t>
      </w:r>
      <w:r w:rsidR="001254FF">
        <w:rPr>
          <w:lang w:val="en-GB"/>
        </w:rPr>
        <w:t xml:space="preserve">to </w:t>
      </w:r>
      <w:r>
        <w:rPr>
          <w:lang w:val="en-GB"/>
        </w:rPr>
        <w:t xml:space="preserve">continue taking </w:t>
      </w:r>
      <w:r w:rsidR="00A16593">
        <w:rPr>
          <w:lang w:val="en-GB"/>
        </w:rPr>
        <w:t xml:space="preserve">the </w:t>
      </w:r>
      <w:r>
        <w:rPr>
          <w:lang w:val="en-GB"/>
        </w:rPr>
        <w:t xml:space="preserve">treatment. This was confirmed by the patient expert. The clinical experts also explained that </w:t>
      </w:r>
      <w:r w:rsidR="00BC7920">
        <w:rPr>
          <w:lang w:val="en-GB"/>
        </w:rPr>
        <w:t xml:space="preserve">people </w:t>
      </w:r>
      <w:r>
        <w:rPr>
          <w:lang w:val="en-GB"/>
        </w:rPr>
        <w:t xml:space="preserve">who </w:t>
      </w:r>
      <w:r w:rsidR="00BC7920">
        <w:rPr>
          <w:lang w:val="en-GB"/>
        </w:rPr>
        <w:t xml:space="preserve">experience side </w:t>
      </w:r>
      <w:r>
        <w:rPr>
          <w:lang w:val="en-GB"/>
        </w:rPr>
        <w:t xml:space="preserve">effects with minimal weight loss </w:t>
      </w:r>
      <w:r w:rsidR="00BC7920">
        <w:rPr>
          <w:lang w:val="en-GB"/>
        </w:rPr>
        <w:t xml:space="preserve">are </w:t>
      </w:r>
      <w:r>
        <w:rPr>
          <w:lang w:val="en-GB"/>
        </w:rPr>
        <w:t xml:space="preserve">most likely </w:t>
      </w:r>
      <w:r w:rsidR="00BC7920">
        <w:rPr>
          <w:lang w:val="en-GB"/>
        </w:rPr>
        <w:t xml:space="preserve">to stop </w:t>
      </w:r>
      <w:r w:rsidR="00A16593">
        <w:rPr>
          <w:lang w:val="en-GB"/>
        </w:rPr>
        <w:t xml:space="preserve">taking </w:t>
      </w:r>
      <w:r>
        <w:rPr>
          <w:lang w:val="en-GB"/>
        </w:rPr>
        <w:t>the treatmen</w:t>
      </w:r>
      <w:r w:rsidR="00AE6E19">
        <w:rPr>
          <w:lang w:val="en-GB"/>
        </w:rPr>
        <w:t>t.</w:t>
      </w:r>
      <w:r>
        <w:rPr>
          <w:lang w:val="en-GB"/>
        </w:rPr>
        <w:t xml:space="preserve"> </w:t>
      </w:r>
      <w:r w:rsidR="00AE6E19">
        <w:rPr>
          <w:lang w:val="en-GB"/>
        </w:rPr>
        <w:t xml:space="preserve">The clinical experts </w:t>
      </w:r>
      <w:r w:rsidR="00A16593">
        <w:rPr>
          <w:lang w:val="en-GB"/>
        </w:rPr>
        <w:t xml:space="preserve">stated </w:t>
      </w:r>
      <w:r w:rsidR="00AE6E19">
        <w:rPr>
          <w:lang w:val="en-GB"/>
        </w:rPr>
        <w:t xml:space="preserve">that some </w:t>
      </w:r>
      <w:r>
        <w:rPr>
          <w:lang w:val="en-GB"/>
        </w:rPr>
        <w:t>people</w:t>
      </w:r>
      <w:r w:rsidR="001254FF">
        <w:rPr>
          <w:lang w:val="en-GB"/>
        </w:rPr>
        <w:t xml:space="preserve"> </w:t>
      </w:r>
      <w:r w:rsidR="00103CC0">
        <w:rPr>
          <w:lang w:val="en-GB"/>
        </w:rPr>
        <w:t xml:space="preserve">would </w:t>
      </w:r>
      <w:r w:rsidR="00A16593">
        <w:rPr>
          <w:lang w:val="en-GB"/>
        </w:rPr>
        <w:t xml:space="preserve">take </w:t>
      </w:r>
      <w:r>
        <w:rPr>
          <w:lang w:val="en-GB"/>
        </w:rPr>
        <w:t xml:space="preserve">liraglutide until they achieve their desired weight loss </w:t>
      </w:r>
      <w:r w:rsidR="009A0D7B">
        <w:rPr>
          <w:lang w:val="en-GB"/>
        </w:rPr>
        <w:t xml:space="preserve">then </w:t>
      </w:r>
      <w:r>
        <w:rPr>
          <w:lang w:val="en-GB"/>
        </w:rPr>
        <w:t xml:space="preserve">stop </w:t>
      </w:r>
      <w:r w:rsidR="0075373C">
        <w:rPr>
          <w:lang w:val="en-GB"/>
        </w:rPr>
        <w:t>taking it</w:t>
      </w:r>
      <w:r>
        <w:rPr>
          <w:lang w:val="en-GB"/>
        </w:rPr>
        <w:t>, restart</w:t>
      </w:r>
      <w:r w:rsidR="009A0D7B">
        <w:rPr>
          <w:lang w:val="en-GB"/>
        </w:rPr>
        <w:t>ing</w:t>
      </w:r>
      <w:r>
        <w:rPr>
          <w:lang w:val="en-GB"/>
        </w:rPr>
        <w:t xml:space="preserve"> it when they regain weight. </w:t>
      </w:r>
      <w:r w:rsidRPr="00EF3566">
        <w:rPr>
          <w:lang w:val="en-GB"/>
        </w:rPr>
        <w:t xml:space="preserve">The committee had concerns that the </w:t>
      </w:r>
      <w:r w:rsidR="0075373C">
        <w:rPr>
          <w:lang w:val="en-GB"/>
        </w:rPr>
        <w:t xml:space="preserve">company’s </w:t>
      </w:r>
      <w:r>
        <w:rPr>
          <w:lang w:val="en-GB"/>
        </w:rPr>
        <w:t>submission</w:t>
      </w:r>
      <w:r w:rsidRPr="00EF3566">
        <w:rPr>
          <w:lang w:val="en-GB"/>
        </w:rPr>
        <w:t xml:space="preserve"> was based on a </w:t>
      </w:r>
      <w:r>
        <w:rPr>
          <w:lang w:val="en-GB"/>
        </w:rPr>
        <w:t xml:space="preserve">maximum </w:t>
      </w:r>
      <w:r w:rsidRPr="00EF3566">
        <w:rPr>
          <w:lang w:val="en-GB"/>
        </w:rPr>
        <w:t>treatment duration of 2</w:t>
      </w:r>
      <w:r w:rsidR="00C73DBC">
        <w:rPr>
          <w:lang w:val="en-GB"/>
        </w:rPr>
        <w:t> </w:t>
      </w:r>
      <w:r w:rsidRPr="00EF3566">
        <w:rPr>
          <w:lang w:val="en-GB"/>
        </w:rPr>
        <w:t>years</w:t>
      </w:r>
      <w:r w:rsidR="00C73DBC">
        <w:rPr>
          <w:lang w:val="en-GB"/>
        </w:rPr>
        <w:t xml:space="preserve">. It noted </w:t>
      </w:r>
      <w:r w:rsidR="0075373C">
        <w:rPr>
          <w:lang w:val="en-GB"/>
        </w:rPr>
        <w:t xml:space="preserve">the clinical experts’ comments and concluded </w:t>
      </w:r>
      <w:r w:rsidR="00C73DBC">
        <w:rPr>
          <w:lang w:val="en-GB"/>
        </w:rPr>
        <w:t>that</w:t>
      </w:r>
      <w:r w:rsidRPr="00EF3566">
        <w:rPr>
          <w:lang w:val="en-GB"/>
        </w:rPr>
        <w:t xml:space="preserve"> </w:t>
      </w:r>
      <w:r w:rsidR="007F2C53">
        <w:rPr>
          <w:lang w:val="en-GB"/>
        </w:rPr>
        <w:t>som</w:t>
      </w:r>
      <w:r w:rsidR="002D3EB6">
        <w:rPr>
          <w:lang w:val="en-GB"/>
        </w:rPr>
        <w:t>e</w:t>
      </w:r>
      <w:r w:rsidR="007F2C53">
        <w:rPr>
          <w:lang w:val="en-GB"/>
        </w:rPr>
        <w:t xml:space="preserve"> </w:t>
      </w:r>
      <w:r w:rsidR="001254FF">
        <w:rPr>
          <w:lang w:val="en-GB"/>
        </w:rPr>
        <w:t>people might</w:t>
      </w:r>
      <w:r w:rsidR="00FA1CEE">
        <w:rPr>
          <w:lang w:val="en-GB"/>
        </w:rPr>
        <w:t xml:space="preserve"> stop </w:t>
      </w:r>
      <w:r w:rsidR="00A37277">
        <w:rPr>
          <w:lang w:val="en-GB"/>
        </w:rPr>
        <w:t xml:space="preserve">treatment </w:t>
      </w:r>
      <w:r w:rsidR="00FA1CEE">
        <w:rPr>
          <w:lang w:val="en-GB"/>
        </w:rPr>
        <w:t xml:space="preserve">before </w:t>
      </w:r>
      <w:r w:rsidR="00BC7920">
        <w:rPr>
          <w:lang w:val="en-GB"/>
        </w:rPr>
        <w:t>2 </w:t>
      </w:r>
      <w:r w:rsidR="00FA1CEE">
        <w:rPr>
          <w:lang w:val="en-GB"/>
        </w:rPr>
        <w:t xml:space="preserve">years </w:t>
      </w:r>
      <w:r>
        <w:rPr>
          <w:lang w:val="en-GB"/>
        </w:rPr>
        <w:t xml:space="preserve">and </w:t>
      </w:r>
      <w:r w:rsidR="001254FF">
        <w:rPr>
          <w:lang w:val="en-GB"/>
        </w:rPr>
        <w:t>then wish to re-</w:t>
      </w:r>
      <w:r>
        <w:rPr>
          <w:lang w:val="en-GB"/>
        </w:rPr>
        <w:t>start</w:t>
      </w:r>
      <w:r w:rsidR="00A37277">
        <w:rPr>
          <w:lang w:val="en-GB"/>
        </w:rPr>
        <w:t xml:space="preserve">, </w:t>
      </w:r>
      <w:r w:rsidR="0075373C">
        <w:rPr>
          <w:lang w:val="en-GB"/>
        </w:rPr>
        <w:t xml:space="preserve">but others </w:t>
      </w:r>
      <w:r w:rsidR="00C73DBC">
        <w:rPr>
          <w:lang w:val="en-GB"/>
        </w:rPr>
        <w:t xml:space="preserve">might </w:t>
      </w:r>
      <w:r w:rsidR="004119E2">
        <w:rPr>
          <w:lang w:val="en-GB"/>
        </w:rPr>
        <w:t xml:space="preserve">wish </w:t>
      </w:r>
      <w:r>
        <w:rPr>
          <w:lang w:val="en-GB"/>
        </w:rPr>
        <w:t>to continue treatment</w:t>
      </w:r>
      <w:r w:rsidR="00FA1CEE">
        <w:rPr>
          <w:lang w:val="en-GB"/>
        </w:rPr>
        <w:t xml:space="preserve"> beyond </w:t>
      </w:r>
      <w:r w:rsidR="00BC7920">
        <w:rPr>
          <w:lang w:val="en-GB"/>
        </w:rPr>
        <w:t>2 </w:t>
      </w:r>
      <w:r w:rsidR="00FA1CEE">
        <w:rPr>
          <w:lang w:val="en-GB"/>
        </w:rPr>
        <w:t>years</w:t>
      </w:r>
      <w:r>
        <w:rPr>
          <w:lang w:val="en-GB"/>
        </w:rPr>
        <w:t>.</w:t>
      </w:r>
      <w:r w:rsidR="001254FF">
        <w:rPr>
          <w:lang w:val="en-GB"/>
        </w:rPr>
        <w:t xml:space="preserve"> The committee acknowledged that a </w:t>
      </w:r>
      <w:r w:rsidR="00C73DBC">
        <w:rPr>
          <w:lang w:val="en-GB"/>
        </w:rPr>
        <w:t>2</w:t>
      </w:r>
      <w:r w:rsidR="00C73DBC">
        <w:rPr>
          <w:lang w:val="en-GB"/>
        </w:rPr>
        <w:noBreakHyphen/>
      </w:r>
      <w:r w:rsidR="001254FF">
        <w:rPr>
          <w:lang w:val="en-GB"/>
        </w:rPr>
        <w:t xml:space="preserve">year stopping rule </w:t>
      </w:r>
      <w:r w:rsidR="00C73DBC">
        <w:rPr>
          <w:lang w:val="en-GB"/>
        </w:rPr>
        <w:t xml:space="preserve">would be </w:t>
      </w:r>
      <w:r w:rsidR="001254FF">
        <w:rPr>
          <w:lang w:val="en-GB"/>
        </w:rPr>
        <w:t>implementable</w:t>
      </w:r>
      <w:r w:rsidR="002E7508">
        <w:rPr>
          <w:lang w:val="en-GB"/>
        </w:rPr>
        <w:t xml:space="preserve"> in the </w:t>
      </w:r>
      <w:r w:rsidR="006A516D">
        <w:rPr>
          <w:lang w:val="en-GB"/>
        </w:rPr>
        <w:t>NHS but</w:t>
      </w:r>
      <w:r w:rsidR="001254FF">
        <w:rPr>
          <w:lang w:val="en-GB"/>
        </w:rPr>
        <w:t xml:space="preserve"> noted that it </w:t>
      </w:r>
      <w:r w:rsidR="0075373C">
        <w:rPr>
          <w:lang w:val="en-GB"/>
        </w:rPr>
        <w:t>does not reflect</w:t>
      </w:r>
      <w:r w:rsidR="001254FF">
        <w:rPr>
          <w:lang w:val="en-GB"/>
        </w:rPr>
        <w:t xml:space="preserve"> what was done in the</w:t>
      </w:r>
      <w:r w:rsidR="002E7508">
        <w:rPr>
          <w:lang w:val="en-GB"/>
        </w:rPr>
        <w:t xml:space="preserve"> clinical</w:t>
      </w:r>
      <w:r w:rsidR="001254FF">
        <w:rPr>
          <w:lang w:val="en-GB"/>
        </w:rPr>
        <w:t xml:space="preserve"> </w:t>
      </w:r>
      <w:r w:rsidR="007523DF">
        <w:rPr>
          <w:lang w:val="en-GB"/>
        </w:rPr>
        <w:t>trial or</w:t>
      </w:r>
      <w:r w:rsidR="0075373C">
        <w:rPr>
          <w:lang w:val="en-GB"/>
        </w:rPr>
        <w:t xml:space="preserve"> ad</w:t>
      </w:r>
      <w:r w:rsidR="00A37277">
        <w:rPr>
          <w:lang w:val="en-GB"/>
        </w:rPr>
        <w:t>d</w:t>
      </w:r>
      <w:r w:rsidR="0075373C">
        <w:rPr>
          <w:lang w:val="en-GB"/>
        </w:rPr>
        <w:t xml:space="preserve">ress </w:t>
      </w:r>
      <w:r w:rsidR="000A119B">
        <w:rPr>
          <w:lang w:val="en-GB"/>
        </w:rPr>
        <w:t>the clinical need</w:t>
      </w:r>
      <w:r w:rsidR="00F72A45">
        <w:rPr>
          <w:lang w:val="en-GB"/>
        </w:rPr>
        <w:t xml:space="preserve"> to reduce </w:t>
      </w:r>
      <w:r w:rsidR="0075373C">
        <w:rPr>
          <w:lang w:val="en-GB"/>
        </w:rPr>
        <w:t xml:space="preserve">weight </w:t>
      </w:r>
      <w:r w:rsidR="00F72A45">
        <w:rPr>
          <w:lang w:val="en-GB"/>
        </w:rPr>
        <w:t xml:space="preserve">and </w:t>
      </w:r>
      <w:r w:rsidR="00863405">
        <w:rPr>
          <w:lang w:val="en-GB"/>
        </w:rPr>
        <w:t xml:space="preserve">then </w:t>
      </w:r>
      <w:r w:rsidR="00F72A45">
        <w:rPr>
          <w:lang w:val="en-GB"/>
        </w:rPr>
        <w:t>maintain a reduced weight.</w:t>
      </w:r>
    </w:p>
    <w:p w14:paraId="2BA8F3B0" w14:textId="688B4024" w:rsidR="00E56ABB" w:rsidRDefault="00E56ABB" w:rsidP="00EF3566">
      <w:pPr>
        <w:pStyle w:val="Heading2"/>
      </w:pPr>
      <w:r>
        <w:t>Co</w:t>
      </w:r>
      <w:r w:rsidR="00F758AA">
        <w:t>mpany’s economic model</w:t>
      </w:r>
    </w:p>
    <w:p w14:paraId="370096FF" w14:textId="0D9BE809" w:rsidR="00E56ABB" w:rsidRPr="00E56ABB" w:rsidRDefault="00E56ABB" w:rsidP="00E56ABB">
      <w:pPr>
        <w:pStyle w:val="Heading3"/>
      </w:pPr>
      <w:r>
        <w:t>The company’s economic model is</w:t>
      </w:r>
      <w:r w:rsidR="00D013B7">
        <w:t xml:space="preserve"> </w:t>
      </w:r>
      <w:r>
        <w:t>suitable for decision making</w:t>
      </w:r>
    </w:p>
    <w:p w14:paraId="7FE7D4B7" w14:textId="32534778" w:rsidR="00E56ABB" w:rsidRPr="00E05354" w:rsidRDefault="00E56ABB" w:rsidP="00E56ABB">
      <w:pPr>
        <w:pStyle w:val="Numberedlevel2text"/>
      </w:pPr>
      <w:r>
        <w:rPr>
          <w:lang w:val="en-GB"/>
        </w:rPr>
        <w:t xml:space="preserve">The company submitted a </w:t>
      </w:r>
      <w:r w:rsidR="00D6781B">
        <w:rPr>
          <w:lang w:val="en-GB"/>
        </w:rPr>
        <w:t>cohort state</w:t>
      </w:r>
      <w:r w:rsidR="00811EE5">
        <w:rPr>
          <w:lang w:val="en-GB"/>
        </w:rPr>
        <w:t>-</w:t>
      </w:r>
      <w:r w:rsidR="00D6781B">
        <w:rPr>
          <w:lang w:val="en-GB"/>
        </w:rPr>
        <w:t>transition</w:t>
      </w:r>
      <w:r>
        <w:rPr>
          <w:lang w:val="en-GB"/>
        </w:rPr>
        <w:t xml:space="preserve"> model</w:t>
      </w:r>
      <w:r w:rsidR="00E05354">
        <w:rPr>
          <w:lang w:val="en-GB"/>
        </w:rPr>
        <w:t xml:space="preserve">, including 10 health states, </w:t>
      </w:r>
      <w:r w:rsidR="00AD196A">
        <w:rPr>
          <w:lang w:val="en-GB"/>
        </w:rPr>
        <w:t>to estimate the cost</w:t>
      </w:r>
      <w:r w:rsidR="0033258D">
        <w:rPr>
          <w:lang w:val="en-GB"/>
        </w:rPr>
        <w:t xml:space="preserve"> </w:t>
      </w:r>
      <w:r w:rsidR="00AD196A">
        <w:rPr>
          <w:lang w:val="en-GB"/>
        </w:rPr>
        <w:t xml:space="preserve">effectiveness of </w:t>
      </w:r>
      <w:r w:rsidR="00D6781B">
        <w:rPr>
          <w:lang w:val="en-GB"/>
        </w:rPr>
        <w:t>liraglutide</w:t>
      </w:r>
      <w:r w:rsidR="00AD196A">
        <w:rPr>
          <w:lang w:val="en-GB"/>
        </w:rPr>
        <w:t xml:space="preserve"> compared wi</w:t>
      </w:r>
      <w:r w:rsidR="00D6781B">
        <w:rPr>
          <w:lang w:val="en-GB"/>
        </w:rPr>
        <w:t>th diet and exercise</w:t>
      </w:r>
      <w:r w:rsidR="00AD196A">
        <w:rPr>
          <w:lang w:val="en-GB"/>
        </w:rPr>
        <w:t xml:space="preserve">. </w:t>
      </w:r>
      <w:r w:rsidR="00E05354" w:rsidRPr="00E05354">
        <w:rPr>
          <w:lang w:val="en-GB"/>
        </w:rPr>
        <w:t>Transitions between health states were based on the estimation of T2DM</w:t>
      </w:r>
      <w:r w:rsidR="00E05354">
        <w:rPr>
          <w:lang w:val="en-GB"/>
        </w:rPr>
        <w:t xml:space="preserve"> </w:t>
      </w:r>
      <w:r w:rsidR="00E05354" w:rsidRPr="00E05354">
        <w:rPr>
          <w:lang w:val="en-GB"/>
        </w:rPr>
        <w:t>status, CV events (primary and secondary) using risk models as well as death probabilities</w:t>
      </w:r>
      <w:r w:rsidR="00E05354">
        <w:rPr>
          <w:lang w:val="en-GB"/>
        </w:rPr>
        <w:t>.</w:t>
      </w:r>
      <w:r w:rsidR="00E05354" w:rsidRPr="00E05354">
        <w:rPr>
          <w:lang w:val="en-GB"/>
        </w:rPr>
        <w:t xml:space="preserve"> </w:t>
      </w:r>
      <w:r w:rsidR="00E05354">
        <w:rPr>
          <w:lang w:val="en-GB"/>
        </w:rPr>
        <w:t>A</w:t>
      </w:r>
      <w:r w:rsidR="00E05354" w:rsidRPr="00E05354">
        <w:rPr>
          <w:lang w:val="en-GB"/>
        </w:rPr>
        <w:t xml:space="preserve"> once-only transition was used to incorporate the proportion of patients reversing from pre-diabetes to </w:t>
      </w:r>
      <w:r w:rsidR="00E05354" w:rsidRPr="00E05354">
        <w:rPr>
          <w:lang w:val="en-GB"/>
        </w:rPr>
        <w:lastRenderedPageBreak/>
        <w:t xml:space="preserve">normal glucose tolerance based on Trial 1839 data. The relative treatment effectiveness was estimated through changes in the BMI, </w:t>
      </w:r>
      <w:r w:rsidR="00E05354">
        <w:rPr>
          <w:lang w:val="en-GB"/>
        </w:rPr>
        <w:t>SBP</w:t>
      </w:r>
      <w:r w:rsidR="00E05354" w:rsidRPr="00E05354">
        <w:rPr>
          <w:lang w:val="en-GB"/>
        </w:rPr>
        <w:t>, total and HDL cholesterol parameters in the risk models. Patients were assumed to have stopped treatment at 2 years and regain their baseline weight over the next 3 years but not return to the expected higher weight.</w:t>
      </w:r>
      <w:r w:rsidR="00E05354">
        <w:rPr>
          <w:lang w:val="en-GB"/>
        </w:rPr>
        <w:t xml:space="preserve"> Patients entered the model with pre-diabetes</w:t>
      </w:r>
      <w:r w:rsidR="00C606B3">
        <w:rPr>
          <w:lang w:val="en-GB"/>
        </w:rPr>
        <w:t>. T</w:t>
      </w:r>
      <w:r w:rsidR="002F300F" w:rsidRPr="007621BF">
        <w:rPr>
          <w:lang w:val="en-GB"/>
        </w:rPr>
        <w:t xml:space="preserve">he committee considered that the </w:t>
      </w:r>
      <w:r w:rsidR="00E05354">
        <w:rPr>
          <w:lang w:val="en-GB"/>
        </w:rPr>
        <w:t xml:space="preserve">health states and transitions in the </w:t>
      </w:r>
      <w:r w:rsidR="00C606B3" w:rsidRPr="007621BF">
        <w:rPr>
          <w:lang w:val="en-GB"/>
        </w:rPr>
        <w:t>model</w:t>
      </w:r>
      <w:r w:rsidR="00516084">
        <w:rPr>
          <w:lang w:val="en-GB"/>
        </w:rPr>
        <w:t xml:space="preserve"> w</w:t>
      </w:r>
      <w:r w:rsidR="00E05354">
        <w:rPr>
          <w:lang w:val="en-GB"/>
        </w:rPr>
        <w:t>ere</w:t>
      </w:r>
      <w:r w:rsidR="002F300F" w:rsidRPr="007621BF">
        <w:rPr>
          <w:lang w:val="en-GB"/>
        </w:rPr>
        <w:t xml:space="preserve"> suitable for decision making</w:t>
      </w:r>
      <w:r w:rsidR="00E05354">
        <w:rPr>
          <w:lang w:val="en-GB"/>
        </w:rPr>
        <w:t xml:space="preserve"> but the risk equations to estimate the long-term cardiovascular </w:t>
      </w:r>
      <w:r w:rsidR="00121214">
        <w:rPr>
          <w:lang w:val="en-GB"/>
        </w:rPr>
        <w:t>risk introduced uncertainty</w:t>
      </w:r>
    </w:p>
    <w:p w14:paraId="7CA82745" w14:textId="77777777" w:rsidR="004060A1" w:rsidRDefault="004060A1" w:rsidP="004060A1">
      <w:pPr>
        <w:pStyle w:val="Heading3"/>
      </w:pPr>
      <w:r>
        <w:t>Cardiovascular risk was determined using risk equations</w:t>
      </w:r>
    </w:p>
    <w:p w14:paraId="5E5BA3CF" w14:textId="11501670" w:rsidR="004060A1" w:rsidRPr="00E56ABB" w:rsidRDefault="004060A1" w:rsidP="00290E1B">
      <w:pPr>
        <w:pStyle w:val="Numberedlevel2text"/>
      </w:pPr>
      <w:r>
        <w:rPr>
          <w:lang w:val="en-GB"/>
        </w:rPr>
        <w:t>The company’s model used risk equations to estimate the long-term risk of myocardial infarction</w:t>
      </w:r>
      <w:r w:rsidRPr="00402AF3">
        <w:t xml:space="preserve">, angina and stroke (including </w:t>
      </w:r>
      <w:r>
        <w:rPr>
          <w:lang w:val="en-GB"/>
        </w:rPr>
        <w:t>transient</w:t>
      </w:r>
      <w:r w:rsidRPr="00402AF3">
        <w:t xml:space="preserve"> </w:t>
      </w:r>
      <w:r>
        <w:rPr>
          <w:lang w:val="en-GB"/>
        </w:rPr>
        <w:t>ischaemic</w:t>
      </w:r>
      <w:r w:rsidRPr="00402AF3">
        <w:t xml:space="preserve"> </w:t>
      </w:r>
      <w:r>
        <w:rPr>
          <w:lang w:val="en-GB"/>
        </w:rPr>
        <w:t xml:space="preserve">attack). The risk equations used surrogate effectiveness parameters such as BMI, </w:t>
      </w:r>
      <w:r w:rsidR="00E05354">
        <w:rPr>
          <w:lang w:val="en-GB"/>
        </w:rPr>
        <w:t>SBP</w:t>
      </w:r>
      <w:r>
        <w:rPr>
          <w:lang w:val="en-GB"/>
        </w:rPr>
        <w:t xml:space="preserve">, total cholesterol and </w:t>
      </w:r>
      <w:r w:rsidR="00E05354">
        <w:rPr>
          <w:lang w:val="en-GB"/>
        </w:rPr>
        <w:t>HDL</w:t>
      </w:r>
      <w:r>
        <w:rPr>
          <w:lang w:val="en-GB"/>
        </w:rPr>
        <w:t xml:space="preserve">. The committee considered that the risk equations are not prognostic on an individual basis and are based on an assumption of a </w:t>
      </w:r>
      <w:proofErr w:type="gramStart"/>
      <w:r>
        <w:rPr>
          <w:lang w:val="en-GB"/>
        </w:rPr>
        <w:t>steady-state</w:t>
      </w:r>
      <w:proofErr w:type="gramEnd"/>
      <w:r>
        <w:rPr>
          <w:lang w:val="en-GB"/>
        </w:rPr>
        <w:t xml:space="preserve">. The committee acknowledged that there was no clear alternative to the use of risk equations in the model, but it had concerns about the assumptions of cardiovascular outcome benefits that were based on temporary improvements in risk factors. </w:t>
      </w:r>
      <w:r w:rsidRPr="00297878">
        <w:rPr>
          <w:lang w:val="en-GB"/>
        </w:rPr>
        <w:t xml:space="preserve">The committee was satisfied that liraglutide, when </w:t>
      </w:r>
      <w:r>
        <w:rPr>
          <w:lang w:val="en-GB"/>
        </w:rPr>
        <w:t>used</w:t>
      </w:r>
      <w:r w:rsidRPr="00297878">
        <w:rPr>
          <w:lang w:val="en-GB"/>
        </w:rPr>
        <w:t xml:space="preserve"> as proposed</w:t>
      </w:r>
      <w:r>
        <w:rPr>
          <w:lang w:val="en-GB"/>
        </w:rPr>
        <w:t xml:space="preserve"> by the company</w:t>
      </w:r>
      <w:r w:rsidRPr="00297878">
        <w:rPr>
          <w:lang w:val="en-GB"/>
        </w:rPr>
        <w:t xml:space="preserve">, has a temporary benefit on weight and diabetic status. </w:t>
      </w:r>
      <w:r>
        <w:rPr>
          <w:lang w:val="en-GB"/>
        </w:rPr>
        <w:t xml:space="preserve">But it required stronger evidence that short-term weight loss and a temporary improvement in diabetic status reduced cardiovascular risk to the extent shown in the model, when there was no clinical trial evidence showing that liraglutide reduces cardiovascular events in the proposed population. It also required a better justification for the surrogate outcomes used to predict long-term benefits in the model. It noted in the company’s scenario analyses that if only the effect on BMI was included in the model, the incremental cost-effectiveness ratio (ICER) exceeded £100,000 per quality-adjusted life year (QALY) gained. This was considerably reduced to just under £50,000 per QALY gained if benefits related to the effects on </w:t>
      </w:r>
      <w:r>
        <w:rPr>
          <w:lang w:val="en-GB"/>
        </w:rPr>
        <w:lastRenderedPageBreak/>
        <w:t>diabetic status were included. It further reduced to just over £21,000 per QALY gained if additional cardiovascular benefits were included. The committee concluded that it required further explanation and justification of the benefits on cardiovascular events assumed in the economic analysis before it could be persuaded that liraglutide was cost-effective.</w:t>
      </w:r>
    </w:p>
    <w:p w14:paraId="4EE72D6A" w14:textId="2D0628FC" w:rsidR="00C606B3" w:rsidRDefault="004060A1" w:rsidP="00E56ABB">
      <w:pPr>
        <w:pStyle w:val="Heading3"/>
      </w:pPr>
      <w:r>
        <w:t xml:space="preserve">The company’s assumptions </w:t>
      </w:r>
      <w:r w:rsidR="00E05354">
        <w:t xml:space="preserve">used </w:t>
      </w:r>
      <w:r>
        <w:t xml:space="preserve">to predict weight </w:t>
      </w:r>
      <w:r w:rsidR="00E05354">
        <w:t>gain and diabetic status were associated with uncertainty</w:t>
      </w:r>
    </w:p>
    <w:p w14:paraId="319E34E7" w14:textId="04CC5F95" w:rsidR="00C606B3" w:rsidRDefault="00C73DBC" w:rsidP="003A3975">
      <w:pPr>
        <w:pStyle w:val="Numberedlevel2text"/>
      </w:pPr>
      <w:r>
        <w:rPr>
          <w:lang w:val="en-US"/>
        </w:rPr>
        <w:t xml:space="preserve">No </w:t>
      </w:r>
      <w:r w:rsidR="003D6625">
        <w:rPr>
          <w:lang w:val="en-US"/>
        </w:rPr>
        <w:t>follow-up</w:t>
      </w:r>
      <w:r w:rsidR="00C606B3">
        <w:t xml:space="preserve"> data </w:t>
      </w:r>
      <w:r w:rsidR="00C9089B">
        <w:rPr>
          <w:lang w:val="en-US"/>
        </w:rPr>
        <w:t>were</w:t>
      </w:r>
      <w:r w:rsidR="00C9089B">
        <w:t xml:space="preserve"> </w:t>
      </w:r>
      <w:r w:rsidR="00C606B3">
        <w:t xml:space="preserve">available </w:t>
      </w:r>
      <w:r w:rsidR="006C4D3F">
        <w:rPr>
          <w:lang w:val="en-US"/>
        </w:rPr>
        <w:t>on</w:t>
      </w:r>
      <w:r>
        <w:rPr>
          <w:lang w:val="en-US"/>
        </w:rPr>
        <w:t xml:space="preserve"> weight gain and diabetic status after stopping treatment.</w:t>
      </w:r>
      <w:r w:rsidR="00C606B3">
        <w:t xml:space="preserve"> </w:t>
      </w:r>
      <w:r>
        <w:rPr>
          <w:lang w:val="en-US"/>
        </w:rPr>
        <w:t>The</w:t>
      </w:r>
      <w:r>
        <w:t xml:space="preserve"> </w:t>
      </w:r>
      <w:r w:rsidR="00C606B3">
        <w:t xml:space="preserve">company </w:t>
      </w:r>
      <w:r w:rsidR="00C9089B">
        <w:rPr>
          <w:lang w:val="en-US"/>
        </w:rPr>
        <w:t>assumed</w:t>
      </w:r>
      <w:r w:rsidR="00C606B3">
        <w:t xml:space="preserve"> that</w:t>
      </w:r>
      <w:r w:rsidR="003D6625">
        <w:rPr>
          <w:lang w:val="en-US"/>
        </w:rPr>
        <w:t>,</w:t>
      </w:r>
      <w:r w:rsidR="00C606B3">
        <w:t xml:space="preserve"> </w:t>
      </w:r>
      <w:r w:rsidR="003D6625" w:rsidRPr="003D6625">
        <w:t xml:space="preserve">after completing a </w:t>
      </w:r>
      <w:r w:rsidR="00D41C1D" w:rsidRPr="003D6625">
        <w:t>2-year</w:t>
      </w:r>
      <w:r w:rsidR="003D6625" w:rsidRPr="003D6625">
        <w:t xml:space="preserve"> course of liraglutide</w:t>
      </w:r>
      <w:r w:rsidR="003D6625">
        <w:rPr>
          <w:lang w:val="en-US"/>
        </w:rPr>
        <w:t>,</w:t>
      </w:r>
      <w:r w:rsidR="003D6625" w:rsidRPr="003D6625">
        <w:t xml:space="preserve"> </w:t>
      </w:r>
      <w:r w:rsidR="00C606B3">
        <w:t xml:space="preserve">weight would gradually increase </w:t>
      </w:r>
      <w:r w:rsidR="003871CD">
        <w:t>over</w:t>
      </w:r>
      <w:r w:rsidR="00C606B3">
        <w:t xml:space="preserve"> </w:t>
      </w:r>
      <w:r>
        <w:rPr>
          <w:lang w:val="en-US"/>
        </w:rPr>
        <w:t xml:space="preserve">the next </w:t>
      </w:r>
      <w:r w:rsidR="003A3975">
        <w:rPr>
          <w:lang w:val="en-GB"/>
        </w:rPr>
        <w:t>3</w:t>
      </w:r>
      <w:r>
        <w:rPr>
          <w:lang w:val="en-US"/>
        </w:rPr>
        <w:t> </w:t>
      </w:r>
      <w:r w:rsidR="00C606B3">
        <w:t xml:space="preserve">years. </w:t>
      </w:r>
      <w:r>
        <w:rPr>
          <w:lang w:val="en-US"/>
        </w:rPr>
        <w:t>It also assumed that people</w:t>
      </w:r>
      <w:r>
        <w:t xml:space="preserve"> </w:t>
      </w:r>
      <w:r w:rsidR="00C606B3">
        <w:t xml:space="preserve">who had become </w:t>
      </w:r>
      <w:proofErr w:type="spellStart"/>
      <w:r w:rsidR="00C606B3">
        <w:t>normoglycaemic</w:t>
      </w:r>
      <w:proofErr w:type="spellEnd"/>
      <w:r w:rsidR="00C606B3">
        <w:t xml:space="preserve"> on treatment would have </w:t>
      </w:r>
      <w:r>
        <w:rPr>
          <w:lang w:val="en-US"/>
        </w:rPr>
        <w:t>pre</w:t>
      </w:r>
      <w:r w:rsidR="00F90C0F">
        <w:rPr>
          <w:lang w:val="en-US"/>
        </w:rPr>
        <w:t>-diabetes</w:t>
      </w:r>
      <w:r w:rsidR="00C606B3">
        <w:t xml:space="preserve"> after </w:t>
      </w:r>
      <w:r w:rsidR="00C9089B">
        <w:rPr>
          <w:lang w:val="en-US"/>
        </w:rPr>
        <w:t>3 </w:t>
      </w:r>
      <w:r w:rsidR="00C606B3">
        <w:t xml:space="preserve">years. The committee noted that people in the model regained their initial weight rather than </w:t>
      </w:r>
      <w:r w:rsidR="006C4D3F">
        <w:rPr>
          <w:lang w:val="en-US"/>
        </w:rPr>
        <w:t>a</w:t>
      </w:r>
      <w:r w:rsidR="006C4D3F">
        <w:t xml:space="preserve"> </w:t>
      </w:r>
      <w:r w:rsidR="00C606B3">
        <w:t>higher weight</w:t>
      </w:r>
      <w:r w:rsidR="006C4D3F">
        <w:rPr>
          <w:lang w:val="en-US"/>
        </w:rPr>
        <w:t>,</w:t>
      </w:r>
      <w:r w:rsidR="00C606B3">
        <w:t xml:space="preserve"> which </w:t>
      </w:r>
      <w:r w:rsidR="006C4D3F">
        <w:rPr>
          <w:lang w:val="en-US"/>
        </w:rPr>
        <w:t>might</w:t>
      </w:r>
      <w:r w:rsidR="006C4D3F">
        <w:t xml:space="preserve"> </w:t>
      </w:r>
      <w:r w:rsidR="00C606B3">
        <w:t>be expected</w:t>
      </w:r>
      <w:r w:rsidR="003871CD">
        <w:t xml:space="preserve"> for people with untreated obesity. </w:t>
      </w:r>
      <w:r w:rsidR="009B0C1A">
        <w:rPr>
          <w:lang w:val="en-US"/>
        </w:rPr>
        <w:t>Because</w:t>
      </w:r>
      <w:r w:rsidR="009B0C1A">
        <w:t xml:space="preserve"> </w:t>
      </w:r>
      <w:r w:rsidR="003871CD">
        <w:t xml:space="preserve">no </w:t>
      </w:r>
      <w:r w:rsidR="009B0C1A">
        <w:rPr>
          <w:lang w:val="en-US"/>
        </w:rPr>
        <w:t>follow-up</w:t>
      </w:r>
      <w:r w:rsidR="009B0C1A">
        <w:t xml:space="preserve"> </w:t>
      </w:r>
      <w:r w:rsidR="003871CD">
        <w:t xml:space="preserve">data </w:t>
      </w:r>
      <w:r w:rsidR="00C9089B">
        <w:rPr>
          <w:lang w:val="en-US"/>
        </w:rPr>
        <w:t>were</w:t>
      </w:r>
      <w:r w:rsidR="00C9089B">
        <w:t xml:space="preserve"> </w:t>
      </w:r>
      <w:r w:rsidR="003871CD">
        <w:t xml:space="preserve">available for weight </w:t>
      </w:r>
      <w:r w:rsidR="006C4D3F">
        <w:rPr>
          <w:lang w:val="en-US"/>
        </w:rPr>
        <w:t xml:space="preserve">gain </w:t>
      </w:r>
      <w:r w:rsidR="003871CD">
        <w:t xml:space="preserve">or diabetic status </w:t>
      </w:r>
      <w:r w:rsidR="009B0C1A">
        <w:rPr>
          <w:lang w:val="en-US"/>
        </w:rPr>
        <w:t xml:space="preserve">in the 3 years </w:t>
      </w:r>
      <w:r w:rsidR="003871CD">
        <w:t xml:space="preserve">after </w:t>
      </w:r>
      <w:r w:rsidR="009B0C1A">
        <w:rPr>
          <w:lang w:val="en-US"/>
        </w:rPr>
        <w:t>stopping treatment</w:t>
      </w:r>
      <w:r w:rsidR="003871CD">
        <w:t xml:space="preserve">, the committee accepted that some assumptions had to be </w:t>
      </w:r>
      <w:r w:rsidR="00D0412D">
        <w:t>made</w:t>
      </w:r>
      <w:r w:rsidR="009B0C1A">
        <w:rPr>
          <w:lang w:val="en-US"/>
        </w:rPr>
        <w:t>.</w:t>
      </w:r>
      <w:r w:rsidR="003871CD">
        <w:t xml:space="preserve"> </w:t>
      </w:r>
      <w:r w:rsidR="00586A00">
        <w:rPr>
          <w:lang w:val="en-US"/>
        </w:rPr>
        <w:t>However,</w:t>
      </w:r>
      <w:r w:rsidR="009B0C1A">
        <w:rPr>
          <w:lang w:val="en-US"/>
        </w:rPr>
        <w:t xml:space="preserve"> it</w:t>
      </w:r>
      <w:r w:rsidR="009B0C1A">
        <w:t xml:space="preserve"> </w:t>
      </w:r>
      <w:r w:rsidR="003871CD">
        <w:t xml:space="preserve">concluded that </w:t>
      </w:r>
      <w:r w:rsidR="009B0C1A">
        <w:rPr>
          <w:lang w:val="en-US"/>
        </w:rPr>
        <w:t>the company’s assumptions</w:t>
      </w:r>
      <w:r w:rsidR="009B0C1A">
        <w:t xml:space="preserve"> </w:t>
      </w:r>
      <w:r w:rsidR="003871CD">
        <w:t>were associated with uncertainty</w:t>
      </w:r>
      <w:r w:rsidR="00C9089B">
        <w:rPr>
          <w:lang w:val="en-US"/>
        </w:rPr>
        <w:t>.</w:t>
      </w:r>
    </w:p>
    <w:p w14:paraId="34AE75DA" w14:textId="305300F4" w:rsidR="002F300F" w:rsidRDefault="002F300F" w:rsidP="002F300F">
      <w:pPr>
        <w:pStyle w:val="Heading3"/>
      </w:pPr>
      <w:r>
        <w:t xml:space="preserve">The company’s model </w:t>
      </w:r>
      <w:r w:rsidR="00EC3A4A">
        <w:t xml:space="preserve">assumes </w:t>
      </w:r>
      <w:r>
        <w:t xml:space="preserve">that all people who </w:t>
      </w:r>
      <w:r w:rsidR="00EC3A4A">
        <w:t xml:space="preserve">have </w:t>
      </w:r>
      <w:r>
        <w:t>a cardiovascular event develop type</w:t>
      </w:r>
      <w:r w:rsidR="00A90E06">
        <w:t> </w:t>
      </w:r>
      <w:r>
        <w:t>2 diabetes</w:t>
      </w:r>
    </w:p>
    <w:p w14:paraId="6FEAD631" w14:textId="10BE6CBE" w:rsidR="002F300F" w:rsidRPr="002F300F" w:rsidRDefault="00024E37" w:rsidP="002F300F">
      <w:pPr>
        <w:pStyle w:val="Numberedlevel2text"/>
      </w:pPr>
      <w:r>
        <w:rPr>
          <w:lang w:val="en-GB"/>
        </w:rPr>
        <w:t>The committee discussed the company’s</w:t>
      </w:r>
      <w:r w:rsidR="0076628F">
        <w:rPr>
          <w:lang w:val="en-GB"/>
        </w:rPr>
        <w:t xml:space="preserve"> ‘simplifying’</w:t>
      </w:r>
      <w:r>
        <w:rPr>
          <w:lang w:val="en-GB"/>
        </w:rPr>
        <w:t xml:space="preserve"> assumption that all people who </w:t>
      </w:r>
      <w:r w:rsidR="00464ACA">
        <w:rPr>
          <w:lang w:val="en-GB"/>
        </w:rPr>
        <w:t xml:space="preserve">have </w:t>
      </w:r>
      <w:r>
        <w:rPr>
          <w:lang w:val="en-GB"/>
        </w:rPr>
        <w:t>a cardiovascular event develop type</w:t>
      </w:r>
      <w:r w:rsidR="00A90E06">
        <w:rPr>
          <w:lang w:val="en-GB"/>
        </w:rPr>
        <w:t> </w:t>
      </w:r>
      <w:r>
        <w:rPr>
          <w:lang w:val="en-GB"/>
        </w:rPr>
        <w:t xml:space="preserve">2 diabetes within the following year. </w:t>
      </w:r>
      <w:r w:rsidR="006F76DF">
        <w:rPr>
          <w:lang w:val="en-GB"/>
        </w:rPr>
        <w:t>The</w:t>
      </w:r>
      <w:r>
        <w:rPr>
          <w:lang w:val="en-GB"/>
        </w:rPr>
        <w:t xml:space="preserve"> clinical experts </w:t>
      </w:r>
      <w:r w:rsidR="006F76DF">
        <w:rPr>
          <w:lang w:val="en-GB"/>
        </w:rPr>
        <w:t xml:space="preserve">explained </w:t>
      </w:r>
      <w:r>
        <w:rPr>
          <w:lang w:val="en-GB"/>
        </w:rPr>
        <w:t>that people are more likely to be diagnosed with type</w:t>
      </w:r>
      <w:r w:rsidR="00A90E06">
        <w:rPr>
          <w:lang w:val="en-GB"/>
        </w:rPr>
        <w:t> </w:t>
      </w:r>
      <w:r>
        <w:rPr>
          <w:lang w:val="en-GB"/>
        </w:rPr>
        <w:t xml:space="preserve">2 diabetes </w:t>
      </w:r>
      <w:r w:rsidR="00F93E60">
        <w:rPr>
          <w:lang w:val="en-GB"/>
        </w:rPr>
        <w:t xml:space="preserve">after </w:t>
      </w:r>
      <w:r>
        <w:rPr>
          <w:lang w:val="en-GB"/>
        </w:rPr>
        <w:t xml:space="preserve">a cardiovascular </w:t>
      </w:r>
      <w:r w:rsidR="008F121E">
        <w:rPr>
          <w:lang w:val="en-GB"/>
        </w:rPr>
        <w:t>event,</w:t>
      </w:r>
      <w:r>
        <w:rPr>
          <w:lang w:val="en-GB"/>
        </w:rPr>
        <w:t xml:space="preserve"> but this relationship is not causal. The committee heard that there is no good evidence to determine the proportion of people who would develop type</w:t>
      </w:r>
      <w:r w:rsidR="00A90E06">
        <w:rPr>
          <w:lang w:val="en-GB"/>
        </w:rPr>
        <w:t> </w:t>
      </w:r>
      <w:r>
        <w:rPr>
          <w:lang w:val="en-GB"/>
        </w:rPr>
        <w:t xml:space="preserve">2 diabetes </w:t>
      </w:r>
      <w:r w:rsidR="00F93E60">
        <w:rPr>
          <w:lang w:val="en-GB"/>
        </w:rPr>
        <w:t xml:space="preserve">after </w:t>
      </w:r>
      <w:r>
        <w:rPr>
          <w:lang w:val="en-GB"/>
        </w:rPr>
        <w:t xml:space="preserve">a cardiovascular event. The committee </w:t>
      </w:r>
      <w:r w:rsidR="005B46F8">
        <w:rPr>
          <w:lang w:val="en-GB"/>
        </w:rPr>
        <w:t xml:space="preserve">was </w:t>
      </w:r>
      <w:r>
        <w:rPr>
          <w:lang w:val="en-GB"/>
        </w:rPr>
        <w:t xml:space="preserve">concerned </w:t>
      </w:r>
      <w:r w:rsidR="005B46F8">
        <w:rPr>
          <w:lang w:val="en-GB"/>
        </w:rPr>
        <w:t xml:space="preserve">that </w:t>
      </w:r>
      <w:r>
        <w:rPr>
          <w:lang w:val="en-GB"/>
        </w:rPr>
        <w:t xml:space="preserve">the company’s </w:t>
      </w:r>
      <w:r w:rsidR="005B46F8">
        <w:rPr>
          <w:lang w:val="en-GB"/>
        </w:rPr>
        <w:t>assumption</w:t>
      </w:r>
      <w:r>
        <w:rPr>
          <w:lang w:val="en-GB"/>
        </w:rPr>
        <w:t xml:space="preserve"> overestimates the clinical and cost</w:t>
      </w:r>
      <w:r w:rsidR="005B46F8">
        <w:rPr>
          <w:lang w:val="en-GB"/>
        </w:rPr>
        <w:t xml:space="preserve"> </w:t>
      </w:r>
      <w:r>
        <w:rPr>
          <w:lang w:val="en-GB"/>
        </w:rPr>
        <w:t>effectiveness of liraglutide.</w:t>
      </w:r>
    </w:p>
    <w:p w14:paraId="102E2D52" w14:textId="19DBC852" w:rsidR="00643582" w:rsidRDefault="00314760" w:rsidP="00643582">
      <w:pPr>
        <w:pStyle w:val="Heading2"/>
      </w:pPr>
      <w:r>
        <w:lastRenderedPageBreak/>
        <w:t>Conclusion</w:t>
      </w:r>
    </w:p>
    <w:p w14:paraId="2A02D2D2" w14:textId="5A2407F0" w:rsidR="00706C73" w:rsidRDefault="00706C73" w:rsidP="00706C73">
      <w:pPr>
        <w:pStyle w:val="Heading3"/>
        <w:rPr>
          <w:iCs/>
        </w:rPr>
      </w:pPr>
      <w:r w:rsidRPr="00706C73">
        <w:t>Liraglutide is not recommended</w:t>
      </w:r>
    </w:p>
    <w:p w14:paraId="08A32FD3" w14:textId="5A0B88BB" w:rsidR="001C0EF4" w:rsidRDefault="00AD0775" w:rsidP="0033258D">
      <w:pPr>
        <w:pStyle w:val="Numberedlevel2text"/>
      </w:pPr>
      <w:r>
        <w:t xml:space="preserve">The committee noted that liraglutide with diet and exercise is an effective </w:t>
      </w:r>
      <w:r w:rsidR="00562379">
        <w:t xml:space="preserve">short-term </w:t>
      </w:r>
      <w:r>
        <w:t xml:space="preserve">treatment for weight loss and </w:t>
      </w:r>
      <w:r w:rsidR="00562379">
        <w:t xml:space="preserve">has temporary benefits on diabetic status. However, the </w:t>
      </w:r>
      <w:r w:rsidR="00F93E60">
        <w:t>ICER</w:t>
      </w:r>
      <w:r>
        <w:t xml:space="preserve"> for liraglutide could </w:t>
      </w:r>
      <w:r w:rsidR="00985C1A">
        <w:t xml:space="preserve">as high as £105,000 if only the effects on BMI </w:t>
      </w:r>
      <w:r w:rsidR="00562379">
        <w:t>are</w:t>
      </w:r>
      <w:r w:rsidR="00985C1A">
        <w:t xml:space="preserve"> included.</w:t>
      </w:r>
      <w:r>
        <w:t xml:space="preserve"> The committee identified </w:t>
      </w:r>
      <w:r w:rsidR="003A3975">
        <w:t>several</w:t>
      </w:r>
      <w:r>
        <w:t xml:space="preserve"> uncertainties around the modelling assumptions, particularly </w:t>
      </w:r>
      <w:r w:rsidR="005B46F8">
        <w:rPr>
          <w:lang w:val="en-US"/>
        </w:rPr>
        <w:t>about</w:t>
      </w:r>
      <w:r>
        <w:t xml:space="preserve"> </w:t>
      </w:r>
      <w:r w:rsidR="00570072">
        <w:t>what happens after stopping liraglutide</w:t>
      </w:r>
      <w:r w:rsidR="00985C1A">
        <w:t xml:space="preserve"> and </w:t>
      </w:r>
      <w:r w:rsidR="00570072">
        <w:t xml:space="preserve">the calculation of </w:t>
      </w:r>
      <w:r>
        <w:t>long-term benefits</w:t>
      </w:r>
      <w:r w:rsidR="005B46F8">
        <w:rPr>
          <w:lang w:val="en-US"/>
        </w:rPr>
        <w:t>.</w:t>
      </w:r>
      <w:r w:rsidR="00985C1A">
        <w:t xml:space="preserve"> </w:t>
      </w:r>
      <w:r w:rsidR="005B46F8">
        <w:rPr>
          <w:lang w:val="en-US"/>
        </w:rPr>
        <w:t>These result</w:t>
      </w:r>
      <w:r w:rsidR="00570072">
        <w:t xml:space="preserve"> </w:t>
      </w:r>
      <w:r w:rsidR="00985C1A">
        <w:t>in c</w:t>
      </w:r>
      <w:r>
        <w:t>onsiderable uncertainty about the true ICER. Therefore</w:t>
      </w:r>
      <w:r w:rsidR="00E45D1E">
        <w:t>,</w:t>
      </w:r>
      <w:r>
        <w:t xml:space="preserve"> the committee </w:t>
      </w:r>
      <w:r w:rsidR="005B46F8">
        <w:rPr>
          <w:lang w:val="en-US"/>
        </w:rPr>
        <w:t>was</w:t>
      </w:r>
      <w:r w:rsidR="005B46F8">
        <w:t xml:space="preserve"> </w:t>
      </w:r>
      <w:r>
        <w:t xml:space="preserve">unable to recommend liraglutide as a cost-effective treatment for use in the NHS </w:t>
      </w:r>
      <w:r w:rsidR="005B46F8">
        <w:rPr>
          <w:lang w:val="en-US"/>
        </w:rPr>
        <w:t>for</w:t>
      </w:r>
      <w:r>
        <w:t xml:space="preserve"> adults with </w:t>
      </w:r>
      <w:r w:rsidRPr="00AD0775">
        <w:t>a BMI of 35</w:t>
      </w:r>
      <w:r w:rsidR="00A90E06">
        <w:rPr>
          <w:lang w:val="en-US"/>
        </w:rPr>
        <w:t> </w:t>
      </w:r>
      <w:r w:rsidRPr="00AD0775">
        <w:t>kg/m</w:t>
      </w:r>
      <w:r w:rsidRPr="00E45D1E">
        <w:rPr>
          <w:vertAlign w:val="superscript"/>
        </w:rPr>
        <w:t>2</w:t>
      </w:r>
      <w:r w:rsidR="00A90E06">
        <w:rPr>
          <w:lang w:val="en-US"/>
        </w:rPr>
        <w:t xml:space="preserve"> or more</w:t>
      </w:r>
      <w:r w:rsidRPr="00AD0775">
        <w:t>, with pre-diabetes and a high risk of cardiovascular disease</w:t>
      </w:r>
      <w:r>
        <w:t>.</w:t>
      </w:r>
    </w:p>
    <w:p w14:paraId="76C22CA7" w14:textId="77777777" w:rsidR="000F48EC" w:rsidRPr="000F48EC" w:rsidRDefault="007A2801" w:rsidP="002E73E7">
      <w:pPr>
        <w:pStyle w:val="Numberedheading1"/>
      </w:pPr>
      <w:r>
        <w:t xml:space="preserve">Proposed date for </w:t>
      </w:r>
      <w:r w:rsidR="00000441">
        <w:t>r</w:t>
      </w:r>
      <w:r w:rsidR="000F48EC" w:rsidRPr="000F48EC">
        <w:t>eview of guidance</w:t>
      </w:r>
    </w:p>
    <w:p w14:paraId="1237F157" w14:textId="515D5C9E" w:rsidR="001823EB" w:rsidRDefault="001823EB" w:rsidP="001823EB">
      <w:pPr>
        <w:pStyle w:val="Numberedlevel2text"/>
      </w:pPr>
      <w:r w:rsidRPr="00044CC7">
        <w:t xml:space="preserve">NICE proposes that the guidance on this technology is considered for review by the </w:t>
      </w:r>
      <w:r w:rsidR="00476395">
        <w:rPr>
          <w:lang w:val="en-GB"/>
        </w:rPr>
        <w:t>guidance</w:t>
      </w:r>
      <w:r w:rsidRPr="00044CC7">
        <w:t xml:space="preserve"> </w:t>
      </w:r>
      <w:r w:rsidR="00476395">
        <w:rPr>
          <w:lang w:val="en-GB"/>
        </w:rPr>
        <w:t>executive</w:t>
      </w:r>
      <w:r>
        <w:rPr>
          <w:lang w:val="en-GB"/>
        </w:rPr>
        <w:t xml:space="preserve"> 3 years after publication of the guidance</w:t>
      </w:r>
      <w:r w:rsidRPr="00044CC7">
        <w:t xml:space="preserve">. NICE welcomes comment on this proposed date. The </w:t>
      </w:r>
      <w:r w:rsidR="00476395">
        <w:rPr>
          <w:lang w:val="en-GB"/>
        </w:rPr>
        <w:t>guidance</w:t>
      </w:r>
      <w:r w:rsidRPr="00044CC7">
        <w:t xml:space="preserve"> </w:t>
      </w:r>
      <w:r w:rsidR="00476395">
        <w:rPr>
          <w:lang w:val="en-GB"/>
        </w:rPr>
        <w:t>executive</w:t>
      </w:r>
      <w:r w:rsidRPr="00044CC7">
        <w:t xml:space="preserve"> will decide whether the technology should be reviewed based on information gathered by NICE, and in consultation with consultees and commentators.</w:t>
      </w:r>
    </w:p>
    <w:p w14:paraId="6EEA1EC9" w14:textId="05B6E947" w:rsidR="004845D0" w:rsidRDefault="000F4399" w:rsidP="00C62F72">
      <w:pPr>
        <w:pStyle w:val="NICEnormalindented"/>
        <w:ind w:left="0"/>
      </w:pPr>
      <w:r>
        <w:t>Jane Adam</w:t>
      </w:r>
      <w:r w:rsidR="004845D0">
        <w:br/>
      </w:r>
      <w:r w:rsidR="004845D0" w:rsidRPr="000F2D8A">
        <w:t xml:space="preserve">Chair, </w:t>
      </w:r>
      <w:r w:rsidR="003847B9">
        <w:t>a</w:t>
      </w:r>
      <w:r w:rsidR="004845D0" w:rsidRPr="000F2D8A">
        <w:t xml:space="preserve">ppraisal </w:t>
      </w:r>
      <w:r w:rsidR="003847B9">
        <w:t>c</w:t>
      </w:r>
      <w:r w:rsidR="004845D0" w:rsidRPr="000F2D8A">
        <w:t>ommittee</w:t>
      </w:r>
      <w:r w:rsidR="004845D0">
        <w:br/>
      </w:r>
      <w:r w:rsidR="00A65976">
        <w:t>Dec</w:t>
      </w:r>
      <w:r>
        <w:t>ember 2019</w:t>
      </w:r>
    </w:p>
    <w:p w14:paraId="26ABEAD9" w14:textId="77777777" w:rsidR="00B16431" w:rsidRPr="007D7F83" w:rsidRDefault="00B16431" w:rsidP="00B16431">
      <w:pPr>
        <w:pStyle w:val="Numberedheading1"/>
        <w:numPr>
          <w:ilvl w:val="0"/>
          <w:numId w:val="1"/>
        </w:numPr>
      </w:pPr>
      <w:r w:rsidRPr="007D7F83">
        <w:t xml:space="preserve">Appraisal </w:t>
      </w:r>
      <w:r w:rsidR="00343B53">
        <w:t>c</w:t>
      </w:r>
      <w:r w:rsidRPr="007D7F83">
        <w:t>ommittee members and NICE project team</w:t>
      </w:r>
    </w:p>
    <w:p w14:paraId="2C5D5AFA" w14:textId="77777777" w:rsidR="00B16431" w:rsidRPr="007D7F83" w:rsidRDefault="00B16431" w:rsidP="00B16431">
      <w:pPr>
        <w:pStyle w:val="Heading2"/>
      </w:pPr>
      <w:r w:rsidRPr="007D7F83">
        <w:t xml:space="preserve">Appraisal </w:t>
      </w:r>
      <w:r w:rsidR="00343B53">
        <w:t>c</w:t>
      </w:r>
      <w:r w:rsidRPr="007D7F83">
        <w:t>ommittee members</w:t>
      </w:r>
    </w:p>
    <w:p w14:paraId="147801FD" w14:textId="0260E377" w:rsidR="002F2583" w:rsidRPr="00742089" w:rsidRDefault="002F2583" w:rsidP="002F2583">
      <w:pPr>
        <w:pStyle w:val="NICEnormal"/>
        <w:rPr>
          <w:rFonts w:eastAsia="Calibri"/>
        </w:rPr>
      </w:pPr>
      <w:r>
        <w:t xml:space="preserve">The 4 technology appraisal committees are standing advisory committees of NICE. This topic was considered by </w:t>
      </w:r>
      <w:hyperlink r:id="rId12" w:history="1">
        <w:r w:rsidR="000F4399" w:rsidRPr="00B63546">
          <w:rPr>
            <w:rStyle w:val="Hyperlink"/>
            <w:rFonts w:eastAsia="Calibri"/>
          </w:rPr>
          <w:t>committee A</w:t>
        </w:r>
      </w:hyperlink>
      <w:r w:rsidR="000F4399">
        <w:rPr>
          <w:rStyle w:val="Hyperlink"/>
          <w:rFonts w:eastAsia="Calibri"/>
        </w:rPr>
        <w:t>.</w:t>
      </w:r>
    </w:p>
    <w:p w14:paraId="5AF1003B" w14:textId="04B983CE" w:rsidR="002F2583" w:rsidRDefault="002F2583" w:rsidP="002F2583">
      <w:pPr>
        <w:pStyle w:val="NICEnormal"/>
      </w:pPr>
      <w:r>
        <w:lastRenderedPageBreak/>
        <w:t>Committee members are asked to declare any interests in the technology to be appraised. If it is considered there is a conflict of interest, the member is excluded from participating further in that appraisal.</w:t>
      </w:r>
    </w:p>
    <w:p w14:paraId="6AA2AF8C" w14:textId="77777777" w:rsidR="002F2583" w:rsidRDefault="002F2583" w:rsidP="002F2583">
      <w:pPr>
        <w:pStyle w:val="NICEnormal"/>
      </w:pPr>
      <w:r>
        <w:t xml:space="preserve">The </w:t>
      </w:r>
      <w:hyperlink r:id="rId13" w:history="1">
        <w:r w:rsidRPr="00742089">
          <w:rPr>
            <w:rStyle w:val="Hyperlink"/>
            <w:rFonts w:eastAsia="Calibri"/>
          </w:rPr>
          <w:t>minutes</w:t>
        </w:r>
      </w:hyperlink>
      <w:r>
        <w:t xml:space="preserve"> of each appraisal committee meeting, which include the names of the members who attended and their declarations of interests, are posted on the NICE website.</w:t>
      </w:r>
    </w:p>
    <w:p w14:paraId="67CC9919" w14:textId="77777777" w:rsidR="00B16431" w:rsidRPr="007D7F83" w:rsidRDefault="00B16431" w:rsidP="00B16431">
      <w:pPr>
        <w:pStyle w:val="Heading2"/>
      </w:pPr>
      <w:r w:rsidRPr="007D7F83">
        <w:t>NICE project team</w:t>
      </w:r>
    </w:p>
    <w:p w14:paraId="2F1A4BBE" w14:textId="5939FC45" w:rsidR="00B16431" w:rsidRPr="000F2D8A" w:rsidRDefault="00B16431" w:rsidP="00B16431">
      <w:pPr>
        <w:pStyle w:val="NICEnormal"/>
      </w:pPr>
      <w:r w:rsidRPr="0058413D">
        <w:t xml:space="preserve">Each technology appraisal is assigned to a team consisting of </w:t>
      </w:r>
      <w:r>
        <w:t>1</w:t>
      </w:r>
      <w:r w:rsidRPr="0058413D">
        <w:t xml:space="preserve"> or more health technology analysts (who act as technical leads for the appraisal), a technical adviser and a project manager.</w:t>
      </w:r>
    </w:p>
    <w:p w14:paraId="1ED894F0" w14:textId="0A7295FF" w:rsidR="00B16431" w:rsidRPr="000F2D8A" w:rsidRDefault="00A65976" w:rsidP="00B16431">
      <w:pPr>
        <w:pStyle w:val="NICEnormal"/>
      </w:pPr>
      <w:bookmarkStart w:id="2" w:name="Text45"/>
      <w:r>
        <w:rPr>
          <w:b/>
        </w:rPr>
        <w:t>Sarah Wood</w:t>
      </w:r>
      <w:r w:rsidR="00B16431">
        <w:br/>
      </w:r>
      <w:r w:rsidR="00B16431" w:rsidRPr="000F2D8A">
        <w:t xml:space="preserve">Technical </w:t>
      </w:r>
      <w:r w:rsidR="00E65C76">
        <w:t>l</w:t>
      </w:r>
      <w:r w:rsidR="00B16431" w:rsidRPr="000F2D8A">
        <w:t>ead</w:t>
      </w:r>
    </w:p>
    <w:p w14:paraId="75D677A7" w14:textId="72218AC7" w:rsidR="00B16431" w:rsidRPr="000F2D8A" w:rsidRDefault="000F4399" w:rsidP="00B16431">
      <w:pPr>
        <w:pStyle w:val="NICEnormal"/>
      </w:pPr>
      <w:r>
        <w:rPr>
          <w:b/>
        </w:rPr>
        <w:t>Rufaro Kausi</w:t>
      </w:r>
      <w:r w:rsidR="00B16431">
        <w:br/>
      </w:r>
      <w:r w:rsidR="00B16431" w:rsidRPr="00AF59A2">
        <w:t xml:space="preserve">Technical </w:t>
      </w:r>
      <w:r w:rsidR="00E65C76">
        <w:t>a</w:t>
      </w:r>
      <w:r w:rsidR="00B16431" w:rsidRPr="00AF59A2">
        <w:t>dviser</w:t>
      </w:r>
    </w:p>
    <w:p w14:paraId="3FB931E9" w14:textId="40E06E7F" w:rsidR="00B16431" w:rsidRPr="000F2D8A" w:rsidRDefault="000F4399" w:rsidP="005D3FD9">
      <w:pPr>
        <w:pStyle w:val="NICEnormal"/>
      </w:pPr>
      <w:r>
        <w:rPr>
          <w:b/>
        </w:rPr>
        <w:t>Thomas Feist</w:t>
      </w:r>
      <w:r w:rsidR="00B16431">
        <w:br/>
      </w:r>
      <w:r w:rsidR="00B16431" w:rsidRPr="000F2D8A">
        <w:t xml:space="preserve">Project </w:t>
      </w:r>
      <w:r w:rsidR="00E65C76">
        <w:t>m</w:t>
      </w:r>
      <w:r w:rsidR="00B16431" w:rsidRPr="000F2D8A">
        <w:t>anager</w:t>
      </w:r>
      <w:bookmarkEnd w:id="2"/>
    </w:p>
    <w:p w14:paraId="3EBC9561" w14:textId="77777777" w:rsidR="006E7647" w:rsidRPr="000F48EC" w:rsidRDefault="006E7647" w:rsidP="00F05E37">
      <w:pPr>
        <w:pStyle w:val="NICEnormal"/>
      </w:pPr>
      <w:r>
        <w:t xml:space="preserve">ISBN: </w:t>
      </w:r>
      <w:r w:rsidRPr="004D7C92">
        <w:rPr>
          <w:highlight w:val="green"/>
        </w:rPr>
        <w:t>[to be added at publication]</w:t>
      </w:r>
    </w:p>
    <w:sectPr w:rsidR="006E7647" w:rsidRPr="000F48EC" w:rsidSect="00C76DDA">
      <w:headerReference w:type="default" r:id="rId14"/>
      <w:footerReference w:type="default" r:id="rId15"/>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15BA9" w14:textId="77777777" w:rsidR="00B12645" w:rsidRDefault="00B12645">
      <w:r>
        <w:separator/>
      </w:r>
    </w:p>
  </w:endnote>
  <w:endnote w:type="continuationSeparator" w:id="0">
    <w:p w14:paraId="0C789449" w14:textId="77777777" w:rsidR="00B12645" w:rsidRDefault="00B1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4E3EB" w14:textId="6AF7FA6D" w:rsidR="00B12645" w:rsidRDefault="00B12645" w:rsidP="007A7EC8">
    <w:pPr>
      <w:pStyle w:val="NICEnormalsinglespacing"/>
      <w:spacing w:after="120"/>
      <w:rPr>
        <w:sz w:val="18"/>
        <w:szCs w:val="18"/>
      </w:rPr>
    </w:pPr>
    <w:r>
      <w:rPr>
        <w:sz w:val="18"/>
        <w:szCs w:val="18"/>
      </w:rPr>
      <w:t>Appraisal consultation document</w:t>
    </w:r>
    <w:r w:rsidRPr="003D33FB">
      <w:rPr>
        <w:sz w:val="18"/>
        <w:szCs w:val="18"/>
      </w:rPr>
      <w:t xml:space="preserve"> –</w:t>
    </w:r>
    <w:r>
      <w:rPr>
        <w:sz w:val="18"/>
        <w:szCs w:val="18"/>
      </w:rPr>
      <w:t xml:space="preserve"> Liraglutide for managing overweight and obesity</w:t>
    </w:r>
    <w:r>
      <w:rPr>
        <w:sz w:val="18"/>
        <w:szCs w:val="18"/>
      </w:rPr>
      <w:tab/>
    </w:r>
  </w:p>
  <w:p w14:paraId="06D27621" w14:textId="5068709C" w:rsidR="00B12645" w:rsidRPr="003D33FB" w:rsidRDefault="00B12645" w:rsidP="007A7EC8">
    <w:pPr>
      <w:pStyle w:val="NICEnormalsinglespacing"/>
      <w:spacing w:after="120"/>
      <w:rPr>
        <w:sz w:val="18"/>
        <w:szCs w:val="18"/>
      </w:rPr>
    </w:pP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14</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14</w:t>
    </w:r>
    <w:r w:rsidRPr="0039118D">
      <w:rPr>
        <w:rStyle w:val="PageNumber"/>
        <w:sz w:val="20"/>
        <w:szCs w:val="20"/>
      </w:rPr>
      <w:fldChar w:fldCharType="end"/>
    </w:r>
  </w:p>
  <w:p w14:paraId="530A77A0" w14:textId="5B1031EA" w:rsidR="00B12645" w:rsidRDefault="00B12645" w:rsidP="007A7EC8">
    <w:pPr>
      <w:pStyle w:val="NICEnormalsinglespacing"/>
      <w:spacing w:after="120"/>
      <w:rPr>
        <w:sz w:val="18"/>
        <w:szCs w:val="18"/>
      </w:rPr>
    </w:pPr>
    <w:r w:rsidRPr="003D33FB">
      <w:rPr>
        <w:sz w:val="18"/>
        <w:szCs w:val="18"/>
      </w:rPr>
      <w:t xml:space="preserve">Issue date: </w:t>
    </w:r>
    <w:r w:rsidR="00261CAC">
      <w:rPr>
        <w:sz w:val="18"/>
        <w:szCs w:val="18"/>
      </w:rPr>
      <w:t>January 2020</w:t>
    </w:r>
  </w:p>
  <w:p w14:paraId="539C1256" w14:textId="015335FD" w:rsidR="00B12645" w:rsidRPr="007A7EC8" w:rsidRDefault="00B12645" w:rsidP="007A7EC8">
    <w:pPr>
      <w:pStyle w:val="NICEnormalsinglespacing"/>
      <w:spacing w:after="120"/>
    </w:pPr>
    <w:r>
      <w:rPr>
        <w:sz w:val="18"/>
        <w:szCs w:val="18"/>
      </w:rPr>
      <w:t xml:space="preserve">© NICE 2019.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27A78" w14:textId="77777777" w:rsidR="00B12645" w:rsidRDefault="00B12645">
      <w:r>
        <w:separator/>
      </w:r>
    </w:p>
  </w:footnote>
  <w:footnote w:type="continuationSeparator" w:id="0">
    <w:p w14:paraId="58841E89" w14:textId="77777777" w:rsidR="00B12645" w:rsidRDefault="00B12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F96DD" w14:textId="77777777" w:rsidR="00B12645" w:rsidRPr="004E6427" w:rsidRDefault="00B12645"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6093032"/>
    <w:multiLevelType w:val="hybridMultilevel"/>
    <w:tmpl w:val="6B9A88AA"/>
    <w:lvl w:ilvl="0" w:tplc="8732FAD6">
      <w:start w:val="1"/>
      <w:numFmt w:val="bullet"/>
      <w:lvlText w:val="–"/>
      <w:lvlJc w:val="left"/>
      <w:pPr>
        <w:tabs>
          <w:tab w:val="num" w:pos="720"/>
        </w:tabs>
        <w:ind w:left="720" w:hanging="360"/>
      </w:pPr>
      <w:rPr>
        <w:rFonts w:ascii="Arial" w:hAnsi="Arial" w:hint="default"/>
      </w:rPr>
    </w:lvl>
    <w:lvl w:ilvl="1" w:tplc="8270A5C4">
      <w:start w:val="1"/>
      <w:numFmt w:val="bullet"/>
      <w:lvlText w:val="–"/>
      <w:lvlJc w:val="left"/>
      <w:pPr>
        <w:tabs>
          <w:tab w:val="num" w:pos="1440"/>
        </w:tabs>
        <w:ind w:left="1440" w:hanging="360"/>
      </w:pPr>
      <w:rPr>
        <w:rFonts w:ascii="Arial" w:hAnsi="Arial" w:hint="default"/>
      </w:rPr>
    </w:lvl>
    <w:lvl w:ilvl="2" w:tplc="FC2837C6" w:tentative="1">
      <w:start w:val="1"/>
      <w:numFmt w:val="bullet"/>
      <w:lvlText w:val="–"/>
      <w:lvlJc w:val="left"/>
      <w:pPr>
        <w:tabs>
          <w:tab w:val="num" w:pos="2160"/>
        </w:tabs>
        <w:ind w:left="2160" w:hanging="360"/>
      </w:pPr>
      <w:rPr>
        <w:rFonts w:ascii="Arial" w:hAnsi="Arial" w:hint="default"/>
      </w:rPr>
    </w:lvl>
    <w:lvl w:ilvl="3" w:tplc="FD1E2164" w:tentative="1">
      <w:start w:val="1"/>
      <w:numFmt w:val="bullet"/>
      <w:lvlText w:val="–"/>
      <w:lvlJc w:val="left"/>
      <w:pPr>
        <w:tabs>
          <w:tab w:val="num" w:pos="2880"/>
        </w:tabs>
        <w:ind w:left="2880" w:hanging="360"/>
      </w:pPr>
      <w:rPr>
        <w:rFonts w:ascii="Arial" w:hAnsi="Arial" w:hint="default"/>
      </w:rPr>
    </w:lvl>
    <w:lvl w:ilvl="4" w:tplc="6888A5A0" w:tentative="1">
      <w:start w:val="1"/>
      <w:numFmt w:val="bullet"/>
      <w:lvlText w:val="–"/>
      <w:lvlJc w:val="left"/>
      <w:pPr>
        <w:tabs>
          <w:tab w:val="num" w:pos="3600"/>
        </w:tabs>
        <w:ind w:left="3600" w:hanging="360"/>
      </w:pPr>
      <w:rPr>
        <w:rFonts w:ascii="Arial" w:hAnsi="Arial" w:hint="default"/>
      </w:rPr>
    </w:lvl>
    <w:lvl w:ilvl="5" w:tplc="8006D972" w:tentative="1">
      <w:start w:val="1"/>
      <w:numFmt w:val="bullet"/>
      <w:lvlText w:val="–"/>
      <w:lvlJc w:val="left"/>
      <w:pPr>
        <w:tabs>
          <w:tab w:val="num" w:pos="4320"/>
        </w:tabs>
        <w:ind w:left="4320" w:hanging="360"/>
      </w:pPr>
      <w:rPr>
        <w:rFonts w:ascii="Arial" w:hAnsi="Arial" w:hint="default"/>
      </w:rPr>
    </w:lvl>
    <w:lvl w:ilvl="6" w:tplc="812637B8" w:tentative="1">
      <w:start w:val="1"/>
      <w:numFmt w:val="bullet"/>
      <w:lvlText w:val="–"/>
      <w:lvlJc w:val="left"/>
      <w:pPr>
        <w:tabs>
          <w:tab w:val="num" w:pos="5040"/>
        </w:tabs>
        <w:ind w:left="5040" w:hanging="360"/>
      </w:pPr>
      <w:rPr>
        <w:rFonts w:ascii="Arial" w:hAnsi="Arial" w:hint="default"/>
      </w:rPr>
    </w:lvl>
    <w:lvl w:ilvl="7" w:tplc="1F904CAE" w:tentative="1">
      <w:start w:val="1"/>
      <w:numFmt w:val="bullet"/>
      <w:lvlText w:val="–"/>
      <w:lvlJc w:val="left"/>
      <w:pPr>
        <w:tabs>
          <w:tab w:val="num" w:pos="5760"/>
        </w:tabs>
        <w:ind w:left="5760" w:hanging="360"/>
      </w:pPr>
      <w:rPr>
        <w:rFonts w:ascii="Arial" w:hAnsi="Arial" w:hint="default"/>
      </w:rPr>
    </w:lvl>
    <w:lvl w:ilvl="8" w:tplc="10DAEC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6A001E"/>
    <w:multiLevelType w:val="hybridMultilevel"/>
    <w:tmpl w:val="75860612"/>
    <w:lvl w:ilvl="0" w:tplc="3878A6FE">
      <w:start w:val="1"/>
      <w:numFmt w:val="bullet"/>
      <w:lvlText w:val="•"/>
      <w:lvlJc w:val="left"/>
      <w:pPr>
        <w:tabs>
          <w:tab w:val="num" w:pos="720"/>
        </w:tabs>
        <w:ind w:left="720" w:hanging="360"/>
      </w:pPr>
      <w:rPr>
        <w:rFonts w:ascii="Arial" w:hAnsi="Arial" w:hint="default"/>
      </w:rPr>
    </w:lvl>
    <w:lvl w:ilvl="1" w:tplc="12800266" w:tentative="1">
      <w:start w:val="1"/>
      <w:numFmt w:val="bullet"/>
      <w:lvlText w:val="•"/>
      <w:lvlJc w:val="left"/>
      <w:pPr>
        <w:tabs>
          <w:tab w:val="num" w:pos="1440"/>
        </w:tabs>
        <w:ind w:left="1440" w:hanging="360"/>
      </w:pPr>
      <w:rPr>
        <w:rFonts w:ascii="Arial" w:hAnsi="Arial" w:hint="default"/>
      </w:rPr>
    </w:lvl>
    <w:lvl w:ilvl="2" w:tplc="5204F058" w:tentative="1">
      <w:start w:val="1"/>
      <w:numFmt w:val="bullet"/>
      <w:lvlText w:val="•"/>
      <w:lvlJc w:val="left"/>
      <w:pPr>
        <w:tabs>
          <w:tab w:val="num" w:pos="2160"/>
        </w:tabs>
        <w:ind w:left="2160" w:hanging="360"/>
      </w:pPr>
      <w:rPr>
        <w:rFonts w:ascii="Arial" w:hAnsi="Arial" w:hint="default"/>
      </w:rPr>
    </w:lvl>
    <w:lvl w:ilvl="3" w:tplc="293C539A" w:tentative="1">
      <w:start w:val="1"/>
      <w:numFmt w:val="bullet"/>
      <w:lvlText w:val="•"/>
      <w:lvlJc w:val="left"/>
      <w:pPr>
        <w:tabs>
          <w:tab w:val="num" w:pos="2880"/>
        </w:tabs>
        <w:ind w:left="2880" w:hanging="360"/>
      </w:pPr>
      <w:rPr>
        <w:rFonts w:ascii="Arial" w:hAnsi="Arial" w:hint="default"/>
      </w:rPr>
    </w:lvl>
    <w:lvl w:ilvl="4" w:tplc="C9BCC670" w:tentative="1">
      <w:start w:val="1"/>
      <w:numFmt w:val="bullet"/>
      <w:lvlText w:val="•"/>
      <w:lvlJc w:val="left"/>
      <w:pPr>
        <w:tabs>
          <w:tab w:val="num" w:pos="3600"/>
        </w:tabs>
        <w:ind w:left="3600" w:hanging="360"/>
      </w:pPr>
      <w:rPr>
        <w:rFonts w:ascii="Arial" w:hAnsi="Arial" w:hint="default"/>
      </w:rPr>
    </w:lvl>
    <w:lvl w:ilvl="5" w:tplc="546E867C" w:tentative="1">
      <w:start w:val="1"/>
      <w:numFmt w:val="bullet"/>
      <w:lvlText w:val="•"/>
      <w:lvlJc w:val="left"/>
      <w:pPr>
        <w:tabs>
          <w:tab w:val="num" w:pos="4320"/>
        </w:tabs>
        <w:ind w:left="4320" w:hanging="360"/>
      </w:pPr>
      <w:rPr>
        <w:rFonts w:ascii="Arial" w:hAnsi="Arial" w:hint="default"/>
      </w:rPr>
    </w:lvl>
    <w:lvl w:ilvl="6" w:tplc="BC42AF84" w:tentative="1">
      <w:start w:val="1"/>
      <w:numFmt w:val="bullet"/>
      <w:lvlText w:val="•"/>
      <w:lvlJc w:val="left"/>
      <w:pPr>
        <w:tabs>
          <w:tab w:val="num" w:pos="5040"/>
        </w:tabs>
        <w:ind w:left="5040" w:hanging="360"/>
      </w:pPr>
      <w:rPr>
        <w:rFonts w:ascii="Arial" w:hAnsi="Arial" w:hint="default"/>
      </w:rPr>
    </w:lvl>
    <w:lvl w:ilvl="7" w:tplc="06E4BD6C" w:tentative="1">
      <w:start w:val="1"/>
      <w:numFmt w:val="bullet"/>
      <w:lvlText w:val="•"/>
      <w:lvlJc w:val="left"/>
      <w:pPr>
        <w:tabs>
          <w:tab w:val="num" w:pos="5760"/>
        </w:tabs>
        <w:ind w:left="5760" w:hanging="360"/>
      </w:pPr>
      <w:rPr>
        <w:rFonts w:ascii="Arial" w:hAnsi="Arial" w:hint="default"/>
      </w:rPr>
    </w:lvl>
    <w:lvl w:ilvl="8" w:tplc="5B66EC9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C3584"/>
    <w:multiLevelType w:val="multilevel"/>
    <w:tmpl w:val="A87ACBC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509063A1"/>
    <w:multiLevelType w:val="hybridMultilevel"/>
    <w:tmpl w:val="26061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ADE416C"/>
    <w:multiLevelType w:val="hybridMultilevel"/>
    <w:tmpl w:val="F66C51C2"/>
    <w:lvl w:ilvl="0" w:tplc="F74E1D4E">
      <w:start w:val="1"/>
      <w:numFmt w:val="bullet"/>
      <w:lvlText w:val="•"/>
      <w:lvlJc w:val="left"/>
      <w:pPr>
        <w:tabs>
          <w:tab w:val="num" w:pos="720"/>
        </w:tabs>
        <w:ind w:left="720" w:hanging="360"/>
      </w:pPr>
      <w:rPr>
        <w:rFonts w:ascii="Arial" w:hAnsi="Arial" w:hint="default"/>
      </w:rPr>
    </w:lvl>
    <w:lvl w:ilvl="1" w:tplc="97ECC8BC" w:tentative="1">
      <w:start w:val="1"/>
      <w:numFmt w:val="bullet"/>
      <w:lvlText w:val="•"/>
      <w:lvlJc w:val="left"/>
      <w:pPr>
        <w:tabs>
          <w:tab w:val="num" w:pos="1440"/>
        </w:tabs>
        <w:ind w:left="1440" w:hanging="360"/>
      </w:pPr>
      <w:rPr>
        <w:rFonts w:ascii="Arial" w:hAnsi="Arial" w:hint="default"/>
      </w:rPr>
    </w:lvl>
    <w:lvl w:ilvl="2" w:tplc="7C2625D6" w:tentative="1">
      <w:start w:val="1"/>
      <w:numFmt w:val="bullet"/>
      <w:lvlText w:val="•"/>
      <w:lvlJc w:val="left"/>
      <w:pPr>
        <w:tabs>
          <w:tab w:val="num" w:pos="2160"/>
        </w:tabs>
        <w:ind w:left="2160" w:hanging="360"/>
      </w:pPr>
      <w:rPr>
        <w:rFonts w:ascii="Arial" w:hAnsi="Arial" w:hint="default"/>
      </w:rPr>
    </w:lvl>
    <w:lvl w:ilvl="3" w:tplc="F23479CA" w:tentative="1">
      <w:start w:val="1"/>
      <w:numFmt w:val="bullet"/>
      <w:lvlText w:val="•"/>
      <w:lvlJc w:val="left"/>
      <w:pPr>
        <w:tabs>
          <w:tab w:val="num" w:pos="2880"/>
        </w:tabs>
        <w:ind w:left="2880" w:hanging="360"/>
      </w:pPr>
      <w:rPr>
        <w:rFonts w:ascii="Arial" w:hAnsi="Arial" w:hint="default"/>
      </w:rPr>
    </w:lvl>
    <w:lvl w:ilvl="4" w:tplc="A1CED5F2" w:tentative="1">
      <w:start w:val="1"/>
      <w:numFmt w:val="bullet"/>
      <w:lvlText w:val="•"/>
      <w:lvlJc w:val="left"/>
      <w:pPr>
        <w:tabs>
          <w:tab w:val="num" w:pos="3600"/>
        </w:tabs>
        <w:ind w:left="3600" w:hanging="360"/>
      </w:pPr>
      <w:rPr>
        <w:rFonts w:ascii="Arial" w:hAnsi="Arial" w:hint="default"/>
      </w:rPr>
    </w:lvl>
    <w:lvl w:ilvl="5" w:tplc="1E1A499E" w:tentative="1">
      <w:start w:val="1"/>
      <w:numFmt w:val="bullet"/>
      <w:lvlText w:val="•"/>
      <w:lvlJc w:val="left"/>
      <w:pPr>
        <w:tabs>
          <w:tab w:val="num" w:pos="4320"/>
        </w:tabs>
        <w:ind w:left="4320" w:hanging="360"/>
      </w:pPr>
      <w:rPr>
        <w:rFonts w:ascii="Arial" w:hAnsi="Arial" w:hint="default"/>
      </w:rPr>
    </w:lvl>
    <w:lvl w:ilvl="6" w:tplc="981045EA" w:tentative="1">
      <w:start w:val="1"/>
      <w:numFmt w:val="bullet"/>
      <w:lvlText w:val="•"/>
      <w:lvlJc w:val="left"/>
      <w:pPr>
        <w:tabs>
          <w:tab w:val="num" w:pos="5040"/>
        </w:tabs>
        <w:ind w:left="5040" w:hanging="360"/>
      </w:pPr>
      <w:rPr>
        <w:rFonts w:ascii="Arial" w:hAnsi="Arial" w:hint="default"/>
      </w:rPr>
    </w:lvl>
    <w:lvl w:ilvl="7" w:tplc="A9B87EC0" w:tentative="1">
      <w:start w:val="1"/>
      <w:numFmt w:val="bullet"/>
      <w:lvlText w:val="•"/>
      <w:lvlJc w:val="left"/>
      <w:pPr>
        <w:tabs>
          <w:tab w:val="num" w:pos="5760"/>
        </w:tabs>
        <w:ind w:left="5760" w:hanging="360"/>
      </w:pPr>
      <w:rPr>
        <w:rFonts w:ascii="Arial" w:hAnsi="Arial" w:hint="default"/>
      </w:rPr>
    </w:lvl>
    <w:lvl w:ilvl="8" w:tplc="F57ADDE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663254D"/>
    <w:multiLevelType w:val="hybridMultilevel"/>
    <w:tmpl w:val="86945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D9F39F0"/>
    <w:multiLevelType w:val="hybridMultilevel"/>
    <w:tmpl w:val="572E10E6"/>
    <w:lvl w:ilvl="0" w:tplc="149E644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E86EA3"/>
    <w:multiLevelType w:val="hybridMultilevel"/>
    <w:tmpl w:val="BAEE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2"/>
  </w:num>
  <w:num w:numId="3">
    <w:abstractNumId w:val="17"/>
  </w:num>
  <w:num w:numId="4">
    <w:abstractNumId w:val="11"/>
  </w:num>
  <w:num w:numId="5">
    <w:abstractNumId w:val="12"/>
  </w:num>
  <w:num w:numId="6">
    <w:abstractNumId w:val="0"/>
  </w:num>
  <w:num w:numId="7">
    <w:abstractNumId w:val="3"/>
  </w:num>
  <w:num w:numId="8">
    <w:abstractNumId w:val="5"/>
  </w:num>
  <w:num w:numId="9">
    <w:abstractNumId w:val="7"/>
  </w:num>
  <w:num w:numId="10">
    <w:abstractNumId w:val="8"/>
  </w:num>
  <w:num w:numId="11">
    <w:abstractNumId w:val="10"/>
  </w:num>
  <w:num w:numId="12">
    <w:abstractNumId w:val="9"/>
  </w:num>
  <w:num w:numId="13">
    <w:abstractNumId w:val="4"/>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8"/>
  </w:num>
  <w:num w:numId="18">
    <w:abstractNumId w:val="13"/>
  </w:num>
  <w:num w:numId="19">
    <w:abstractNumId w:val="20"/>
  </w:num>
  <w:num w:numId="20">
    <w:abstractNumId w:val="16"/>
  </w:num>
  <w:num w:numId="21">
    <w:abstractNumId w:val="1"/>
  </w:num>
  <w:num w:numId="22">
    <w:abstractNumId w:val="15"/>
  </w:num>
  <w:num w:numId="23">
    <w:abstractNumId w:val="6"/>
  </w:num>
  <w:num w:numId="24">
    <w:abstractNumId w:val="8"/>
  </w:num>
  <w:num w:numId="25">
    <w:abstractNumId w:val="19"/>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36"/>
    <w:rsid w:val="00000441"/>
    <w:rsid w:val="00006590"/>
    <w:rsid w:val="000069A4"/>
    <w:rsid w:val="000069F9"/>
    <w:rsid w:val="0000727D"/>
    <w:rsid w:val="000119FB"/>
    <w:rsid w:val="000124C2"/>
    <w:rsid w:val="00014476"/>
    <w:rsid w:val="00014527"/>
    <w:rsid w:val="00014990"/>
    <w:rsid w:val="00016A22"/>
    <w:rsid w:val="00016E5E"/>
    <w:rsid w:val="00017610"/>
    <w:rsid w:val="000205C6"/>
    <w:rsid w:val="00021FB0"/>
    <w:rsid w:val="000221AA"/>
    <w:rsid w:val="0002331F"/>
    <w:rsid w:val="00023F26"/>
    <w:rsid w:val="000249F8"/>
    <w:rsid w:val="00024E37"/>
    <w:rsid w:val="00025D78"/>
    <w:rsid w:val="00026E82"/>
    <w:rsid w:val="000305B4"/>
    <w:rsid w:val="00030676"/>
    <w:rsid w:val="00030714"/>
    <w:rsid w:val="0003322C"/>
    <w:rsid w:val="00033556"/>
    <w:rsid w:val="000338BB"/>
    <w:rsid w:val="00034110"/>
    <w:rsid w:val="00035AC1"/>
    <w:rsid w:val="000364D1"/>
    <w:rsid w:val="000368FC"/>
    <w:rsid w:val="000376EE"/>
    <w:rsid w:val="000421F8"/>
    <w:rsid w:val="00043262"/>
    <w:rsid w:val="00045528"/>
    <w:rsid w:val="00052063"/>
    <w:rsid w:val="00053553"/>
    <w:rsid w:val="00055DDF"/>
    <w:rsid w:val="00057724"/>
    <w:rsid w:val="00061C83"/>
    <w:rsid w:val="00062D4E"/>
    <w:rsid w:val="0006624B"/>
    <w:rsid w:val="000663C7"/>
    <w:rsid w:val="000711F1"/>
    <w:rsid w:val="00071C98"/>
    <w:rsid w:val="00073DA8"/>
    <w:rsid w:val="000755E6"/>
    <w:rsid w:val="000764D3"/>
    <w:rsid w:val="00080A47"/>
    <w:rsid w:val="00082F77"/>
    <w:rsid w:val="00083498"/>
    <w:rsid w:val="00085735"/>
    <w:rsid w:val="00085C5A"/>
    <w:rsid w:val="000862FC"/>
    <w:rsid w:val="00086BED"/>
    <w:rsid w:val="00087323"/>
    <w:rsid w:val="000879ED"/>
    <w:rsid w:val="000921B9"/>
    <w:rsid w:val="00093649"/>
    <w:rsid w:val="000952A2"/>
    <w:rsid w:val="00096246"/>
    <w:rsid w:val="000A0A6E"/>
    <w:rsid w:val="000A119B"/>
    <w:rsid w:val="000A248E"/>
    <w:rsid w:val="000A4016"/>
    <w:rsid w:val="000A6C40"/>
    <w:rsid w:val="000B06F3"/>
    <w:rsid w:val="000B70D6"/>
    <w:rsid w:val="000B7F7A"/>
    <w:rsid w:val="000C04A1"/>
    <w:rsid w:val="000C0523"/>
    <w:rsid w:val="000C07E2"/>
    <w:rsid w:val="000C12E8"/>
    <w:rsid w:val="000C194F"/>
    <w:rsid w:val="000C1AE6"/>
    <w:rsid w:val="000C2222"/>
    <w:rsid w:val="000C3639"/>
    <w:rsid w:val="000C58A6"/>
    <w:rsid w:val="000C672F"/>
    <w:rsid w:val="000D09ED"/>
    <w:rsid w:val="000D0A87"/>
    <w:rsid w:val="000D0FB1"/>
    <w:rsid w:val="000D11B8"/>
    <w:rsid w:val="000D145B"/>
    <w:rsid w:val="000D6016"/>
    <w:rsid w:val="000D7185"/>
    <w:rsid w:val="000E1CED"/>
    <w:rsid w:val="000E24BD"/>
    <w:rsid w:val="000E29D1"/>
    <w:rsid w:val="000E6F19"/>
    <w:rsid w:val="000F0360"/>
    <w:rsid w:val="000F1E3F"/>
    <w:rsid w:val="000F3DBC"/>
    <w:rsid w:val="000F4399"/>
    <w:rsid w:val="000F48EC"/>
    <w:rsid w:val="000F6DC6"/>
    <w:rsid w:val="00101571"/>
    <w:rsid w:val="00101F34"/>
    <w:rsid w:val="001033D5"/>
    <w:rsid w:val="001039F7"/>
    <w:rsid w:val="00103CC0"/>
    <w:rsid w:val="00105409"/>
    <w:rsid w:val="00105B37"/>
    <w:rsid w:val="001077F6"/>
    <w:rsid w:val="001079F2"/>
    <w:rsid w:val="00107DBD"/>
    <w:rsid w:val="00111408"/>
    <w:rsid w:val="00113666"/>
    <w:rsid w:val="001169FE"/>
    <w:rsid w:val="00116D19"/>
    <w:rsid w:val="00121214"/>
    <w:rsid w:val="00121549"/>
    <w:rsid w:val="00121E78"/>
    <w:rsid w:val="001230AC"/>
    <w:rsid w:val="00124604"/>
    <w:rsid w:val="001254FF"/>
    <w:rsid w:val="001265C0"/>
    <w:rsid w:val="00131459"/>
    <w:rsid w:val="00131A3B"/>
    <w:rsid w:val="0013301F"/>
    <w:rsid w:val="001337B7"/>
    <w:rsid w:val="00133921"/>
    <w:rsid w:val="00136838"/>
    <w:rsid w:val="00140ABD"/>
    <w:rsid w:val="00140C93"/>
    <w:rsid w:val="00143536"/>
    <w:rsid w:val="00145B2F"/>
    <w:rsid w:val="00150440"/>
    <w:rsid w:val="00151D8E"/>
    <w:rsid w:val="001570BC"/>
    <w:rsid w:val="0015717F"/>
    <w:rsid w:val="001579BF"/>
    <w:rsid w:val="00161AA0"/>
    <w:rsid w:val="00161CFE"/>
    <w:rsid w:val="001662BC"/>
    <w:rsid w:val="0017072D"/>
    <w:rsid w:val="00170B60"/>
    <w:rsid w:val="00171A2B"/>
    <w:rsid w:val="00173D1E"/>
    <w:rsid w:val="001746B2"/>
    <w:rsid w:val="00176FB2"/>
    <w:rsid w:val="00180565"/>
    <w:rsid w:val="001820F6"/>
    <w:rsid w:val="001823EB"/>
    <w:rsid w:val="00184A64"/>
    <w:rsid w:val="0018716E"/>
    <w:rsid w:val="001873CB"/>
    <w:rsid w:val="00187670"/>
    <w:rsid w:val="001900EC"/>
    <w:rsid w:val="00191B56"/>
    <w:rsid w:val="00193945"/>
    <w:rsid w:val="001956FC"/>
    <w:rsid w:val="0019718A"/>
    <w:rsid w:val="001A129F"/>
    <w:rsid w:val="001A1AE2"/>
    <w:rsid w:val="001A4AE6"/>
    <w:rsid w:val="001A50C4"/>
    <w:rsid w:val="001B2DD8"/>
    <w:rsid w:val="001B35FC"/>
    <w:rsid w:val="001B52DC"/>
    <w:rsid w:val="001B7E00"/>
    <w:rsid w:val="001C0EF4"/>
    <w:rsid w:val="001C59E4"/>
    <w:rsid w:val="001D09D8"/>
    <w:rsid w:val="001D1D43"/>
    <w:rsid w:val="001D2260"/>
    <w:rsid w:val="001E11A4"/>
    <w:rsid w:val="001E27E5"/>
    <w:rsid w:val="001E2CAF"/>
    <w:rsid w:val="001E4D37"/>
    <w:rsid w:val="001F1400"/>
    <w:rsid w:val="001F2BD4"/>
    <w:rsid w:val="001F6078"/>
    <w:rsid w:val="001F6515"/>
    <w:rsid w:val="001F7251"/>
    <w:rsid w:val="00204D65"/>
    <w:rsid w:val="00204F82"/>
    <w:rsid w:val="00207843"/>
    <w:rsid w:val="0021081C"/>
    <w:rsid w:val="002119CD"/>
    <w:rsid w:val="002159C9"/>
    <w:rsid w:val="002218BC"/>
    <w:rsid w:val="00222BEA"/>
    <w:rsid w:val="002233C4"/>
    <w:rsid w:val="00224C47"/>
    <w:rsid w:val="00225439"/>
    <w:rsid w:val="00225532"/>
    <w:rsid w:val="00225F9B"/>
    <w:rsid w:val="00230586"/>
    <w:rsid w:val="002317F2"/>
    <w:rsid w:val="00232061"/>
    <w:rsid w:val="00235945"/>
    <w:rsid w:val="00235CAB"/>
    <w:rsid w:val="002555BE"/>
    <w:rsid w:val="00255679"/>
    <w:rsid w:val="00257975"/>
    <w:rsid w:val="00257B1C"/>
    <w:rsid w:val="002614EA"/>
    <w:rsid w:val="00261CAC"/>
    <w:rsid w:val="00265B0E"/>
    <w:rsid w:val="00272D97"/>
    <w:rsid w:val="002800B5"/>
    <w:rsid w:val="00282C30"/>
    <w:rsid w:val="00282D7E"/>
    <w:rsid w:val="00290445"/>
    <w:rsid w:val="00290E04"/>
    <w:rsid w:val="00290E1B"/>
    <w:rsid w:val="00292044"/>
    <w:rsid w:val="00293811"/>
    <w:rsid w:val="00297878"/>
    <w:rsid w:val="002A151A"/>
    <w:rsid w:val="002A2687"/>
    <w:rsid w:val="002A38CB"/>
    <w:rsid w:val="002A5C23"/>
    <w:rsid w:val="002B3340"/>
    <w:rsid w:val="002B5772"/>
    <w:rsid w:val="002B6D1D"/>
    <w:rsid w:val="002C0551"/>
    <w:rsid w:val="002C257D"/>
    <w:rsid w:val="002C2774"/>
    <w:rsid w:val="002C381D"/>
    <w:rsid w:val="002C64DC"/>
    <w:rsid w:val="002D0247"/>
    <w:rsid w:val="002D2D2B"/>
    <w:rsid w:val="002D3424"/>
    <w:rsid w:val="002D3EB6"/>
    <w:rsid w:val="002D79A7"/>
    <w:rsid w:val="002E1C6A"/>
    <w:rsid w:val="002E3F68"/>
    <w:rsid w:val="002E5C16"/>
    <w:rsid w:val="002E73E7"/>
    <w:rsid w:val="002E7508"/>
    <w:rsid w:val="002F0AA7"/>
    <w:rsid w:val="002F1B28"/>
    <w:rsid w:val="002F2583"/>
    <w:rsid w:val="002F279A"/>
    <w:rsid w:val="002F2C1A"/>
    <w:rsid w:val="002F300F"/>
    <w:rsid w:val="002F4F5B"/>
    <w:rsid w:val="002F68FE"/>
    <w:rsid w:val="003001B3"/>
    <w:rsid w:val="00300DF8"/>
    <w:rsid w:val="00303156"/>
    <w:rsid w:val="003107AB"/>
    <w:rsid w:val="0031127A"/>
    <w:rsid w:val="0031339A"/>
    <w:rsid w:val="00314760"/>
    <w:rsid w:val="003154E8"/>
    <w:rsid w:val="00315A68"/>
    <w:rsid w:val="00315C29"/>
    <w:rsid w:val="0031664C"/>
    <w:rsid w:val="00322538"/>
    <w:rsid w:val="00324997"/>
    <w:rsid w:val="003256B1"/>
    <w:rsid w:val="00325F1D"/>
    <w:rsid w:val="00326D37"/>
    <w:rsid w:val="00331545"/>
    <w:rsid w:val="0033258D"/>
    <w:rsid w:val="003330E6"/>
    <w:rsid w:val="0033333E"/>
    <w:rsid w:val="003368C0"/>
    <w:rsid w:val="00336C40"/>
    <w:rsid w:val="00343439"/>
    <w:rsid w:val="00343B53"/>
    <w:rsid w:val="00344B32"/>
    <w:rsid w:val="003459E9"/>
    <w:rsid w:val="00346BA7"/>
    <w:rsid w:val="0035083E"/>
    <w:rsid w:val="00350879"/>
    <w:rsid w:val="00354915"/>
    <w:rsid w:val="00354BD8"/>
    <w:rsid w:val="00362A8D"/>
    <w:rsid w:val="00364E30"/>
    <w:rsid w:val="00365D70"/>
    <w:rsid w:val="00370CBD"/>
    <w:rsid w:val="00372031"/>
    <w:rsid w:val="00373372"/>
    <w:rsid w:val="003738C2"/>
    <w:rsid w:val="00381152"/>
    <w:rsid w:val="0038351F"/>
    <w:rsid w:val="003847B9"/>
    <w:rsid w:val="00385E85"/>
    <w:rsid w:val="003871CD"/>
    <w:rsid w:val="00387596"/>
    <w:rsid w:val="003906B9"/>
    <w:rsid w:val="0039118D"/>
    <w:rsid w:val="00391AC8"/>
    <w:rsid w:val="00391C7C"/>
    <w:rsid w:val="00392FB4"/>
    <w:rsid w:val="00394DFF"/>
    <w:rsid w:val="00395C05"/>
    <w:rsid w:val="00396019"/>
    <w:rsid w:val="0039781F"/>
    <w:rsid w:val="003A0250"/>
    <w:rsid w:val="003A04CD"/>
    <w:rsid w:val="003A11AB"/>
    <w:rsid w:val="003A1AB7"/>
    <w:rsid w:val="003A1F14"/>
    <w:rsid w:val="003A3974"/>
    <w:rsid w:val="003A3975"/>
    <w:rsid w:val="003A42BD"/>
    <w:rsid w:val="003A5838"/>
    <w:rsid w:val="003A5C74"/>
    <w:rsid w:val="003B0BC2"/>
    <w:rsid w:val="003B1D72"/>
    <w:rsid w:val="003B37BB"/>
    <w:rsid w:val="003B7487"/>
    <w:rsid w:val="003C3267"/>
    <w:rsid w:val="003C36AC"/>
    <w:rsid w:val="003C697D"/>
    <w:rsid w:val="003C7EF9"/>
    <w:rsid w:val="003D009F"/>
    <w:rsid w:val="003D0DB1"/>
    <w:rsid w:val="003D6625"/>
    <w:rsid w:val="003D68D5"/>
    <w:rsid w:val="003D7050"/>
    <w:rsid w:val="003E14CF"/>
    <w:rsid w:val="003E1F6F"/>
    <w:rsid w:val="003E2228"/>
    <w:rsid w:val="003E684C"/>
    <w:rsid w:val="003F168A"/>
    <w:rsid w:val="004060A1"/>
    <w:rsid w:val="00407D59"/>
    <w:rsid w:val="004119E2"/>
    <w:rsid w:val="00413C13"/>
    <w:rsid w:val="0041525E"/>
    <w:rsid w:val="00415939"/>
    <w:rsid w:val="00420742"/>
    <w:rsid w:val="00421005"/>
    <w:rsid w:val="0042108B"/>
    <w:rsid w:val="004239F3"/>
    <w:rsid w:val="00431372"/>
    <w:rsid w:val="00433564"/>
    <w:rsid w:val="00437CA3"/>
    <w:rsid w:val="0044027B"/>
    <w:rsid w:val="004408F8"/>
    <w:rsid w:val="00442A13"/>
    <w:rsid w:val="0044648F"/>
    <w:rsid w:val="0044691B"/>
    <w:rsid w:val="00446DA2"/>
    <w:rsid w:val="004519A2"/>
    <w:rsid w:val="004539DF"/>
    <w:rsid w:val="00457843"/>
    <w:rsid w:val="00462002"/>
    <w:rsid w:val="0046212F"/>
    <w:rsid w:val="00462733"/>
    <w:rsid w:val="00463227"/>
    <w:rsid w:val="00463973"/>
    <w:rsid w:val="00464ACA"/>
    <w:rsid w:val="00466674"/>
    <w:rsid w:val="00471113"/>
    <w:rsid w:val="00471200"/>
    <w:rsid w:val="00472AC0"/>
    <w:rsid w:val="00472FF8"/>
    <w:rsid w:val="00475F03"/>
    <w:rsid w:val="00476395"/>
    <w:rsid w:val="0047660B"/>
    <w:rsid w:val="004802BD"/>
    <w:rsid w:val="004804B3"/>
    <w:rsid w:val="0048144D"/>
    <w:rsid w:val="00481E06"/>
    <w:rsid w:val="004820E9"/>
    <w:rsid w:val="00483119"/>
    <w:rsid w:val="004833F5"/>
    <w:rsid w:val="0048361F"/>
    <w:rsid w:val="004845D0"/>
    <w:rsid w:val="004852FF"/>
    <w:rsid w:val="00485C08"/>
    <w:rsid w:val="00494E73"/>
    <w:rsid w:val="0049655D"/>
    <w:rsid w:val="004A2830"/>
    <w:rsid w:val="004A67F3"/>
    <w:rsid w:val="004B514C"/>
    <w:rsid w:val="004C00D8"/>
    <w:rsid w:val="004C1122"/>
    <w:rsid w:val="004C1A4E"/>
    <w:rsid w:val="004C36E7"/>
    <w:rsid w:val="004C3DAD"/>
    <w:rsid w:val="004C4566"/>
    <w:rsid w:val="004C5923"/>
    <w:rsid w:val="004C6116"/>
    <w:rsid w:val="004C7C61"/>
    <w:rsid w:val="004D0355"/>
    <w:rsid w:val="004D0DFD"/>
    <w:rsid w:val="004D1FBE"/>
    <w:rsid w:val="004D4A86"/>
    <w:rsid w:val="004D70EC"/>
    <w:rsid w:val="004D7664"/>
    <w:rsid w:val="004E074F"/>
    <w:rsid w:val="004E227D"/>
    <w:rsid w:val="004E6427"/>
    <w:rsid w:val="004E7625"/>
    <w:rsid w:val="004E7E43"/>
    <w:rsid w:val="004F1956"/>
    <w:rsid w:val="004F5FC6"/>
    <w:rsid w:val="004F6557"/>
    <w:rsid w:val="004F69FA"/>
    <w:rsid w:val="00503002"/>
    <w:rsid w:val="005037B2"/>
    <w:rsid w:val="0050455E"/>
    <w:rsid w:val="00504748"/>
    <w:rsid w:val="005047AD"/>
    <w:rsid w:val="00505C6A"/>
    <w:rsid w:val="00510B1D"/>
    <w:rsid w:val="0051107D"/>
    <w:rsid w:val="00514FBA"/>
    <w:rsid w:val="00515205"/>
    <w:rsid w:val="00516084"/>
    <w:rsid w:val="00516154"/>
    <w:rsid w:val="0051722B"/>
    <w:rsid w:val="0052332F"/>
    <w:rsid w:val="0052554C"/>
    <w:rsid w:val="00526C07"/>
    <w:rsid w:val="005273A6"/>
    <w:rsid w:val="00527533"/>
    <w:rsid w:val="00527E88"/>
    <w:rsid w:val="0053387C"/>
    <w:rsid w:val="00534F74"/>
    <w:rsid w:val="00535484"/>
    <w:rsid w:val="005359AA"/>
    <w:rsid w:val="00536789"/>
    <w:rsid w:val="00536C66"/>
    <w:rsid w:val="00536D2F"/>
    <w:rsid w:val="00540052"/>
    <w:rsid w:val="0054146B"/>
    <w:rsid w:val="00543DB4"/>
    <w:rsid w:val="00543E08"/>
    <w:rsid w:val="005449AD"/>
    <w:rsid w:val="0054786F"/>
    <w:rsid w:val="00547F8E"/>
    <w:rsid w:val="005505ED"/>
    <w:rsid w:val="005558C1"/>
    <w:rsid w:val="00561B07"/>
    <w:rsid w:val="00562379"/>
    <w:rsid w:val="00564B04"/>
    <w:rsid w:val="00570072"/>
    <w:rsid w:val="00570DA2"/>
    <w:rsid w:val="00573059"/>
    <w:rsid w:val="0057621E"/>
    <w:rsid w:val="00577B05"/>
    <w:rsid w:val="00580990"/>
    <w:rsid w:val="00580D6F"/>
    <w:rsid w:val="005812C6"/>
    <w:rsid w:val="00582FB2"/>
    <w:rsid w:val="00584B57"/>
    <w:rsid w:val="00586A00"/>
    <w:rsid w:val="00591223"/>
    <w:rsid w:val="00592088"/>
    <w:rsid w:val="00593665"/>
    <w:rsid w:val="005948FA"/>
    <w:rsid w:val="005959BE"/>
    <w:rsid w:val="00596210"/>
    <w:rsid w:val="00596286"/>
    <w:rsid w:val="00596999"/>
    <w:rsid w:val="005A020A"/>
    <w:rsid w:val="005A0F31"/>
    <w:rsid w:val="005A28A1"/>
    <w:rsid w:val="005A46D0"/>
    <w:rsid w:val="005A6FB5"/>
    <w:rsid w:val="005B25E4"/>
    <w:rsid w:val="005B26D5"/>
    <w:rsid w:val="005B30C8"/>
    <w:rsid w:val="005B46F8"/>
    <w:rsid w:val="005B7778"/>
    <w:rsid w:val="005C051F"/>
    <w:rsid w:val="005C1D9A"/>
    <w:rsid w:val="005C52FC"/>
    <w:rsid w:val="005C6E7B"/>
    <w:rsid w:val="005C762E"/>
    <w:rsid w:val="005D098C"/>
    <w:rsid w:val="005D3FD9"/>
    <w:rsid w:val="005D534A"/>
    <w:rsid w:val="005E2139"/>
    <w:rsid w:val="005E46BB"/>
    <w:rsid w:val="005E5349"/>
    <w:rsid w:val="006001CC"/>
    <w:rsid w:val="00602B4D"/>
    <w:rsid w:val="00603C94"/>
    <w:rsid w:val="006047BD"/>
    <w:rsid w:val="006048E0"/>
    <w:rsid w:val="00604FAD"/>
    <w:rsid w:val="006053AF"/>
    <w:rsid w:val="0060662A"/>
    <w:rsid w:val="00612789"/>
    <w:rsid w:val="00613D24"/>
    <w:rsid w:val="00614BDA"/>
    <w:rsid w:val="00621AFB"/>
    <w:rsid w:val="0062589A"/>
    <w:rsid w:val="006307C7"/>
    <w:rsid w:val="00632B82"/>
    <w:rsid w:val="006331B4"/>
    <w:rsid w:val="006343F3"/>
    <w:rsid w:val="00640CF2"/>
    <w:rsid w:val="00640F1A"/>
    <w:rsid w:val="006417D6"/>
    <w:rsid w:val="00642906"/>
    <w:rsid w:val="00643582"/>
    <w:rsid w:val="00643B75"/>
    <w:rsid w:val="006457EF"/>
    <w:rsid w:val="00650F96"/>
    <w:rsid w:val="006512B7"/>
    <w:rsid w:val="00651C22"/>
    <w:rsid w:val="00655679"/>
    <w:rsid w:val="00655B4D"/>
    <w:rsid w:val="00655ED5"/>
    <w:rsid w:val="006648F2"/>
    <w:rsid w:val="00664946"/>
    <w:rsid w:val="00665734"/>
    <w:rsid w:val="00666831"/>
    <w:rsid w:val="00666916"/>
    <w:rsid w:val="00670957"/>
    <w:rsid w:val="00671977"/>
    <w:rsid w:val="00671D80"/>
    <w:rsid w:val="00671D81"/>
    <w:rsid w:val="00672EFB"/>
    <w:rsid w:val="006739CF"/>
    <w:rsid w:val="0067752C"/>
    <w:rsid w:val="006776A2"/>
    <w:rsid w:val="006801A6"/>
    <w:rsid w:val="0068069A"/>
    <w:rsid w:val="00680FD2"/>
    <w:rsid w:val="0068124B"/>
    <w:rsid w:val="00681610"/>
    <w:rsid w:val="00685D36"/>
    <w:rsid w:val="006861AD"/>
    <w:rsid w:val="00687304"/>
    <w:rsid w:val="00690EF6"/>
    <w:rsid w:val="00692C71"/>
    <w:rsid w:val="00693068"/>
    <w:rsid w:val="006931A0"/>
    <w:rsid w:val="00693355"/>
    <w:rsid w:val="006935BC"/>
    <w:rsid w:val="006941C9"/>
    <w:rsid w:val="00696413"/>
    <w:rsid w:val="00696E55"/>
    <w:rsid w:val="006A0B0E"/>
    <w:rsid w:val="006A3A9C"/>
    <w:rsid w:val="006A3CC5"/>
    <w:rsid w:val="006A516A"/>
    <w:rsid w:val="006A516D"/>
    <w:rsid w:val="006A52E5"/>
    <w:rsid w:val="006A721F"/>
    <w:rsid w:val="006A7CCF"/>
    <w:rsid w:val="006B0581"/>
    <w:rsid w:val="006B0F36"/>
    <w:rsid w:val="006B30FD"/>
    <w:rsid w:val="006B37C0"/>
    <w:rsid w:val="006B4254"/>
    <w:rsid w:val="006B5CB4"/>
    <w:rsid w:val="006B6DCF"/>
    <w:rsid w:val="006B791B"/>
    <w:rsid w:val="006C1999"/>
    <w:rsid w:val="006C4793"/>
    <w:rsid w:val="006C4D3F"/>
    <w:rsid w:val="006C66F8"/>
    <w:rsid w:val="006D36FB"/>
    <w:rsid w:val="006D42ED"/>
    <w:rsid w:val="006D4D1A"/>
    <w:rsid w:val="006D73F1"/>
    <w:rsid w:val="006E2A29"/>
    <w:rsid w:val="006E3514"/>
    <w:rsid w:val="006E7421"/>
    <w:rsid w:val="006E7647"/>
    <w:rsid w:val="006F162C"/>
    <w:rsid w:val="006F1DA8"/>
    <w:rsid w:val="006F4CFA"/>
    <w:rsid w:val="006F5310"/>
    <w:rsid w:val="006F696E"/>
    <w:rsid w:val="006F6B91"/>
    <w:rsid w:val="006F76DF"/>
    <w:rsid w:val="00700DEA"/>
    <w:rsid w:val="00702968"/>
    <w:rsid w:val="007031E1"/>
    <w:rsid w:val="007040CB"/>
    <w:rsid w:val="0070523B"/>
    <w:rsid w:val="00706C73"/>
    <w:rsid w:val="00706E7B"/>
    <w:rsid w:val="00707D16"/>
    <w:rsid w:val="00715E8A"/>
    <w:rsid w:val="00717226"/>
    <w:rsid w:val="00720FDD"/>
    <w:rsid w:val="00722883"/>
    <w:rsid w:val="00723AF0"/>
    <w:rsid w:val="00727911"/>
    <w:rsid w:val="0073007E"/>
    <w:rsid w:val="007311E2"/>
    <w:rsid w:val="00732519"/>
    <w:rsid w:val="0073365B"/>
    <w:rsid w:val="00734F5A"/>
    <w:rsid w:val="00736D97"/>
    <w:rsid w:val="00737CEF"/>
    <w:rsid w:val="00737DDA"/>
    <w:rsid w:val="00742288"/>
    <w:rsid w:val="00746B57"/>
    <w:rsid w:val="00746E15"/>
    <w:rsid w:val="00747D90"/>
    <w:rsid w:val="00751CB9"/>
    <w:rsid w:val="007523DF"/>
    <w:rsid w:val="0075373C"/>
    <w:rsid w:val="0075624F"/>
    <w:rsid w:val="00756D96"/>
    <w:rsid w:val="007573D2"/>
    <w:rsid w:val="00763641"/>
    <w:rsid w:val="00763EE3"/>
    <w:rsid w:val="007643AB"/>
    <w:rsid w:val="0076628F"/>
    <w:rsid w:val="007668BA"/>
    <w:rsid w:val="00770596"/>
    <w:rsid w:val="00772286"/>
    <w:rsid w:val="0077277D"/>
    <w:rsid w:val="007747D4"/>
    <w:rsid w:val="00774963"/>
    <w:rsid w:val="00781B7F"/>
    <w:rsid w:val="00782DCB"/>
    <w:rsid w:val="00783889"/>
    <w:rsid w:val="00784156"/>
    <w:rsid w:val="007933B3"/>
    <w:rsid w:val="00794D72"/>
    <w:rsid w:val="00795DAF"/>
    <w:rsid w:val="007A02FC"/>
    <w:rsid w:val="007A048E"/>
    <w:rsid w:val="007A19AF"/>
    <w:rsid w:val="007A1E9D"/>
    <w:rsid w:val="007A2801"/>
    <w:rsid w:val="007A4EEE"/>
    <w:rsid w:val="007A6DAA"/>
    <w:rsid w:val="007A7EC8"/>
    <w:rsid w:val="007B032C"/>
    <w:rsid w:val="007B1AF8"/>
    <w:rsid w:val="007B2A16"/>
    <w:rsid w:val="007B4B3F"/>
    <w:rsid w:val="007B5E83"/>
    <w:rsid w:val="007B787D"/>
    <w:rsid w:val="007B7B7B"/>
    <w:rsid w:val="007C0EE6"/>
    <w:rsid w:val="007C3165"/>
    <w:rsid w:val="007C58D6"/>
    <w:rsid w:val="007C5E56"/>
    <w:rsid w:val="007C732D"/>
    <w:rsid w:val="007D1008"/>
    <w:rsid w:val="007D5B27"/>
    <w:rsid w:val="007D5C80"/>
    <w:rsid w:val="007D62AE"/>
    <w:rsid w:val="007E013D"/>
    <w:rsid w:val="007E2754"/>
    <w:rsid w:val="007E4B37"/>
    <w:rsid w:val="007E5818"/>
    <w:rsid w:val="007E61A7"/>
    <w:rsid w:val="007E65D7"/>
    <w:rsid w:val="007F2C53"/>
    <w:rsid w:val="007F38B7"/>
    <w:rsid w:val="007F3B3A"/>
    <w:rsid w:val="0080089C"/>
    <w:rsid w:val="00800C50"/>
    <w:rsid w:val="00803122"/>
    <w:rsid w:val="00803318"/>
    <w:rsid w:val="00803456"/>
    <w:rsid w:val="00804601"/>
    <w:rsid w:val="00806520"/>
    <w:rsid w:val="00806B68"/>
    <w:rsid w:val="00811BBD"/>
    <w:rsid w:val="00811EE5"/>
    <w:rsid w:val="00812976"/>
    <w:rsid w:val="00814DEF"/>
    <w:rsid w:val="0082239E"/>
    <w:rsid w:val="0082342D"/>
    <w:rsid w:val="00825A87"/>
    <w:rsid w:val="008272F0"/>
    <w:rsid w:val="00831B9B"/>
    <w:rsid w:val="00835008"/>
    <w:rsid w:val="00836735"/>
    <w:rsid w:val="00836CC5"/>
    <w:rsid w:val="00842A7E"/>
    <w:rsid w:val="00844D3D"/>
    <w:rsid w:val="00845120"/>
    <w:rsid w:val="0084532E"/>
    <w:rsid w:val="00845810"/>
    <w:rsid w:val="00845F3C"/>
    <w:rsid w:val="00846159"/>
    <w:rsid w:val="008505C3"/>
    <w:rsid w:val="00851677"/>
    <w:rsid w:val="00851A78"/>
    <w:rsid w:val="008522C6"/>
    <w:rsid w:val="00852E40"/>
    <w:rsid w:val="00854F22"/>
    <w:rsid w:val="00855AA1"/>
    <w:rsid w:val="00857A90"/>
    <w:rsid w:val="00857CDD"/>
    <w:rsid w:val="00860EA8"/>
    <w:rsid w:val="00863405"/>
    <w:rsid w:val="008646C5"/>
    <w:rsid w:val="0086472B"/>
    <w:rsid w:val="00872A2A"/>
    <w:rsid w:val="0087368E"/>
    <w:rsid w:val="008802D9"/>
    <w:rsid w:val="00880B98"/>
    <w:rsid w:val="00881F26"/>
    <w:rsid w:val="0088209E"/>
    <w:rsid w:val="008838A1"/>
    <w:rsid w:val="0088685E"/>
    <w:rsid w:val="0088689E"/>
    <w:rsid w:val="00891794"/>
    <w:rsid w:val="00891929"/>
    <w:rsid w:val="00893176"/>
    <w:rsid w:val="00895446"/>
    <w:rsid w:val="008A05E4"/>
    <w:rsid w:val="008A2098"/>
    <w:rsid w:val="008A20AF"/>
    <w:rsid w:val="008A32D1"/>
    <w:rsid w:val="008B03D8"/>
    <w:rsid w:val="008B3F28"/>
    <w:rsid w:val="008B61CD"/>
    <w:rsid w:val="008C09B8"/>
    <w:rsid w:val="008C0C1E"/>
    <w:rsid w:val="008C21E3"/>
    <w:rsid w:val="008C4A61"/>
    <w:rsid w:val="008C4CB3"/>
    <w:rsid w:val="008C4F0F"/>
    <w:rsid w:val="008C6CFD"/>
    <w:rsid w:val="008C7D07"/>
    <w:rsid w:val="008C7F38"/>
    <w:rsid w:val="008D110E"/>
    <w:rsid w:val="008D220F"/>
    <w:rsid w:val="008D3B9E"/>
    <w:rsid w:val="008D55C9"/>
    <w:rsid w:val="008D6DC7"/>
    <w:rsid w:val="008E3B82"/>
    <w:rsid w:val="008E7460"/>
    <w:rsid w:val="008E7585"/>
    <w:rsid w:val="008F121E"/>
    <w:rsid w:val="008F2E5C"/>
    <w:rsid w:val="008F5787"/>
    <w:rsid w:val="008F646F"/>
    <w:rsid w:val="00900FEB"/>
    <w:rsid w:val="00906982"/>
    <w:rsid w:val="009076D0"/>
    <w:rsid w:val="009134B1"/>
    <w:rsid w:val="00914F38"/>
    <w:rsid w:val="0091776B"/>
    <w:rsid w:val="00920396"/>
    <w:rsid w:val="0092129B"/>
    <w:rsid w:val="00923A9A"/>
    <w:rsid w:val="0092657D"/>
    <w:rsid w:val="00932B67"/>
    <w:rsid w:val="00935018"/>
    <w:rsid w:val="0093671F"/>
    <w:rsid w:val="00937D0C"/>
    <w:rsid w:val="00937F0D"/>
    <w:rsid w:val="00941D1F"/>
    <w:rsid w:val="00942FB8"/>
    <w:rsid w:val="0094366C"/>
    <w:rsid w:val="00946091"/>
    <w:rsid w:val="0094666B"/>
    <w:rsid w:val="009475D5"/>
    <w:rsid w:val="009479C0"/>
    <w:rsid w:val="00950914"/>
    <w:rsid w:val="00950C51"/>
    <w:rsid w:val="009510B6"/>
    <w:rsid w:val="00951508"/>
    <w:rsid w:val="00951973"/>
    <w:rsid w:val="0095252E"/>
    <w:rsid w:val="00952591"/>
    <w:rsid w:val="00952C90"/>
    <w:rsid w:val="00953ADF"/>
    <w:rsid w:val="00953B55"/>
    <w:rsid w:val="00954144"/>
    <w:rsid w:val="00954F29"/>
    <w:rsid w:val="00957E73"/>
    <w:rsid w:val="0096135C"/>
    <w:rsid w:val="009746D7"/>
    <w:rsid w:val="009808B4"/>
    <w:rsid w:val="00983391"/>
    <w:rsid w:val="00984821"/>
    <w:rsid w:val="00984AA8"/>
    <w:rsid w:val="00985C1A"/>
    <w:rsid w:val="00986FF4"/>
    <w:rsid w:val="009961A7"/>
    <w:rsid w:val="0099716A"/>
    <w:rsid w:val="00997697"/>
    <w:rsid w:val="009A0593"/>
    <w:rsid w:val="009A0D7B"/>
    <w:rsid w:val="009A17D9"/>
    <w:rsid w:val="009A2797"/>
    <w:rsid w:val="009A2C14"/>
    <w:rsid w:val="009A3D97"/>
    <w:rsid w:val="009A3ED6"/>
    <w:rsid w:val="009A598B"/>
    <w:rsid w:val="009A698B"/>
    <w:rsid w:val="009B0C1A"/>
    <w:rsid w:val="009B1F0D"/>
    <w:rsid w:val="009B2D86"/>
    <w:rsid w:val="009B3F94"/>
    <w:rsid w:val="009B5BB8"/>
    <w:rsid w:val="009B5E70"/>
    <w:rsid w:val="009B621A"/>
    <w:rsid w:val="009B672F"/>
    <w:rsid w:val="009B6EAB"/>
    <w:rsid w:val="009B7037"/>
    <w:rsid w:val="009B718D"/>
    <w:rsid w:val="009C0BCC"/>
    <w:rsid w:val="009C1509"/>
    <w:rsid w:val="009C2850"/>
    <w:rsid w:val="009C38CA"/>
    <w:rsid w:val="009C3BA5"/>
    <w:rsid w:val="009C3FA3"/>
    <w:rsid w:val="009C45D9"/>
    <w:rsid w:val="009C5E44"/>
    <w:rsid w:val="009C6F32"/>
    <w:rsid w:val="009D2BEF"/>
    <w:rsid w:val="009D3013"/>
    <w:rsid w:val="009D7187"/>
    <w:rsid w:val="009D783B"/>
    <w:rsid w:val="009E01DD"/>
    <w:rsid w:val="009E2B00"/>
    <w:rsid w:val="009E547A"/>
    <w:rsid w:val="009F30C8"/>
    <w:rsid w:val="009F3164"/>
    <w:rsid w:val="009F4054"/>
    <w:rsid w:val="009F7BB3"/>
    <w:rsid w:val="00A02B29"/>
    <w:rsid w:val="00A02F1D"/>
    <w:rsid w:val="00A02F7D"/>
    <w:rsid w:val="00A03791"/>
    <w:rsid w:val="00A06657"/>
    <w:rsid w:val="00A11735"/>
    <w:rsid w:val="00A124D5"/>
    <w:rsid w:val="00A12DA0"/>
    <w:rsid w:val="00A16593"/>
    <w:rsid w:val="00A16DFA"/>
    <w:rsid w:val="00A17C0A"/>
    <w:rsid w:val="00A22FA7"/>
    <w:rsid w:val="00A2358B"/>
    <w:rsid w:val="00A238D0"/>
    <w:rsid w:val="00A26CEF"/>
    <w:rsid w:val="00A30CC7"/>
    <w:rsid w:val="00A33919"/>
    <w:rsid w:val="00A3601F"/>
    <w:rsid w:val="00A36968"/>
    <w:rsid w:val="00A37277"/>
    <w:rsid w:val="00A41149"/>
    <w:rsid w:val="00A43DA5"/>
    <w:rsid w:val="00A43F0F"/>
    <w:rsid w:val="00A44745"/>
    <w:rsid w:val="00A447F8"/>
    <w:rsid w:val="00A44F15"/>
    <w:rsid w:val="00A47B7B"/>
    <w:rsid w:val="00A50621"/>
    <w:rsid w:val="00A531EF"/>
    <w:rsid w:val="00A54175"/>
    <w:rsid w:val="00A56809"/>
    <w:rsid w:val="00A57BC8"/>
    <w:rsid w:val="00A60D9A"/>
    <w:rsid w:val="00A63A07"/>
    <w:rsid w:val="00A654A2"/>
    <w:rsid w:val="00A65976"/>
    <w:rsid w:val="00A67183"/>
    <w:rsid w:val="00A70079"/>
    <w:rsid w:val="00A720F8"/>
    <w:rsid w:val="00A73851"/>
    <w:rsid w:val="00A74C35"/>
    <w:rsid w:val="00A76452"/>
    <w:rsid w:val="00A802D7"/>
    <w:rsid w:val="00A83F5F"/>
    <w:rsid w:val="00A84DF8"/>
    <w:rsid w:val="00A86D3D"/>
    <w:rsid w:val="00A870A0"/>
    <w:rsid w:val="00A9013E"/>
    <w:rsid w:val="00A90DFD"/>
    <w:rsid w:val="00A90E06"/>
    <w:rsid w:val="00A915F3"/>
    <w:rsid w:val="00A931F8"/>
    <w:rsid w:val="00A93E27"/>
    <w:rsid w:val="00A94B17"/>
    <w:rsid w:val="00A94F1F"/>
    <w:rsid w:val="00A95347"/>
    <w:rsid w:val="00A974D2"/>
    <w:rsid w:val="00AA471D"/>
    <w:rsid w:val="00AA4B1C"/>
    <w:rsid w:val="00AA6188"/>
    <w:rsid w:val="00AA7E33"/>
    <w:rsid w:val="00AB265E"/>
    <w:rsid w:val="00AB2948"/>
    <w:rsid w:val="00AB39FA"/>
    <w:rsid w:val="00AB3B30"/>
    <w:rsid w:val="00AB4244"/>
    <w:rsid w:val="00AB426C"/>
    <w:rsid w:val="00AB451C"/>
    <w:rsid w:val="00AB59F2"/>
    <w:rsid w:val="00AC17F4"/>
    <w:rsid w:val="00AC3E62"/>
    <w:rsid w:val="00AC40B1"/>
    <w:rsid w:val="00AC5AF9"/>
    <w:rsid w:val="00AC6192"/>
    <w:rsid w:val="00AC6F97"/>
    <w:rsid w:val="00AD0775"/>
    <w:rsid w:val="00AD1014"/>
    <w:rsid w:val="00AD16DA"/>
    <w:rsid w:val="00AD196A"/>
    <w:rsid w:val="00AD2F03"/>
    <w:rsid w:val="00AD57FE"/>
    <w:rsid w:val="00AD689A"/>
    <w:rsid w:val="00AD6933"/>
    <w:rsid w:val="00AD6B7B"/>
    <w:rsid w:val="00AD73E5"/>
    <w:rsid w:val="00AD7CAB"/>
    <w:rsid w:val="00AE16C9"/>
    <w:rsid w:val="00AE3EF5"/>
    <w:rsid w:val="00AE4F2A"/>
    <w:rsid w:val="00AE530F"/>
    <w:rsid w:val="00AE5F33"/>
    <w:rsid w:val="00AE6A27"/>
    <w:rsid w:val="00AE6E19"/>
    <w:rsid w:val="00AF0AD5"/>
    <w:rsid w:val="00AF15E6"/>
    <w:rsid w:val="00AF51E7"/>
    <w:rsid w:val="00AF6744"/>
    <w:rsid w:val="00B046EC"/>
    <w:rsid w:val="00B05620"/>
    <w:rsid w:val="00B12645"/>
    <w:rsid w:val="00B12E05"/>
    <w:rsid w:val="00B12EBE"/>
    <w:rsid w:val="00B13742"/>
    <w:rsid w:val="00B16431"/>
    <w:rsid w:val="00B166A4"/>
    <w:rsid w:val="00B219B7"/>
    <w:rsid w:val="00B25038"/>
    <w:rsid w:val="00B300FD"/>
    <w:rsid w:val="00B3159A"/>
    <w:rsid w:val="00B33465"/>
    <w:rsid w:val="00B35C09"/>
    <w:rsid w:val="00B369A8"/>
    <w:rsid w:val="00B379C5"/>
    <w:rsid w:val="00B4183F"/>
    <w:rsid w:val="00B42198"/>
    <w:rsid w:val="00B46AD2"/>
    <w:rsid w:val="00B55911"/>
    <w:rsid w:val="00B6246C"/>
    <w:rsid w:val="00B630B8"/>
    <w:rsid w:val="00B64BBE"/>
    <w:rsid w:val="00B659AC"/>
    <w:rsid w:val="00B67DE1"/>
    <w:rsid w:val="00B70CC6"/>
    <w:rsid w:val="00B70D32"/>
    <w:rsid w:val="00B73894"/>
    <w:rsid w:val="00B8193F"/>
    <w:rsid w:val="00B8473D"/>
    <w:rsid w:val="00B90410"/>
    <w:rsid w:val="00B90703"/>
    <w:rsid w:val="00B90E10"/>
    <w:rsid w:val="00B927D7"/>
    <w:rsid w:val="00B964CA"/>
    <w:rsid w:val="00B96634"/>
    <w:rsid w:val="00B972C5"/>
    <w:rsid w:val="00BA23AD"/>
    <w:rsid w:val="00BA31C4"/>
    <w:rsid w:val="00BA4655"/>
    <w:rsid w:val="00BA74B4"/>
    <w:rsid w:val="00BA78B6"/>
    <w:rsid w:val="00BA7935"/>
    <w:rsid w:val="00BB047B"/>
    <w:rsid w:val="00BB4818"/>
    <w:rsid w:val="00BB4AF3"/>
    <w:rsid w:val="00BB4E55"/>
    <w:rsid w:val="00BB6398"/>
    <w:rsid w:val="00BB7360"/>
    <w:rsid w:val="00BC06A7"/>
    <w:rsid w:val="00BC103E"/>
    <w:rsid w:val="00BC25EF"/>
    <w:rsid w:val="00BC2DAF"/>
    <w:rsid w:val="00BC4FD3"/>
    <w:rsid w:val="00BC5036"/>
    <w:rsid w:val="00BC6827"/>
    <w:rsid w:val="00BC6C7A"/>
    <w:rsid w:val="00BC7920"/>
    <w:rsid w:val="00BC7D9E"/>
    <w:rsid w:val="00BD0105"/>
    <w:rsid w:val="00BD0372"/>
    <w:rsid w:val="00BD3A86"/>
    <w:rsid w:val="00BD44F5"/>
    <w:rsid w:val="00BD6CCE"/>
    <w:rsid w:val="00BE207F"/>
    <w:rsid w:val="00BE4340"/>
    <w:rsid w:val="00BE5C41"/>
    <w:rsid w:val="00BE745D"/>
    <w:rsid w:val="00BF0646"/>
    <w:rsid w:val="00BF1C32"/>
    <w:rsid w:val="00BF76A6"/>
    <w:rsid w:val="00C01C45"/>
    <w:rsid w:val="00C01F23"/>
    <w:rsid w:val="00C025C4"/>
    <w:rsid w:val="00C044BE"/>
    <w:rsid w:val="00C04BAB"/>
    <w:rsid w:val="00C0607B"/>
    <w:rsid w:val="00C06DEF"/>
    <w:rsid w:val="00C075A2"/>
    <w:rsid w:val="00C101B9"/>
    <w:rsid w:val="00C10755"/>
    <w:rsid w:val="00C107CB"/>
    <w:rsid w:val="00C118C4"/>
    <w:rsid w:val="00C11F58"/>
    <w:rsid w:val="00C120D7"/>
    <w:rsid w:val="00C132D1"/>
    <w:rsid w:val="00C139CA"/>
    <w:rsid w:val="00C13A7D"/>
    <w:rsid w:val="00C222D3"/>
    <w:rsid w:val="00C241A8"/>
    <w:rsid w:val="00C24763"/>
    <w:rsid w:val="00C24ABA"/>
    <w:rsid w:val="00C258E7"/>
    <w:rsid w:val="00C264CB"/>
    <w:rsid w:val="00C31144"/>
    <w:rsid w:val="00C31253"/>
    <w:rsid w:val="00C3362F"/>
    <w:rsid w:val="00C35129"/>
    <w:rsid w:val="00C3702A"/>
    <w:rsid w:val="00C419DB"/>
    <w:rsid w:val="00C43A3F"/>
    <w:rsid w:val="00C47238"/>
    <w:rsid w:val="00C476F1"/>
    <w:rsid w:val="00C51429"/>
    <w:rsid w:val="00C51E8F"/>
    <w:rsid w:val="00C52FC0"/>
    <w:rsid w:val="00C53F9E"/>
    <w:rsid w:val="00C559E9"/>
    <w:rsid w:val="00C57904"/>
    <w:rsid w:val="00C606B3"/>
    <w:rsid w:val="00C608C1"/>
    <w:rsid w:val="00C62F72"/>
    <w:rsid w:val="00C63D4E"/>
    <w:rsid w:val="00C63EA9"/>
    <w:rsid w:val="00C665A0"/>
    <w:rsid w:val="00C66A15"/>
    <w:rsid w:val="00C67725"/>
    <w:rsid w:val="00C700F3"/>
    <w:rsid w:val="00C7092F"/>
    <w:rsid w:val="00C71A6C"/>
    <w:rsid w:val="00C72448"/>
    <w:rsid w:val="00C72F3A"/>
    <w:rsid w:val="00C73DBC"/>
    <w:rsid w:val="00C76DDA"/>
    <w:rsid w:val="00C807B3"/>
    <w:rsid w:val="00C808EE"/>
    <w:rsid w:val="00C820E3"/>
    <w:rsid w:val="00C825C9"/>
    <w:rsid w:val="00C82B56"/>
    <w:rsid w:val="00C85A4B"/>
    <w:rsid w:val="00C86CC3"/>
    <w:rsid w:val="00C901B1"/>
    <w:rsid w:val="00C90641"/>
    <w:rsid w:val="00C9089B"/>
    <w:rsid w:val="00C90EBC"/>
    <w:rsid w:val="00C915F1"/>
    <w:rsid w:val="00C91B69"/>
    <w:rsid w:val="00C91B97"/>
    <w:rsid w:val="00C91FEF"/>
    <w:rsid w:val="00CA1FEA"/>
    <w:rsid w:val="00CA3856"/>
    <w:rsid w:val="00CA5063"/>
    <w:rsid w:val="00CA5A3F"/>
    <w:rsid w:val="00CA6283"/>
    <w:rsid w:val="00CA67E0"/>
    <w:rsid w:val="00CA7088"/>
    <w:rsid w:val="00CB0122"/>
    <w:rsid w:val="00CB0269"/>
    <w:rsid w:val="00CB0833"/>
    <w:rsid w:val="00CB18F5"/>
    <w:rsid w:val="00CB580B"/>
    <w:rsid w:val="00CC008E"/>
    <w:rsid w:val="00CC02ED"/>
    <w:rsid w:val="00CC219D"/>
    <w:rsid w:val="00CC63EB"/>
    <w:rsid w:val="00CC7060"/>
    <w:rsid w:val="00CD022A"/>
    <w:rsid w:val="00CD03BE"/>
    <w:rsid w:val="00CD0707"/>
    <w:rsid w:val="00CD0842"/>
    <w:rsid w:val="00CD0B86"/>
    <w:rsid w:val="00CD1A25"/>
    <w:rsid w:val="00CD401C"/>
    <w:rsid w:val="00CD6555"/>
    <w:rsid w:val="00CD65E7"/>
    <w:rsid w:val="00CD7BFC"/>
    <w:rsid w:val="00CE2B95"/>
    <w:rsid w:val="00CE2F1A"/>
    <w:rsid w:val="00CF1A11"/>
    <w:rsid w:val="00CF30FC"/>
    <w:rsid w:val="00CF4286"/>
    <w:rsid w:val="00CF5926"/>
    <w:rsid w:val="00CF5CB2"/>
    <w:rsid w:val="00D013B7"/>
    <w:rsid w:val="00D01B9F"/>
    <w:rsid w:val="00D03B38"/>
    <w:rsid w:val="00D03F87"/>
    <w:rsid w:val="00D0412D"/>
    <w:rsid w:val="00D04CD4"/>
    <w:rsid w:val="00D07174"/>
    <w:rsid w:val="00D12095"/>
    <w:rsid w:val="00D162FD"/>
    <w:rsid w:val="00D16D97"/>
    <w:rsid w:val="00D21008"/>
    <w:rsid w:val="00D21AEC"/>
    <w:rsid w:val="00D22D06"/>
    <w:rsid w:val="00D24772"/>
    <w:rsid w:val="00D26B4F"/>
    <w:rsid w:val="00D26E91"/>
    <w:rsid w:val="00D27623"/>
    <w:rsid w:val="00D27C15"/>
    <w:rsid w:val="00D31FC7"/>
    <w:rsid w:val="00D330ED"/>
    <w:rsid w:val="00D3441D"/>
    <w:rsid w:val="00D355C4"/>
    <w:rsid w:val="00D3612A"/>
    <w:rsid w:val="00D37703"/>
    <w:rsid w:val="00D37DBF"/>
    <w:rsid w:val="00D37F25"/>
    <w:rsid w:val="00D41C1D"/>
    <w:rsid w:val="00D42F4F"/>
    <w:rsid w:val="00D44141"/>
    <w:rsid w:val="00D47086"/>
    <w:rsid w:val="00D47951"/>
    <w:rsid w:val="00D56A53"/>
    <w:rsid w:val="00D6324F"/>
    <w:rsid w:val="00D63458"/>
    <w:rsid w:val="00D65EBE"/>
    <w:rsid w:val="00D66D37"/>
    <w:rsid w:val="00D6781B"/>
    <w:rsid w:val="00D71021"/>
    <w:rsid w:val="00D72B59"/>
    <w:rsid w:val="00D74370"/>
    <w:rsid w:val="00D750CC"/>
    <w:rsid w:val="00D755ED"/>
    <w:rsid w:val="00D758DC"/>
    <w:rsid w:val="00D84369"/>
    <w:rsid w:val="00D84C8F"/>
    <w:rsid w:val="00D873AD"/>
    <w:rsid w:val="00D90BEE"/>
    <w:rsid w:val="00D91AAC"/>
    <w:rsid w:val="00D91C06"/>
    <w:rsid w:val="00D91C9F"/>
    <w:rsid w:val="00D93FD1"/>
    <w:rsid w:val="00D97119"/>
    <w:rsid w:val="00DA08F5"/>
    <w:rsid w:val="00DA09E9"/>
    <w:rsid w:val="00DA2ADC"/>
    <w:rsid w:val="00DA6227"/>
    <w:rsid w:val="00DB01E2"/>
    <w:rsid w:val="00DB0764"/>
    <w:rsid w:val="00DB2260"/>
    <w:rsid w:val="00DB3506"/>
    <w:rsid w:val="00DB71A1"/>
    <w:rsid w:val="00DB71CC"/>
    <w:rsid w:val="00DB7A9A"/>
    <w:rsid w:val="00DC3177"/>
    <w:rsid w:val="00DC3276"/>
    <w:rsid w:val="00DD01C7"/>
    <w:rsid w:val="00DD09CF"/>
    <w:rsid w:val="00DD13AB"/>
    <w:rsid w:val="00DD2000"/>
    <w:rsid w:val="00DD2841"/>
    <w:rsid w:val="00DD37D8"/>
    <w:rsid w:val="00DD4236"/>
    <w:rsid w:val="00DD43C7"/>
    <w:rsid w:val="00DD4EB5"/>
    <w:rsid w:val="00DD5902"/>
    <w:rsid w:val="00DE01A4"/>
    <w:rsid w:val="00DE1831"/>
    <w:rsid w:val="00DE3E40"/>
    <w:rsid w:val="00DE4597"/>
    <w:rsid w:val="00DE643F"/>
    <w:rsid w:val="00DF16BA"/>
    <w:rsid w:val="00DF5A8B"/>
    <w:rsid w:val="00DF6840"/>
    <w:rsid w:val="00E010AB"/>
    <w:rsid w:val="00E015AD"/>
    <w:rsid w:val="00E0233F"/>
    <w:rsid w:val="00E02678"/>
    <w:rsid w:val="00E050EC"/>
    <w:rsid w:val="00E05354"/>
    <w:rsid w:val="00E06262"/>
    <w:rsid w:val="00E0748A"/>
    <w:rsid w:val="00E107B9"/>
    <w:rsid w:val="00E120A4"/>
    <w:rsid w:val="00E128A9"/>
    <w:rsid w:val="00E143DA"/>
    <w:rsid w:val="00E14BA3"/>
    <w:rsid w:val="00E16744"/>
    <w:rsid w:val="00E25953"/>
    <w:rsid w:val="00E27F5A"/>
    <w:rsid w:val="00E32BEA"/>
    <w:rsid w:val="00E32F5B"/>
    <w:rsid w:val="00E34315"/>
    <w:rsid w:val="00E3799F"/>
    <w:rsid w:val="00E37DA2"/>
    <w:rsid w:val="00E4121B"/>
    <w:rsid w:val="00E42FA4"/>
    <w:rsid w:val="00E43338"/>
    <w:rsid w:val="00E43538"/>
    <w:rsid w:val="00E43ACF"/>
    <w:rsid w:val="00E43FD7"/>
    <w:rsid w:val="00E45864"/>
    <w:rsid w:val="00E45D1E"/>
    <w:rsid w:val="00E4622C"/>
    <w:rsid w:val="00E46CC2"/>
    <w:rsid w:val="00E47732"/>
    <w:rsid w:val="00E47F40"/>
    <w:rsid w:val="00E51FFB"/>
    <w:rsid w:val="00E52DD3"/>
    <w:rsid w:val="00E53A98"/>
    <w:rsid w:val="00E5471E"/>
    <w:rsid w:val="00E558A4"/>
    <w:rsid w:val="00E569ED"/>
    <w:rsid w:val="00E56ABB"/>
    <w:rsid w:val="00E57004"/>
    <w:rsid w:val="00E576D9"/>
    <w:rsid w:val="00E64260"/>
    <w:rsid w:val="00E65C76"/>
    <w:rsid w:val="00E65EA1"/>
    <w:rsid w:val="00E6605D"/>
    <w:rsid w:val="00E6611F"/>
    <w:rsid w:val="00E70534"/>
    <w:rsid w:val="00E70C36"/>
    <w:rsid w:val="00E9168B"/>
    <w:rsid w:val="00E923A0"/>
    <w:rsid w:val="00E9265B"/>
    <w:rsid w:val="00E95253"/>
    <w:rsid w:val="00E958B9"/>
    <w:rsid w:val="00E9643A"/>
    <w:rsid w:val="00E978F3"/>
    <w:rsid w:val="00EA1CB1"/>
    <w:rsid w:val="00EA2671"/>
    <w:rsid w:val="00EA44A8"/>
    <w:rsid w:val="00EA6125"/>
    <w:rsid w:val="00EB01F6"/>
    <w:rsid w:val="00EC0435"/>
    <w:rsid w:val="00EC2985"/>
    <w:rsid w:val="00EC3A4A"/>
    <w:rsid w:val="00EC56B1"/>
    <w:rsid w:val="00EC7180"/>
    <w:rsid w:val="00ED209D"/>
    <w:rsid w:val="00ED418D"/>
    <w:rsid w:val="00ED46C4"/>
    <w:rsid w:val="00ED5F88"/>
    <w:rsid w:val="00ED664B"/>
    <w:rsid w:val="00ED693D"/>
    <w:rsid w:val="00ED7359"/>
    <w:rsid w:val="00ED7C2E"/>
    <w:rsid w:val="00EE12A6"/>
    <w:rsid w:val="00EE5111"/>
    <w:rsid w:val="00EE7500"/>
    <w:rsid w:val="00EE7D6D"/>
    <w:rsid w:val="00EF157F"/>
    <w:rsid w:val="00EF183F"/>
    <w:rsid w:val="00EF1CE0"/>
    <w:rsid w:val="00EF2730"/>
    <w:rsid w:val="00EF28D7"/>
    <w:rsid w:val="00EF3566"/>
    <w:rsid w:val="00F01D63"/>
    <w:rsid w:val="00F02F5D"/>
    <w:rsid w:val="00F03786"/>
    <w:rsid w:val="00F0438C"/>
    <w:rsid w:val="00F05ABC"/>
    <w:rsid w:val="00F05E37"/>
    <w:rsid w:val="00F07897"/>
    <w:rsid w:val="00F07EF7"/>
    <w:rsid w:val="00F112AC"/>
    <w:rsid w:val="00F130AD"/>
    <w:rsid w:val="00F2002D"/>
    <w:rsid w:val="00F22093"/>
    <w:rsid w:val="00F227E8"/>
    <w:rsid w:val="00F24647"/>
    <w:rsid w:val="00F26374"/>
    <w:rsid w:val="00F26A9F"/>
    <w:rsid w:val="00F30DE4"/>
    <w:rsid w:val="00F30FF5"/>
    <w:rsid w:val="00F32FBD"/>
    <w:rsid w:val="00F331B5"/>
    <w:rsid w:val="00F34AF9"/>
    <w:rsid w:val="00F44D26"/>
    <w:rsid w:val="00F45725"/>
    <w:rsid w:val="00F47B58"/>
    <w:rsid w:val="00F47BED"/>
    <w:rsid w:val="00F51F11"/>
    <w:rsid w:val="00F53521"/>
    <w:rsid w:val="00F53991"/>
    <w:rsid w:val="00F61722"/>
    <w:rsid w:val="00F617C6"/>
    <w:rsid w:val="00F6208E"/>
    <w:rsid w:val="00F62C28"/>
    <w:rsid w:val="00F66A33"/>
    <w:rsid w:val="00F66F7C"/>
    <w:rsid w:val="00F70BA5"/>
    <w:rsid w:val="00F71818"/>
    <w:rsid w:val="00F72A45"/>
    <w:rsid w:val="00F72AF9"/>
    <w:rsid w:val="00F730A9"/>
    <w:rsid w:val="00F73842"/>
    <w:rsid w:val="00F73B39"/>
    <w:rsid w:val="00F74936"/>
    <w:rsid w:val="00F74981"/>
    <w:rsid w:val="00F758AA"/>
    <w:rsid w:val="00F75C04"/>
    <w:rsid w:val="00F90692"/>
    <w:rsid w:val="00F90C0F"/>
    <w:rsid w:val="00F93E60"/>
    <w:rsid w:val="00F95772"/>
    <w:rsid w:val="00FA0895"/>
    <w:rsid w:val="00FA1CEE"/>
    <w:rsid w:val="00FA268F"/>
    <w:rsid w:val="00FA27ED"/>
    <w:rsid w:val="00FA555A"/>
    <w:rsid w:val="00FA7191"/>
    <w:rsid w:val="00FB049C"/>
    <w:rsid w:val="00FB0799"/>
    <w:rsid w:val="00FB2CA2"/>
    <w:rsid w:val="00FB4289"/>
    <w:rsid w:val="00FC0149"/>
    <w:rsid w:val="00FC1824"/>
    <w:rsid w:val="00FC2985"/>
    <w:rsid w:val="00FC7254"/>
    <w:rsid w:val="00FD008B"/>
    <w:rsid w:val="00FD0E0E"/>
    <w:rsid w:val="00FD12A2"/>
    <w:rsid w:val="00FD424D"/>
    <w:rsid w:val="00FD5803"/>
    <w:rsid w:val="00FE2CF0"/>
    <w:rsid w:val="00FF20D4"/>
    <w:rsid w:val="00FF2AF6"/>
    <w:rsid w:val="00FF3F44"/>
    <w:rsid w:val="00FF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967C2F4"/>
  <w15:chartTrackingRefBased/>
  <w15:docId w15:val="{553240B5-2036-4FA2-9A35-8679C1EF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customStyle="1" w:styleId="UnresolvedMention1">
    <w:name w:val="Unresolved Mention1"/>
    <w:basedOn w:val="DefaultParagraphFont"/>
    <w:uiPriority w:val="99"/>
    <w:semiHidden/>
    <w:unhideWhenUsed/>
    <w:rsid w:val="009C2850"/>
    <w:rPr>
      <w:color w:val="605E5C"/>
      <w:shd w:val="clear" w:color="auto" w:fill="E1DFDD"/>
    </w:rPr>
  </w:style>
  <w:style w:type="paragraph" w:styleId="NormalWeb">
    <w:name w:val="Normal (Web)"/>
    <w:basedOn w:val="Normal"/>
    <w:uiPriority w:val="99"/>
    <w:unhideWhenUsed/>
    <w:rsid w:val="007E4B37"/>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706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31819010">
      <w:bodyDiv w:val="1"/>
      <w:marLeft w:val="0"/>
      <w:marRight w:val="0"/>
      <w:marTop w:val="0"/>
      <w:marBottom w:val="0"/>
      <w:divBdr>
        <w:top w:val="none" w:sz="0" w:space="0" w:color="auto"/>
        <w:left w:val="none" w:sz="0" w:space="0" w:color="auto"/>
        <w:bottom w:val="none" w:sz="0" w:space="0" w:color="auto"/>
        <w:right w:val="none" w:sz="0" w:space="0" w:color="auto"/>
      </w:divBdr>
      <w:divsChild>
        <w:div w:id="1992757663">
          <w:marLeft w:val="0"/>
          <w:marRight w:val="0"/>
          <w:marTop w:val="0"/>
          <w:marBottom w:val="0"/>
          <w:divBdr>
            <w:top w:val="none" w:sz="0" w:space="0" w:color="auto"/>
            <w:left w:val="none" w:sz="0" w:space="0" w:color="auto"/>
            <w:bottom w:val="none" w:sz="0" w:space="0" w:color="auto"/>
            <w:right w:val="none" w:sz="0" w:space="0" w:color="auto"/>
          </w:divBdr>
          <w:divsChild>
            <w:div w:id="920600847">
              <w:marLeft w:val="0"/>
              <w:marRight w:val="0"/>
              <w:marTop w:val="0"/>
              <w:marBottom w:val="0"/>
              <w:divBdr>
                <w:top w:val="none" w:sz="0" w:space="0" w:color="auto"/>
                <w:left w:val="none" w:sz="0" w:space="0" w:color="auto"/>
                <w:bottom w:val="none" w:sz="0" w:space="0" w:color="auto"/>
                <w:right w:val="none" w:sz="0" w:space="0" w:color="auto"/>
              </w:divBdr>
              <w:divsChild>
                <w:div w:id="1163157542">
                  <w:marLeft w:val="0"/>
                  <w:marRight w:val="0"/>
                  <w:marTop w:val="0"/>
                  <w:marBottom w:val="0"/>
                  <w:divBdr>
                    <w:top w:val="none" w:sz="0" w:space="0" w:color="auto"/>
                    <w:left w:val="none" w:sz="0" w:space="0" w:color="auto"/>
                    <w:bottom w:val="none" w:sz="0" w:space="0" w:color="auto"/>
                    <w:right w:val="none" w:sz="0" w:space="0" w:color="auto"/>
                  </w:divBdr>
                  <w:divsChild>
                    <w:div w:id="1502740562">
                      <w:marLeft w:val="0"/>
                      <w:marRight w:val="0"/>
                      <w:marTop w:val="0"/>
                      <w:marBottom w:val="0"/>
                      <w:divBdr>
                        <w:top w:val="none" w:sz="0" w:space="0" w:color="auto"/>
                        <w:left w:val="none" w:sz="0" w:space="0" w:color="auto"/>
                        <w:bottom w:val="none" w:sz="0" w:space="0" w:color="auto"/>
                        <w:right w:val="none" w:sz="0" w:space="0" w:color="auto"/>
                      </w:divBdr>
                      <w:divsChild>
                        <w:div w:id="1751196323">
                          <w:marLeft w:val="0"/>
                          <w:marRight w:val="0"/>
                          <w:marTop w:val="0"/>
                          <w:marBottom w:val="0"/>
                          <w:divBdr>
                            <w:top w:val="none" w:sz="0" w:space="0" w:color="auto"/>
                            <w:left w:val="none" w:sz="0" w:space="0" w:color="auto"/>
                            <w:bottom w:val="none" w:sz="0" w:space="0" w:color="auto"/>
                            <w:right w:val="none" w:sz="0" w:space="0" w:color="auto"/>
                          </w:divBdr>
                          <w:divsChild>
                            <w:div w:id="225147428">
                              <w:marLeft w:val="0"/>
                              <w:marRight w:val="0"/>
                              <w:marTop w:val="0"/>
                              <w:marBottom w:val="0"/>
                              <w:divBdr>
                                <w:top w:val="none" w:sz="0" w:space="0" w:color="auto"/>
                                <w:left w:val="none" w:sz="0" w:space="0" w:color="auto"/>
                                <w:bottom w:val="none" w:sz="0" w:space="0" w:color="auto"/>
                                <w:right w:val="none" w:sz="0" w:space="0" w:color="auto"/>
                              </w:divBdr>
                              <w:divsChild>
                                <w:div w:id="1290086677">
                                  <w:marLeft w:val="360"/>
                                  <w:marRight w:val="360"/>
                                  <w:marTop w:val="0"/>
                                  <w:marBottom w:val="0"/>
                                  <w:divBdr>
                                    <w:top w:val="none" w:sz="0" w:space="0" w:color="auto"/>
                                    <w:left w:val="none" w:sz="0" w:space="0" w:color="auto"/>
                                    <w:bottom w:val="none" w:sz="0" w:space="0" w:color="auto"/>
                                    <w:right w:val="none" w:sz="0" w:space="0" w:color="auto"/>
                                  </w:divBdr>
                                  <w:divsChild>
                                    <w:div w:id="709766886">
                                      <w:marLeft w:val="0"/>
                                      <w:marRight w:val="0"/>
                                      <w:marTop w:val="0"/>
                                      <w:marBottom w:val="0"/>
                                      <w:divBdr>
                                        <w:top w:val="none" w:sz="0" w:space="0" w:color="auto"/>
                                        <w:left w:val="none" w:sz="0" w:space="0" w:color="auto"/>
                                        <w:bottom w:val="none" w:sz="0" w:space="0" w:color="auto"/>
                                        <w:right w:val="none" w:sz="0" w:space="0" w:color="auto"/>
                                      </w:divBdr>
                                      <w:divsChild>
                                        <w:div w:id="931664144">
                                          <w:marLeft w:val="0"/>
                                          <w:marRight w:val="0"/>
                                          <w:marTop w:val="0"/>
                                          <w:marBottom w:val="300"/>
                                          <w:divBdr>
                                            <w:top w:val="none" w:sz="0" w:space="0" w:color="auto"/>
                                            <w:left w:val="none" w:sz="0" w:space="0" w:color="auto"/>
                                            <w:bottom w:val="none" w:sz="0" w:space="0" w:color="auto"/>
                                            <w:right w:val="none" w:sz="0" w:space="0" w:color="auto"/>
                                          </w:divBdr>
                                          <w:divsChild>
                                            <w:div w:id="1682662398">
                                              <w:marLeft w:val="0"/>
                                              <w:marRight w:val="0"/>
                                              <w:marTop w:val="0"/>
                                              <w:marBottom w:val="0"/>
                                              <w:divBdr>
                                                <w:top w:val="none" w:sz="0" w:space="0" w:color="auto"/>
                                                <w:left w:val="none" w:sz="0" w:space="0" w:color="auto"/>
                                                <w:bottom w:val="none" w:sz="0" w:space="0" w:color="auto"/>
                                                <w:right w:val="none" w:sz="0" w:space="0" w:color="auto"/>
                                              </w:divBdr>
                                              <w:divsChild>
                                                <w:div w:id="105292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231158">
      <w:bodyDiv w:val="1"/>
      <w:marLeft w:val="0"/>
      <w:marRight w:val="0"/>
      <w:marTop w:val="0"/>
      <w:marBottom w:val="0"/>
      <w:divBdr>
        <w:top w:val="none" w:sz="0" w:space="0" w:color="auto"/>
        <w:left w:val="none" w:sz="0" w:space="0" w:color="auto"/>
        <w:bottom w:val="none" w:sz="0" w:space="0" w:color="auto"/>
        <w:right w:val="none" w:sz="0" w:space="0" w:color="auto"/>
      </w:divBdr>
    </w:div>
    <w:div w:id="513496467">
      <w:bodyDiv w:val="1"/>
      <w:marLeft w:val="0"/>
      <w:marRight w:val="0"/>
      <w:marTop w:val="0"/>
      <w:marBottom w:val="0"/>
      <w:divBdr>
        <w:top w:val="none" w:sz="0" w:space="0" w:color="auto"/>
        <w:left w:val="none" w:sz="0" w:space="0" w:color="auto"/>
        <w:bottom w:val="none" w:sz="0" w:space="0" w:color="auto"/>
        <w:right w:val="none" w:sz="0" w:space="0" w:color="auto"/>
      </w:divBdr>
      <w:divsChild>
        <w:div w:id="309989169">
          <w:marLeft w:val="994"/>
          <w:marRight w:val="0"/>
          <w:marTop w:val="170"/>
          <w:marBottom w:val="0"/>
          <w:divBdr>
            <w:top w:val="none" w:sz="0" w:space="0" w:color="auto"/>
            <w:left w:val="none" w:sz="0" w:space="0" w:color="auto"/>
            <w:bottom w:val="none" w:sz="0" w:space="0" w:color="auto"/>
            <w:right w:val="none" w:sz="0" w:space="0" w:color="auto"/>
          </w:divBdr>
        </w:div>
        <w:div w:id="475150890">
          <w:marLeft w:val="994"/>
          <w:marRight w:val="0"/>
          <w:marTop w:val="170"/>
          <w:marBottom w:val="0"/>
          <w:divBdr>
            <w:top w:val="none" w:sz="0" w:space="0" w:color="auto"/>
            <w:left w:val="none" w:sz="0" w:space="0" w:color="auto"/>
            <w:bottom w:val="none" w:sz="0" w:space="0" w:color="auto"/>
            <w:right w:val="none" w:sz="0" w:space="0" w:color="auto"/>
          </w:divBdr>
        </w:div>
        <w:div w:id="1584681019">
          <w:marLeft w:val="994"/>
          <w:marRight w:val="0"/>
          <w:marTop w:val="170"/>
          <w:marBottom w:val="0"/>
          <w:divBdr>
            <w:top w:val="none" w:sz="0" w:space="0" w:color="auto"/>
            <w:left w:val="none" w:sz="0" w:space="0" w:color="auto"/>
            <w:bottom w:val="none" w:sz="0" w:space="0" w:color="auto"/>
            <w:right w:val="none" w:sz="0" w:space="0" w:color="auto"/>
          </w:divBdr>
        </w:div>
        <w:div w:id="884023426">
          <w:marLeft w:val="994"/>
          <w:marRight w:val="0"/>
          <w:marTop w:val="170"/>
          <w:marBottom w:val="0"/>
          <w:divBdr>
            <w:top w:val="none" w:sz="0" w:space="0" w:color="auto"/>
            <w:left w:val="none" w:sz="0" w:space="0" w:color="auto"/>
            <w:bottom w:val="none" w:sz="0" w:space="0" w:color="auto"/>
            <w:right w:val="none" w:sz="0" w:space="0" w:color="auto"/>
          </w:divBdr>
        </w:div>
      </w:divsChild>
    </w:div>
    <w:div w:id="554505701">
      <w:bodyDiv w:val="1"/>
      <w:marLeft w:val="0"/>
      <w:marRight w:val="0"/>
      <w:marTop w:val="0"/>
      <w:marBottom w:val="0"/>
      <w:divBdr>
        <w:top w:val="none" w:sz="0" w:space="0" w:color="auto"/>
        <w:left w:val="none" w:sz="0" w:space="0" w:color="auto"/>
        <w:bottom w:val="none" w:sz="0" w:space="0" w:color="auto"/>
        <w:right w:val="none" w:sz="0" w:space="0" w:color="auto"/>
      </w:divBdr>
      <w:divsChild>
        <w:div w:id="1957251575">
          <w:marLeft w:val="0"/>
          <w:marRight w:val="0"/>
          <w:marTop w:val="0"/>
          <w:marBottom w:val="0"/>
          <w:divBdr>
            <w:top w:val="none" w:sz="0" w:space="0" w:color="auto"/>
            <w:left w:val="none" w:sz="0" w:space="0" w:color="auto"/>
            <w:bottom w:val="none" w:sz="0" w:space="0" w:color="auto"/>
            <w:right w:val="none" w:sz="0" w:space="0" w:color="auto"/>
          </w:divBdr>
          <w:divsChild>
            <w:div w:id="828523568">
              <w:marLeft w:val="0"/>
              <w:marRight w:val="0"/>
              <w:marTop w:val="0"/>
              <w:marBottom w:val="0"/>
              <w:divBdr>
                <w:top w:val="none" w:sz="0" w:space="0" w:color="auto"/>
                <w:left w:val="none" w:sz="0" w:space="0" w:color="auto"/>
                <w:bottom w:val="none" w:sz="0" w:space="0" w:color="auto"/>
                <w:right w:val="none" w:sz="0" w:space="0" w:color="auto"/>
              </w:divBdr>
              <w:divsChild>
                <w:div w:id="1956522258">
                  <w:marLeft w:val="0"/>
                  <w:marRight w:val="0"/>
                  <w:marTop w:val="0"/>
                  <w:marBottom w:val="0"/>
                  <w:divBdr>
                    <w:top w:val="none" w:sz="0" w:space="0" w:color="auto"/>
                    <w:left w:val="none" w:sz="0" w:space="0" w:color="auto"/>
                    <w:bottom w:val="none" w:sz="0" w:space="0" w:color="auto"/>
                    <w:right w:val="none" w:sz="0" w:space="0" w:color="auto"/>
                  </w:divBdr>
                  <w:divsChild>
                    <w:div w:id="513999648">
                      <w:marLeft w:val="0"/>
                      <w:marRight w:val="0"/>
                      <w:marTop w:val="0"/>
                      <w:marBottom w:val="0"/>
                      <w:divBdr>
                        <w:top w:val="none" w:sz="0" w:space="0" w:color="auto"/>
                        <w:left w:val="none" w:sz="0" w:space="0" w:color="auto"/>
                        <w:bottom w:val="none" w:sz="0" w:space="0" w:color="auto"/>
                        <w:right w:val="none" w:sz="0" w:space="0" w:color="auto"/>
                      </w:divBdr>
                      <w:divsChild>
                        <w:div w:id="1714113979">
                          <w:marLeft w:val="0"/>
                          <w:marRight w:val="0"/>
                          <w:marTop w:val="0"/>
                          <w:marBottom w:val="0"/>
                          <w:divBdr>
                            <w:top w:val="none" w:sz="0" w:space="0" w:color="auto"/>
                            <w:left w:val="none" w:sz="0" w:space="0" w:color="auto"/>
                            <w:bottom w:val="none" w:sz="0" w:space="0" w:color="auto"/>
                            <w:right w:val="none" w:sz="0" w:space="0" w:color="auto"/>
                          </w:divBdr>
                          <w:divsChild>
                            <w:div w:id="1937441851">
                              <w:marLeft w:val="0"/>
                              <w:marRight w:val="0"/>
                              <w:marTop w:val="0"/>
                              <w:marBottom w:val="0"/>
                              <w:divBdr>
                                <w:top w:val="none" w:sz="0" w:space="0" w:color="auto"/>
                                <w:left w:val="none" w:sz="0" w:space="0" w:color="auto"/>
                                <w:bottom w:val="none" w:sz="0" w:space="0" w:color="auto"/>
                                <w:right w:val="none" w:sz="0" w:space="0" w:color="auto"/>
                              </w:divBdr>
                              <w:divsChild>
                                <w:div w:id="448623527">
                                  <w:marLeft w:val="360"/>
                                  <w:marRight w:val="360"/>
                                  <w:marTop w:val="0"/>
                                  <w:marBottom w:val="0"/>
                                  <w:divBdr>
                                    <w:top w:val="none" w:sz="0" w:space="0" w:color="auto"/>
                                    <w:left w:val="none" w:sz="0" w:space="0" w:color="auto"/>
                                    <w:bottom w:val="none" w:sz="0" w:space="0" w:color="auto"/>
                                    <w:right w:val="none" w:sz="0" w:space="0" w:color="auto"/>
                                  </w:divBdr>
                                  <w:divsChild>
                                    <w:div w:id="249430123">
                                      <w:marLeft w:val="0"/>
                                      <w:marRight w:val="0"/>
                                      <w:marTop w:val="0"/>
                                      <w:marBottom w:val="0"/>
                                      <w:divBdr>
                                        <w:top w:val="none" w:sz="0" w:space="0" w:color="auto"/>
                                        <w:left w:val="none" w:sz="0" w:space="0" w:color="auto"/>
                                        <w:bottom w:val="none" w:sz="0" w:space="0" w:color="auto"/>
                                        <w:right w:val="none" w:sz="0" w:space="0" w:color="auto"/>
                                      </w:divBdr>
                                      <w:divsChild>
                                        <w:div w:id="1755391216">
                                          <w:marLeft w:val="0"/>
                                          <w:marRight w:val="0"/>
                                          <w:marTop w:val="0"/>
                                          <w:marBottom w:val="300"/>
                                          <w:divBdr>
                                            <w:top w:val="none" w:sz="0" w:space="0" w:color="auto"/>
                                            <w:left w:val="none" w:sz="0" w:space="0" w:color="auto"/>
                                            <w:bottom w:val="none" w:sz="0" w:space="0" w:color="auto"/>
                                            <w:right w:val="none" w:sz="0" w:space="0" w:color="auto"/>
                                          </w:divBdr>
                                          <w:divsChild>
                                            <w:div w:id="1963804189">
                                              <w:marLeft w:val="0"/>
                                              <w:marRight w:val="0"/>
                                              <w:marTop w:val="0"/>
                                              <w:marBottom w:val="0"/>
                                              <w:divBdr>
                                                <w:top w:val="none" w:sz="0" w:space="0" w:color="auto"/>
                                                <w:left w:val="none" w:sz="0" w:space="0" w:color="auto"/>
                                                <w:bottom w:val="none" w:sz="0" w:space="0" w:color="auto"/>
                                                <w:right w:val="none" w:sz="0" w:space="0" w:color="auto"/>
                                              </w:divBdr>
                                              <w:divsChild>
                                                <w:div w:id="76927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786854189">
      <w:bodyDiv w:val="1"/>
      <w:marLeft w:val="0"/>
      <w:marRight w:val="0"/>
      <w:marTop w:val="0"/>
      <w:marBottom w:val="0"/>
      <w:divBdr>
        <w:top w:val="none" w:sz="0" w:space="0" w:color="auto"/>
        <w:left w:val="none" w:sz="0" w:space="0" w:color="auto"/>
        <w:bottom w:val="none" w:sz="0" w:space="0" w:color="auto"/>
        <w:right w:val="none" w:sz="0" w:space="0" w:color="auto"/>
      </w:divBdr>
      <w:divsChild>
        <w:div w:id="117918313">
          <w:marLeft w:val="0"/>
          <w:marRight w:val="0"/>
          <w:marTop w:val="0"/>
          <w:marBottom w:val="0"/>
          <w:divBdr>
            <w:top w:val="none" w:sz="0" w:space="0" w:color="auto"/>
            <w:left w:val="none" w:sz="0" w:space="0" w:color="auto"/>
            <w:bottom w:val="none" w:sz="0" w:space="0" w:color="auto"/>
            <w:right w:val="none" w:sz="0" w:space="0" w:color="auto"/>
          </w:divBdr>
          <w:divsChild>
            <w:div w:id="1920752253">
              <w:marLeft w:val="-225"/>
              <w:marRight w:val="-225"/>
              <w:marTop w:val="0"/>
              <w:marBottom w:val="0"/>
              <w:divBdr>
                <w:top w:val="none" w:sz="0" w:space="0" w:color="auto"/>
                <w:left w:val="none" w:sz="0" w:space="0" w:color="auto"/>
                <w:bottom w:val="none" w:sz="0" w:space="0" w:color="auto"/>
                <w:right w:val="none" w:sz="0" w:space="0" w:color="auto"/>
              </w:divBdr>
              <w:divsChild>
                <w:div w:id="1016541060">
                  <w:marLeft w:val="0"/>
                  <w:marRight w:val="0"/>
                  <w:marTop w:val="0"/>
                  <w:marBottom w:val="0"/>
                  <w:divBdr>
                    <w:top w:val="none" w:sz="0" w:space="0" w:color="auto"/>
                    <w:left w:val="none" w:sz="0" w:space="0" w:color="auto"/>
                    <w:bottom w:val="none" w:sz="0" w:space="0" w:color="auto"/>
                    <w:right w:val="none" w:sz="0" w:space="0" w:color="auto"/>
                  </w:divBdr>
                  <w:divsChild>
                    <w:div w:id="504245406">
                      <w:marLeft w:val="0"/>
                      <w:marRight w:val="0"/>
                      <w:marTop w:val="0"/>
                      <w:marBottom w:val="0"/>
                      <w:divBdr>
                        <w:top w:val="none" w:sz="0" w:space="0" w:color="auto"/>
                        <w:left w:val="none" w:sz="0" w:space="0" w:color="auto"/>
                        <w:bottom w:val="none" w:sz="0" w:space="0" w:color="auto"/>
                        <w:right w:val="none" w:sz="0" w:space="0" w:color="auto"/>
                      </w:divBdr>
                      <w:divsChild>
                        <w:div w:id="813639303">
                          <w:marLeft w:val="0"/>
                          <w:marRight w:val="0"/>
                          <w:marTop w:val="0"/>
                          <w:marBottom w:val="0"/>
                          <w:divBdr>
                            <w:top w:val="none" w:sz="0" w:space="0" w:color="auto"/>
                            <w:left w:val="none" w:sz="0" w:space="0" w:color="auto"/>
                            <w:bottom w:val="none" w:sz="0" w:space="0" w:color="auto"/>
                            <w:right w:val="none" w:sz="0" w:space="0" w:color="auto"/>
                          </w:divBdr>
                          <w:divsChild>
                            <w:div w:id="793448273">
                              <w:marLeft w:val="0"/>
                              <w:marRight w:val="0"/>
                              <w:marTop w:val="0"/>
                              <w:marBottom w:val="0"/>
                              <w:divBdr>
                                <w:top w:val="none" w:sz="0" w:space="0" w:color="auto"/>
                                <w:left w:val="none" w:sz="0" w:space="0" w:color="auto"/>
                                <w:bottom w:val="none" w:sz="0" w:space="0" w:color="auto"/>
                                <w:right w:val="none" w:sz="0" w:space="0" w:color="auto"/>
                              </w:divBdr>
                              <w:divsChild>
                                <w:div w:id="844515104">
                                  <w:marLeft w:val="0"/>
                                  <w:marRight w:val="0"/>
                                  <w:marTop w:val="0"/>
                                  <w:marBottom w:val="0"/>
                                  <w:divBdr>
                                    <w:top w:val="none" w:sz="0" w:space="0" w:color="auto"/>
                                    <w:left w:val="none" w:sz="0" w:space="0" w:color="auto"/>
                                    <w:bottom w:val="none" w:sz="0" w:space="0" w:color="auto"/>
                                    <w:right w:val="none" w:sz="0" w:space="0" w:color="auto"/>
                                  </w:divBdr>
                                  <w:divsChild>
                                    <w:div w:id="1449547907">
                                      <w:marLeft w:val="0"/>
                                      <w:marRight w:val="0"/>
                                      <w:marTop w:val="0"/>
                                      <w:marBottom w:val="0"/>
                                      <w:divBdr>
                                        <w:top w:val="none" w:sz="0" w:space="0" w:color="auto"/>
                                        <w:left w:val="none" w:sz="0" w:space="0" w:color="auto"/>
                                        <w:bottom w:val="none" w:sz="0" w:space="0" w:color="auto"/>
                                        <w:right w:val="none" w:sz="0" w:space="0" w:color="auto"/>
                                      </w:divBdr>
                                      <w:divsChild>
                                        <w:div w:id="135267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132201">
      <w:bodyDiv w:val="1"/>
      <w:marLeft w:val="0"/>
      <w:marRight w:val="0"/>
      <w:marTop w:val="0"/>
      <w:marBottom w:val="0"/>
      <w:divBdr>
        <w:top w:val="none" w:sz="0" w:space="0" w:color="auto"/>
        <w:left w:val="none" w:sz="0" w:space="0" w:color="auto"/>
        <w:bottom w:val="none" w:sz="0" w:space="0" w:color="auto"/>
        <w:right w:val="none" w:sz="0" w:space="0" w:color="auto"/>
      </w:divBdr>
      <w:divsChild>
        <w:div w:id="1217428577">
          <w:marLeft w:val="547"/>
          <w:marRight w:val="0"/>
          <w:marTop w:val="0"/>
          <w:marBottom w:val="0"/>
          <w:divBdr>
            <w:top w:val="none" w:sz="0" w:space="0" w:color="auto"/>
            <w:left w:val="none" w:sz="0" w:space="0" w:color="auto"/>
            <w:bottom w:val="none" w:sz="0" w:space="0" w:color="auto"/>
            <w:right w:val="none" w:sz="0" w:space="0" w:color="auto"/>
          </w:divBdr>
        </w:div>
        <w:div w:id="726562832">
          <w:marLeft w:val="547"/>
          <w:marRight w:val="0"/>
          <w:marTop w:val="0"/>
          <w:marBottom w:val="0"/>
          <w:divBdr>
            <w:top w:val="none" w:sz="0" w:space="0" w:color="auto"/>
            <w:left w:val="none" w:sz="0" w:space="0" w:color="auto"/>
            <w:bottom w:val="none" w:sz="0" w:space="0" w:color="auto"/>
            <w:right w:val="none" w:sz="0" w:space="0" w:color="auto"/>
          </w:divBdr>
        </w:div>
      </w:divsChild>
    </w:div>
    <w:div w:id="869875727">
      <w:bodyDiv w:val="1"/>
      <w:marLeft w:val="0"/>
      <w:marRight w:val="0"/>
      <w:marTop w:val="0"/>
      <w:marBottom w:val="0"/>
      <w:divBdr>
        <w:top w:val="none" w:sz="0" w:space="0" w:color="auto"/>
        <w:left w:val="none" w:sz="0" w:space="0" w:color="auto"/>
        <w:bottom w:val="none" w:sz="0" w:space="0" w:color="auto"/>
        <w:right w:val="none" w:sz="0" w:space="0" w:color="auto"/>
      </w:divBdr>
    </w:div>
    <w:div w:id="892473389">
      <w:bodyDiv w:val="1"/>
      <w:marLeft w:val="0"/>
      <w:marRight w:val="0"/>
      <w:marTop w:val="0"/>
      <w:marBottom w:val="0"/>
      <w:divBdr>
        <w:top w:val="none" w:sz="0" w:space="0" w:color="auto"/>
        <w:left w:val="none" w:sz="0" w:space="0" w:color="auto"/>
        <w:bottom w:val="none" w:sz="0" w:space="0" w:color="auto"/>
        <w:right w:val="none" w:sz="0" w:space="0" w:color="auto"/>
      </w:divBdr>
    </w:div>
    <w:div w:id="1244073355">
      <w:bodyDiv w:val="1"/>
      <w:marLeft w:val="0"/>
      <w:marRight w:val="0"/>
      <w:marTop w:val="0"/>
      <w:marBottom w:val="0"/>
      <w:divBdr>
        <w:top w:val="none" w:sz="0" w:space="0" w:color="auto"/>
        <w:left w:val="none" w:sz="0" w:space="0" w:color="auto"/>
        <w:bottom w:val="none" w:sz="0" w:space="0" w:color="auto"/>
        <w:right w:val="none" w:sz="0" w:space="0" w:color="auto"/>
      </w:divBdr>
    </w:div>
    <w:div w:id="1713072817">
      <w:bodyDiv w:val="1"/>
      <w:marLeft w:val="0"/>
      <w:marRight w:val="0"/>
      <w:marTop w:val="0"/>
      <w:marBottom w:val="0"/>
      <w:divBdr>
        <w:top w:val="none" w:sz="0" w:space="0" w:color="auto"/>
        <w:left w:val="none" w:sz="0" w:space="0" w:color="auto"/>
        <w:bottom w:val="none" w:sz="0" w:space="0" w:color="auto"/>
        <w:right w:val="none" w:sz="0" w:space="0" w:color="auto"/>
      </w:divBdr>
      <w:divsChild>
        <w:div w:id="222496769">
          <w:marLeft w:val="547"/>
          <w:marRight w:val="0"/>
          <w:marTop w:val="0"/>
          <w:marBottom w:val="0"/>
          <w:divBdr>
            <w:top w:val="none" w:sz="0" w:space="0" w:color="auto"/>
            <w:left w:val="none" w:sz="0" w:space="0" w:color="auto"/>
            <w:bottom w:val="none" w:sz="0" w:space="0" w:color="auto"/>
            <w:right w:val="none" w:sz="0" w:space="0" w:color="auto"/>
          </w:divBdr>
        </w:div>
        <w:div w:id="888881853">
          <w:marLeft w:val="547"/>
          <w:marRight w:val="0"/>
          <w:marTop w:val="0"/>
          <w:marBottom w:val="0"/>
          <w:divBdr>
            <w:top w:val="none" w:sz="0" w:space="0" w:color="auto"/>
            <w:left w:val="none" w:sz="0" w:space="0" w:color="auto"/>
            <w:bottom w:val="none" w:sz="0" w:space="0" w:color="auto"/>
            <w:right w:val="none" w:sz="0" w:space="0" w:color="auto"/>
          </w:divBdr>
        </w:div>
        <w:div w:id="1483497707">
          <w:marLeft w:val="547"/>
          <w:marRight w:val="0"/>
          <w:marTop w:val="0"/>
          <w:marBottom w:val="0"/>
          <w:divBdr>
            <w:top w:val="none" w:sz="0" w:space="0" w:color="auto"/>
            <w:left w:val="none" w:sz="0" w:space="0" w:color="auto"/>
            <w:bottom w:val="none" w:sz="0" w:space="0" w:color="auto"/>
            <w:right w:val="none" w:sz="0" w:space="0" w:color="auto"/>
          </w:divBdr>
        </w:div>
        <w:div w:id="1151210737">
          <w:marLeft w:val="547"/>
          <w:marRight w:val="0"/>
          <w:marTop w:val="0"/>
          <w:marBottom w:val="0"/>
          <w:divBdr>
            <w:top w:val="none" w:sz="0" w:space="0" w:color="auto"/>
            <w:left w:val="none" w:sz="0" w:space="0" w:color="auto"/>
            <w:bottom w:val="none" w:sz="0" w:space="0" w:color="auto"/>
            <w:right w:val="none" w:sz="0" w:space="0" w:color="auto"/>
          </w:divBdr>
        </w:div>
        <w:div w:id="1046417508">
          <w:marLeft w:val="547"/>
          <w:marRight w:val="0"/>
          <w:marTop w:val="0"/>
          <w:marBottom w:val="0"/>
          <w:divBdr>
            <w:top w:val="none" w:sz="0" w:space="0" w:color="auto"/>
            <w:left w:val="none" w:sz="0" w:space="0" w:color="auto"/>
            <w:bottom w:val="none" w:sz="0" w:space="0" w:color="auto"/>
            <w:right w:val="none" w:sz="0" w:space="0" w:color="auto"/>
          </w:divBdr>
        </w:div>
        <w:div w:id="1917353225">
          <w:marLeft w:val="547"/>
          <w:marRight w:val="0"/>
          <w:marTop w:val="0"/>
          <w:marBottom w:val="0"/>
          <w:divBdr>
            <w:top w:val="none" w:sz="0" w:space="0" w:color="auto"/>
            <w:left w:val="none" w:sz="0" w:space="0" w:color="auto"/>
            <w:bottom w:val="none" w:sz="0" w:space="0" w:color="auto"/>
            <w:right w:val="none" w:sz="0" w:space="0" w:color="auto"/>
          </w:divBdr>
        </w:div>
      </w:divsChild>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791514646">
      <w:bodyDiv w:val="1"/>
      <w:marLeft w:val="0"/>
      <w:marRight w:val="0"/>
      <w:marTop w:val="0"/>
      <w:marBottom w:val="0"/>
      <w:divBdr>
        <w:top w:val="none" w:sz="0" w:space="0" w:color="auto"/>
        <w:left w:val="none" w:sz="0" w:space="0" w:color="auto"/>
        <w:bottom w:val="none" w:sz="0" w:space="0" w:color="auto"/>
        <w:right w:val="none" w:sz="0" w:space="0" w:color="auto"/>
      </w:divBdr>
      <w:divsChild>
        <w:div w:id="1523976111">
          <w:marLeft w:val="994"/>
          <w:marRight w:val="0"/>
          <w:marTop w:val="170"/>
          <w:marBottom w:val="0"/>
          <w:divBdr>
            <w:top w:val="none" w:sz="0" w:space="0" w:color="auto"/>
            <w:left w:val="none" w:sz="0" w:space="0" w:color="auto"/>
            <w:bottom w:val="none" w:sz="0" w:space="0" w:color="auto"/>
            <w:right w:val="none" w:sz="0" w:space="0" w:color="auto"/>
          </w:divBdr>
        </w:div>
        <w:div w:id="609748095">
          <w:marLeft w:val="994"/>
          <w:marRight w:val="0"/>
          <w:marTop w:val="170"/>
          <w:marBottom w:val="0"/>
          <w:divBdr>
            <w:top w:val="none" w:sz="0" w:space="0" w:color="auto"/>
            <w:left w:val="none" w:sz="0" w:space="0" w:color="auto"/>
            <w:bottom w:val="none" w:sz="0" w:space="0" w:color="auto"/>
            <w:right w:val="none" w:sz="0" w:space="0" w:color="auto"/>
          </w:divBdr>
        </w:div>
        <w:div w:id="1210721530">
          <w:marLeft w:val="994"/>
          <w:marRight w:val="0"/>
          <w:marTop w:val="170"/>
          <w:marBottom w:val="0"/>
          <w:divBdr>
            <w:top w:val="none" w:sz="0" w:space="0" w:color="auto"/>
            <w:left w:val="none" w:sz="0" w:space="0" w:color="auto"/>
            <w:bottom w:val="none" w:sz="0" w:space="0" w:color="auto"/>
            <w:right w:val="none" w:sz="0" w:space="0" w:color="auto"/>
          </w:divBdr>
        </w:div>
        <w:div w:id="1534033464">
          <w:marLeft w:val="994"/>
          <w:marRight w:val="0"/>
          <w:marTop w:val="17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388/documents" TargetMode="External"/><Relationship Id="rId13" Type="http://schemas.openxmlformats.org/officeDocument/2006/relationships/hyperlink" Target="https://www.nice.org.uk/get-involved/meetings-in-public/technology-appraisal-commit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et-Involved/Meetings-in-public/Technology-appraisal-Committee/Committee-a-Memb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cg18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ice.org.uk/guidance/indevelopment/gid-ta10388/documents" TargetMode="Externa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Appraisals\0%20-%20Cancer\Haematological\ID1508%20SCT%20(malignant)%20-%20treosulfan%20(w%20fludarabine)\13%20-%20ACD\STA%20new%20process%20ACD%20and%20F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8F6B9-B3CA-4D58-9A2E-9A3AE6F20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 new process ACD and FAD template</Template>
  <TotalTime>4</TotalTime>
  <Pages>13</Pages>
  <Words>3302</Words>
  <Characters>18877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22135</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NICE</dc:creator>
  <cp:keywords/>
  <cp:lastModifiedBy>Thomas Feist</cp:lastModifiedBy>
  <cp:revision>5</cp:revision>
  <cp:lastPrinted>2020-01-17T15:05:00Z</cp:lastPrinted>
  <dcterms:created xsi:type="dcterms:W3CDTF">2020-01-17T15:02:00Z</dcterms:created>
  <dcterms:modified xsi:type="dcterms:W3CDTF">2020-01-17T15:05:00Z</dcterms:modified>
</cp:coreProperties>
</file>