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3B8C1" w14:textId="77777777" w:rsidR="000F48EC" w:rsidRPr="008C3231" w:rsidRDefault="000F48EC" w:rsidP="0093671F">
      <w:pPr>
        <w:pStyle w:val="Title2"/>
      </w:pPr>
      <w:r w:rsidRPr="008C3231">
        <w:t>NATIONAL INSTITUTE FOR HEALTH AND C</w:t>
      </w:r>
      <w:r w:rsidR="00CC63EB" w:rsidRPr="008C3231">
        <w:t>ARE</w:t>
      </w:r>
      <w:r w:rsidRPr="008C3231">
        <w:t xml:space="preserve"> EXCELLENCE</w:t>
      </w:r>
    </w:p>
    <w:p w14:paraId="1BF39C75" w14:textId="77777777" w:rsidR="000F48EC" w:rsidRPr="008C3231" w:rsidRDefault="007A2801" w:rsidP="000069F9">
      <w:pPr>
        <w:pStyle w:val="Title2"/>
      </w:pPr>
      <w:r w:rsidRPr="008C3231">
        <w:t>Appraisal consultation document</w:t>
      </w:r>
    </w:p>
    <w:p w14:paraId="6BC5EDE6" w14:textId="77777777" w:rsidR="007A2801" w:rsidRPr="00733124" w:rsidRDefault="002C6572" w:rsidP="002C6572">
      <w:pPr>
        <w:pStyle w:val="Title1"/>
      </w:pPr>
      <w:proofErr w:type="spellStart"/>
      <w:r w:rsidRPr="008C3231">
        <w:t>Upadacitinib</w:t>
      </w:r>
      <w:proofErr w:type="spellEnd"/>
      <w:r w:rsidRPr="008C3231">
        <w:t xml:space="preserve"> for treating moderate to severe rheumatoid arthritis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7A2801" w:rsidRPr="00BE3BE7" w14:paraId="3C401B77" w14:textId="77777777" w:rsidTr="00734F5A">
        <w:tc>
          <w:tcPr>
            <w:tcW w:w="8529" w:type="dxa"/>
            <w:shd w:val="clear" w:color="auto" w:fill="auto"/>
          </w:tcPr>
          <w:p w14:paraId="23446FA4" w14:textId="00DD1DE1" w:rsidR="007A2801" w:rsidRPr="00BE3BE7" w:rsidRDefault="007A2801" w:rsidP="00734F5A">
            <w:pPr>
              <w:pStyle w:val="NICEnormalsinglespacing"/>
            </w:pPr>
            <w:r w:rsidRPr="00BE3BE7">
              <w:t xml:space="preserve">The Department of Health and Social Care has asked the National Institute for Health and Care Excellence (NICE) to produce guidance on using </w:t>
            </w:r>
            <w:proofErr w:type="spellStart"/>
            <w:r w:rsidR="002C6572" w:rsidRPr="00BE3BE7">
              <w:t>upadacitinib</w:t>
            </w:r>
            <w:proofErr w:type="spellEnd"/>
            <w:r w:rsidRPr="00BE3BE7">
              <w:t xml:space="preserve"> in the NHS in England.</w:t>
            </w:r>
            <w:r w:rsidR="00D45CFC">
              <w:t xml:space="preserve"> </w:t>
            </w:r>
            <w:r w:rsidRPr="00BE3BE7">
              <w:t xml:space="preserve">The appraisal committee has considered the evidence submitted by the company and the views of non-company consultees and commentators, clinical experts and patient experts. </w:t>
            </w:r>
          </w:p>
          <w:p w14:paraId="137BAD63" w14:textId="723CFF64" w:rsidR="007A2801" w:rsidRPr="00BE3BE7" w:rsidRDefault="007A2801" w:rsidP="00734F5A">
            <w:pPr>
              <w:pStyle w:val="NICEnormalsinglespacing"/>
            </w:pPr>
            <w:r w:rsidRPr="00BE3BE7">
              <w:rPr>
                <w:b/>
              </w:rPr>
              <w:t>This document has been prepared for consultation with the consultees.</w:t>
            </w:r>
            <w:r w:rsidRPr="00BE3BE7">
              <w:t xml:space="preserve"> It summarises the evidence and views that have been </w:t>
            </w:r>
            <w:proofErr w:type="gramStart"/>
            <w:r w:rsidRPr="00BE3BE7">
              <w:t>considered, and</w:t>
            </w:r>
            <w:proofErr w:type="gramEnd"/>
            <w:r w:rsidRPr="00BE3BE7">
              <w:t xml:space="preserve"> sets out the recommendations made by the committee. NICE invites comments from the consultees and commentators for this appraisal and the public. This document should be read along with the evidence (see the </w:t>
            </w:r>
            <w:hyperlink r:id="rId8" w:history="1">
              <w:r w:rsidRPr="00BF04A4">
                <w:rPr>
                  <w:rStyle w:val="Hyperlink"/>
                </w:rPr>
                <w:t>committee papers</w:t>
              </w:r>
            </w:hyperlink>
            <w:r w:rsidRPr="00733124">
              <w:t>).</w:t>
            </w:r>
          </w:p>
          <w:p w14:paraId="0AB77B65" w14:textId="77777777" w:rsidR="007A2801" w:rsidRPr="00BE3BE7" w:rsidRDefault="007A2801" w:rsidP="00734F5A">
            <w:pPr>
              <w:pStyle w:val="NICEnormalsinglespacing"/>
            </w:pPr>
            <w:r w:rsidRPr="00BE3BE7">
              <w:t>The appraisal committee is interested in receiving comments on the following:</w:t>
            </w:r>
          </w:p>
          <w:p w14:paraId="3C058FA8" w14:textId="77777777" w:rsidR="007A2801" w:rsidRPr="00BE3BE7" w:rsidRDefault="007A2801" w:rsidP="00734F5A">
            <w:pPr>
              <w:pStyle w:val="Bulletleft1"/>
              <w:spacing w:line="240" w:lineRule="auto"/>
            </w:pPr>
            <w:r w:rsidRPr="00BE3BE7">
              <w:t xml:space="preserve">Has </w:t>
            </w:r>
            <w:proofErr w:type="gramStart"/>
            <w:r w:rsidRPr="00BE3BE7">
              <w:t>all of</w:t>
            </w:r>
            <w:proofErr w:type="gramEnd"/>
            <w:r w:rsidRPr="00BE3BE7">
              <w:t xml:space="preserve"> the relevant evidence been taken into account?</w:t>
            </w:r>
          </w:p>
          <w:p w14:paraId="3C650230" w14:textId="77777777" w:rsidR="007A2801" w:rsidRPr="00BE3BE7" w:rsidRDefault="007A2801" w:rsidP="00734F5A">
            <w:pPr>
              <w:pStyle w:val="Bulletleft1"/>
              <w:spacing w:line="240" w:lineRule="auto"/>
            </w:pPr>
            <w:r w:rsidRPr="00BE3BE7">
              <w:t>Are the summaries of clinical and cost effectiveness reasonable interpretations of the evidence?</w:t>
            </w:r>
          </w:p>
          <w:p w14:paraId="0A11C355" w14:textId="77777777" w:rsidR="007A2801" w:rsidRPr="00BE3BE7" w:rsidRDefault="007A2801" w:rsidP="00734F5A">
            <w:pPr>
              <w:pStyle w:val="Bulletleft1"/>
              <w:spacing w:line="240" w:lineRule="auto"/>
            </w:pPr>
            <w:r w:rsidRPr="00BE3BE7">
              <w:t>Are the recommendations sound and a suitable basis for guidance to the NHS?</w:t>
            </w:r>
          </w:p>
          <w:p w14:paraId="667F49D3" w14:textId="77777777" w:rsidR="007A2801" w:rsidRPr="00BE3BE7" w:rsidRDefault="007A2801" w:rsidP="00734F5A">
            <w:pPr>
              <w:pStyle w:val="Bulletleft1"/>
              <w:spacing w:line="240" w:lineRule="auto"/>
            </w:pPr>
            <w:r w:rsidRPr="00BE3BE7">
              <w:t xml:space="preserve">Are there any aspects of the recommendations that need </w:t>
            </w:r>
            <w:proofErr w:type="gramStart"/>
            <w:r w:rsidRPr="00BE3BE7">
              <w:t>particular consideration</w:t>
            </w:r>
            <w:proofErr w:type="gramEnd"/>
            <w:r w:rsidRPr="00BE3BE7">
              <w:t xml:space="preserve"> to ensure we avoid unlawful discrimination against any group of people on the grounds of race, gender, disability, religion or belief, sexual orientation, age, gender reassignment, pregnancy and maternity?</w:t>
            </w:r>
          </w:p>
        </w:tc>
      </w:tr>
    </w:tbl>
    <w:p w14:paraId="026A68B8" w14:textId="77777777" w:rsidR="007A2801" w:rsidRPr="00BE3BE7" w:rsidRDefault="007A2801">
      <w:pPr>
        <w:rPr>
          <w:rFonts w:ascii="Arial" w:hAnsi="Arial"/>
        </w:rPr>
      </w:pPr>
      <w:r w:rsidRPr="00BE3BE7">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7A2801" w:rsidRPr="00BE3BE7" w14:paraId="7EE389EB" w14:textId="77777777" w:rsidTr="00734F5A">
        <w:tc>
          <w:tcPr>
            <w:tcW w:w="8529" w:type="dxa"/>
            <w:shd w:val="clear" w:color="auto" w:fill="auto"/>
          </w:tcPr>
          <w:p w14:paraId="47400F12" w14:textId="77777777" w:rsidR="007A2801" w:rsidRPr="00BE3BE7" w:rsidRDefault="007A2801" w:rsidP="00734F5A">
            <w:pPr>
              <w:pStyle w:val="NICEnormalsinglespacing"/>
              <w:rPr>
                <w:b/>
                <w:bCs/>
              </w:rPr>
            </w:pPr>
            <w:r w:rsidRPr="00BE3BE7">
              <w:rPr>
                <w:b/>
                <w:bCs/>
              </w:rPr>
              <w:lastRenderedPageBreak/>
              <w:t>Note that this document is not NICE's final guidance on this technology. The recommendations in section 1 may change after consultation.</w:t>
            </w:r>
          </w:p>
          <w:p w14:paraId="7F8EF02B" w14:textId="77777777" w:rsidR="007A2801" w:rsidRPr="00BE3BE7" w:rsidRDefault="007A2801" w:rsidP="00734F5A">
            <w:pPr>
              <w:pStyle w:val="NICEnormalsinglespacing"/>
            </w:pPr>
            <w:r w:rsidRPr="00BE3BE7">
              <w:t>After consultation:</w:t>
            </w:r>
          </w:p>
          <w:p w14:paraId="29A08F2B" w14:textId="77777777" w:rsidR="007A2801" w:rsidRPr="00BE3BE7" w:rsidRDefault="007A2801" w:rsidP="00734F5A">
            <w:pPr>
              <w:pStyle w:val="Bulletleft1"/>
              <w:spacing w:line="240" w:lineRule="auto"/>
            </w:pPr>
            <w:r w:rsidRPr="00BE3BE7">
              <w:t>The appraisal committee will meet again to consider the evidence, this appraisal consultation document and comments from the consultees.</w:t>
            </w:r>
          </w:p>
          <w:p w14:paraId="0FA12DAE" w14:textId="77777777" w:rsidR="007A2801" w:rsidRPr="00BE3BE7" w:rsidRDefault="007A2801" w:rsidP="00734F5A">
            <w:pPr>
              <w:pStyle w:val="Bulletleft1"/>
              <w:spacing w:line="240" w:lineRule="auto"/>
            </w:pPr>
            <w:r w:rsidRPr="00BE3BE7">
              <w:t>At that meeting, the committee will also consider comments made by people who are not consultees.</w:t>
            </w:r>
          </w:p>
          <w:p w14:paraId="35622382" w14:textId="77777777" w:rsidR="007A2801" w:rsidRPr="00BE3BE7" w:rsidRDefault="007A2801" w:rsidP="00734F5A">
            <w:pPr>
              <w:pStyle w:val="Bulletleft1"/>
              <w:spacing w:line="240" w:lineRule="auto"/>
            </w:pPr>
            <w:r w:rsidRPr="00BE3BE7">
              <w:t>After considering these comments, the committee will prepare the final appraisal document.</w:t>
            </w:r>
          </w:p>
          <w:p w14:paraId="10F90E04" w14:textId="77777777" w:rsidR="007A2801" w:rsidRPr="00BE3BE7" w:rsidRDefault="007A2801" w:rsidP="00734F5A">
            <w:pPr>
              <w:pStyle w:val="Bulletleft1last"/>
              <w:spacing w:line="240" w:lineRule="auto"/>
            </w:pPr>
            <w:r w:rsidRPr="00BE3BE7">
              <w:t xml:space="preserve">Subject to any appeal by consultees, the final appraisal document may be used as the basis for NICE’s guidance on using </w:t>
            </w:r>
            <w:proofErr w:type="spellStart"/>
            <w:r w:rsidR="00922BA6" w:rsidRPr="00BE3BE7">
              <w:t>upadacitinib</w:t>
            </w:r>
            <w:proofErr w:type="spellEnd"/>
            <w:r w:rsidRPr="00BE3BE7">
              <w:t xml:space="preserve"> in the NHS in England. </w:t>
            </w:r>
          </w:p>
          <w:p w14:paraId="3D9B767C" w14:textId="77777777" w:rsidR="007A2801" w:rsidRPr="00BF04A4" w:rsidRDefault="007A2801" w:rsidP="00734F5A">
            <w:pPr>
              <w:pStyle w:val="NICEnormalsinglespacing"/>
            </w:pPr>
            <w:r w:rsidRPr="00BE3BE7">
              <w:t xml:space="preserve">For further details, see NICE’s </w:t>
            </w:r>
            <w:hyperlink r:id="rId9" w:history="1">
              <w:r w:rsidRPr="00BF04A4">
                <w:rPr>
                  <w:rStyle w:val="Hyperlink"/>
                </w:rPr>
                <w:t xml:space="preserve">guide to the processes of </w:t>
              </w:r>
              <w:r w:rsidRPr="00260064">
                <w:rPr>
                  <w:rStyle w:val="Hyperlink"/>
                </w:rPr>
                <w:t>technology appraisal</w:t>
              </w:r>
            </w:hyperlink>
            <w:r w:rsidRPr="00733124">
              <w:t>.</w:t>
            </w:r>
          </w:p>
          <w:p w14:paraId="101D5462" w14:textId="77777777" w:rsidR="007A2801" w:rsidRPr="0035762B" w:rsidRDefault="007A2801" w:rsidP="00734F5A">
            <w:pPr>
              <w:pStyle w:val="NICEnormalsinglespacing"/>
              <w:rPr>
                <w:b/>
                <w:bCs/>
              </w:rPr>
            </w:pPr>
            <w:r w:rsidRPr="00260064">
              <w:rPr>
                <w:b/>
                <w:bCs/>
              </w:rPr>
              <w:t>The key dates for this appraisal are:</w:t>
            </w:r>
          </w:p>
          <w:p w14:paraId="503AE534" w14:textId="272A085C" w:rsidR="007A2801" w:rsidRPr="00733124" w:rsidRDefault="007A2801" w:rsidP="00734F5A">
            <w:pPr>
              <w:pStyle w:val="NICEnormalsinglespacing"/>
            </w:pPr>
            <w:r w:rsidRPr="00DD05BD">
              <w:t xml:space="preserve">Closing date for comments: </w:t>
            </w:r>
            <w:bookmarkStart w:id="0" w:name="_GoBack"/>
            <w:r w:rsidR="00411CDA">
              <w:t>21 February 2020</w:t>
            </w:r>
            <w:bookmarkEnd w:id="0"/>
          </w:p>
          <w:p w14:paraId="7E77DF2B" w14:textId="6107D0DC" w:rsidR="007A2801" w:rsidRPr="00733124" w:rsidRDefault="007A2801" w:rsidP="00734F5A">
            <w:pPr>
              <w:pStyle w:val="NICEnormalsinglespacing"/>
            </w:pPr>
            <w:r w:rsidRPr="00BF04A4">
              <w:t xml:space="preserve">Second </w:t>
            </w:r>
            <w:r w:rsidRPr="00260064">
              <w:t>a</w:t>
            </w:r>
            <w:r w:rsidRPr="0035762B">
              <w:t xml:space="preserve">ppraisal </w:t>
            </w:r>
            <w:r w:rsidRPr="00DD05BD">
              <w:t>c</w:t>
            </w:r>
            <w:r w:rsidRPr="00BE3BE7">
              <w:t xml:space="preserve">ommittee meeting: </w:t>
            </w:r>
            <w:r w:rsidR="0011372C">
              <w:t>TBC</w:t>
            </w:r>
          </w:p>
          <w:p w14:paraId="57B9684F" w14:textId="77777777" w:rsidR="007A2801" w:rsidRPr="00733124" w:rsidRDefault="007A2801" w:rsidP="00734F5A">
            <w:pPr>
              <w:pStyle w:val="NICEnormalsinglespacing"/>
            </w:pPr>
            <w:r w:rsidRPr="00BF04A4">
              <w:t xml:space="preserve">Details of membership of the </w:t>
            </w:r>
            <w:r w:rsidRPr="00260064">
              <w:t>a</w:t>
            </w:r>
            <w:r w:rsidRPr="0035762B">
              <w:t xml:space="preserve">ppraisal </w:t>
            </w:r>
            <w:r w:rsidRPr="00DD05BD">
              <w:t>c</w:t>
            </w:r>
            <w:r w:rsidRPr="00BE3BE7">
              <w:t>ommittee are given in section</w:t>
            </w:r>
            <w:r w:rsidR="001B21DA" w:rsidRPr="00BE3BE7">
              <w:t xml:space="preserve"> 6</w:t>
            </w:r>
            <w:r w:rsidRPr="00BE3BE7">
              <w:t>.</w:t>
            </w:r>
          </w:p>
        </w:tc>
      </w:tr>
    </w:tbl>
    <w:p w14:paraId="7A2EF9CC" w14:textId="77777777" w:rsidR="007A2801" w:rsidRPr="00BE3BE7" w:rsidRDefault="007A2801" w:rsidP="00C76DDA">
      <w:pPr>
        <w:pStyle w:val="NICEnormal"/>
      </w:pPr>
    </w:p>
    <w:p w14:paraId="77320A02" w14:textId="77777777" w:rsidR="007A2801" w:rsidRPr="00BE3BE7" w:rsidRDefault="007A2801">
      <w:pPr>
        <w:rPr>
          <w:rFonts w:ascii="Arial" w:hAnsi="Arial"/>
        </w:rPr>
      </w:pPr>
      <w:r w:rsidRPr="00BE3BE7">
        <w:br w:type="page"/>
      </w:r>
    </w:p>
    <w:p w14:paraId="55B6D527" w14:textId="77777777" w:rsidR="000F48EC" w:rsidRPr="00BE3BE7" w:rsidRDefault="00B379C5" w:rsidP="00F130AD">
      <w:pPr>
        <w:pStyle w:val="Numberedheading1"/>
      </w:pPr>
      <w:r w:rsidRPr="00BE3BE7">
        <w:lastRenderedPageBreak/>
        <w:t>Recommendations</w:t>
      </w:r>
    </w:p>
    <w:p w14:paraId="621C1EB2" w14:textId="3868BFE2" w:rsidR="005C7D24" w:rsidRPr="00A957FB" w:rsidRDefault="002C6572" w:rsidP="003E3834">
      <w:pPr>
        <w:pStyle w:val="Numberedlevel2text"/>
        <w:rPr>
          <w:lang w:val="en-GB"/>
        </w:rPr>
      </w:pPr>
      <w:proofErr w:type="spellStart"/>
      <w:r w:rsidRPr="00A957FB">
        <w:rPr>
          <w:lang w:val="en-GB"/>
        </w:rPr>
        <w:t>Upadacitinib</w:t>
      </w:r>
      <w:proofErr w:type="spellEnd"/>
      <w:r w:rsidR="005C7D24" w:rsidRPr="00A957FB">
        <w:rPr>
          <w:lang w:val="en-GB"/>
        </w:rPr>
        <w:t xml:space="preserve">, with methotrexate, is recommended as an option for treating active rheumatoid arthritis in adults whose disease has responded inadequately to intensive therapy with a combination of conventional disease-modifying antirheumatic drugs (DMARDs), only if: </w:t>
      </w:r>
    </w:p>
    <w:p w14:paraId="6BD27139" w14:textId="4BF4ADDC" w:rsidR="005C7D24" w:rsidRPr="00BE3BE7" w:rsidRDefault="005C7D24" w:rsidP="00A957FB">
      <w:pPr>
        <w:pStyle w:val="Bulletindent1"/>
      </w:pPr>
      <w:r w:rsidRPr="00260064">
        <w:t xml:space="preserve">disease is severe (a disease </w:t>
      </w:r>
      <w:r w:rsidRPr="0035762B">
        <w:t>activity score [DAS28] of more than 5.1) and</w:t>
      </w:r>
    </w:p>
    <w:p w14:paraId="034E7A64" w14:textId="6E072CE1" w:rsidR="007A2801" w:rsidRPr="00BE3BE7" w:rsidRDefault="005C7D24" w:rsidP="00A957FB">
      <w:pPr>
        <w:pStyle w:val="Bulletindent1last"/>
      </w:pPr>
      <w:r w:rsidRPr="00BE3BE7">
        <w:t xml:space="preserve">the company provides </w:t>
      </w:r>
      <w:proofErr w:type="spellStart"/>
      <w:r w:rsidRPr="00BE3BE7">
        <w:t>upadacitinib</w:t>
      </w:r>
      <w:proofErr w:type="spellEnd"/>
      <w:r w:rsidRPr="00BE3BE7">
        <w:t xml:space="preserve"> with the discount agreed in the patient access scheme. </w:t>
      </w:r>
    </w:p>
    <w:p w14:paraId="202BBEC5" w14:textId="77777777" w:rsidR="00FB3652" w:rsidRPr="00A957FB" w:rsidRDefault="00FB3652" w:rsidP="00FB3652">
      <w:pPr>
        <w:pStyle w:val="Numberedlevel2text"/>
        <w:rPr>
          <w:lang w:val="en-GB"/>
        </w:rPr>
      </w:pPr>
      <w:proofErr w:type="spellStart"/>
      <w:r w:rsidRPr="00A957FB">
        <w:rPr>
          <w:lang w:val="en-GB"/>
        </w:rPr>
        <w:t>Upadacitinib</w:t>
      </w:r>
      <w:proofErr w:type="spellEnd"/>
      <w:r w:rsidRPr="00A957FB">
        <w:rPr>
          <w:lang w:val="en-GB"/>
        </w:rPr>
        <w:t xml:space="preserve">, with methotrexate, is recommended as an option for treating active rheumatoid arthritis in adults whose disease has responded inadequately to or who cannot have other DMARDs, including at least 1 biological DMARD, only if: </w:t>
      </w:r>
    </w:p>
    <w:p w14:paraId="49424C3B" w14:textId="3D997B2B" w:rsidR="00FB3652" w:rsidRPr="0035762B" w:rsidRDefault="00FB3652" w:rsidP="00A957FB">
      <w:pPr>
        <w:pStyle w:val="Bulletindent1"/>
      </w:pPr>
      <w:r w:rsidRPr="00260064">
        <w:t>disease is severe (a DAS28 of more than 5.1) and</w:t>
      </w:r>
    </w:p>
    <w:p w14:paraId="0F7343E9" w14:textId="2C3635A4" w:rsidR="00FB3652" w:rsidRPr="00E051C9" w:rsidRDefault="00FB3652" w:rsidP="00A957FB">
      <w:pPr>
        <w:pStyle w:val="Bulletindent1"/>
      </w:pPr>
      <w:r w:rsidRPr="00E051C9">
        <w:t>they cannot have rituximab and</w:t>
      </w:r>
    </w:p>
    <w:p w14:paraId="5400F844" w14:textId="4C017723" w:rsidR="005C7D24" w:rsidRPr="00576E05" w:rsidRDefault="00FB3652" w:rsidP="00A957FB">
      <w:pPr>
        <w:pStyle w:val="Bulletindent1last"/>
      </w:pPr>
      <w:r w:rsidRPr="00E051C9">
        <w:t xml:space="preserve">the company provides </w:t>
      </w:r>
      <w:proofErr w:type="spellStart"/>
      <w:r w:rsidRPr="00A957FB">
        <w:t>upadacitinib</w:t>
      </w:r>
      <w:proofErr w:type="spellEnd"/>
      <w:r w:rsidRPr="00733124">
        <w:t xml:space="preserve"> with the disc</w:t>
      </w:r>
      <w:r w:rsidRPr="00BF04A4">
        <w:t>ount agreed in the patient access scheme.</w:t>
      </w:r>
    </w:p>
    <w:p w14:paraId="143B44A0" w14:textId="77777777" w:rsidR="00130E96" w:rsidRPr="00A957FB" w:rsidRDefault="00130E96" w:rsidP="003B1D1A">
      <w:pPr>
        <w:pStyle w:val="Numberedlevel2text"/>
        <w:rPr>
          <w:lang w:val="en-GB"/>
        </w:rPr>
      </w:pPr>
      <w:proofErr w:type="spellStart"/>
      <w:r w:rsidRPr="00A957FB">
        <w:rPr>
          <w:lang w:val="en-GB"/>
        </w:rPr>
        <w:t>Upadacitinib</w:t>
      </w:r>
      <w:proofErr w:type="spellEnd"/>
      <w:r w:rsidRPr="00A957FB">
        <w:rPr>
          <w:lang w:val="en-GB"/>
        </w:rPr>
        <w:t>, with methotrexate, is recommended as an option for treating active rheumatoid arthritis in adults whose disease has responded inadequately to rituximab and at least 1 biological DMARD, only if:</w:t>
      </w:r>
    </w:p>
    <w:p w14:paraId="40C465B9" w14:textId="34D8D94F" w:rsidR="00130E96" w:rsidRPr="00DD05BD" w:rsidRDefault="00130E96" w:rsidP="00A957FB">
      <w:pPr>
        <w:pStyle w:val="Bulletindent1"/>
      </w:pPr>
      <w:r w:rsidRPr="0035762B">
        <w:t>di</w:t>
      </w:r>
      <w:r w:rsidRPr="001D75FC">
        <w:t>sease is severe (a DAS28 of more than 5.1) and</w:t>
      </w:r>
    </w:p>
    <w:p w14:paraId="497F3B81" w14:textId="00425E63" w:rsidR="003B1D1A" w:rsidRPr="00260064" w:rsidRDefault="00130E96" w:rsidP="00A957FB">
      <w:pPr>
        <w:pStyle w:val="Bulletindent1last"/>
      </w:pPr>
      <w:r w:rsidRPr="00E051C9">
        <w:t xml:space="preserve">the company provides </w:t>
      </w:r>
      <w:proofErr w:type="spellStart"/>
      <w:r w:rsidRPr="00A957FB">
        <w:t>upadacitinib</w:t>
      </w:r>
      <w:proofErr w:type="spellEnd"/>
      <w:r w:rsidRPr="00733124">
        <w:t xml:space="preserve"> with the discount agreed in the patient access scheme</w:t>
      </w:r>
      <w:r w:rsidR="004B756F" w:rsidRPr="00BF04A4">
        <w:t>.</w:t>
      </w:r>
    </w:p>
    <w:p w14:paraId="6596AEC2" w14:textId="0D2BAD45" w:rsidR="00130E96" w:rsidRPr="00A957FB" w:rsidRDefault="00130E96" w:rsidP="00130E96">
      <w:pPr>
        <w:pStyle w:val="Numberedlevel2text"/>
        <w:rPr>
          <w:lang w:val="en-GB"/>
        </w:rPr>
      </w:pPr>
      <w:proofErr w:type="spellStart"/>
      <w:r w:rsidRPr="00A957FB">
        <w:rPr>
          <w:lang w:val="en-GB"/>
        </w:rPr>
        <w:t>Upadacitinib</w:t>
      </w:r>
      <w:proofErr w:type="spellEnd"/>
      <w:r w:rsidRPr="00A957FB">
        <w:rPr>
          <w:lang w:val="en-GB"/>
        </w:rPr>
        <w:t xml:space="preserve"> can be used as monotherapy for people who cannot take methotrexate because it is contraindicated or because of intolerance, when the criteria in sections</w:t>
      </w:r>
      <w:r w:rsidR="004B756F" w:rsidRPr="00A957FB">
        <w:rPr>
          <w:lang w:val="en-GB"/>
        </w:rPr>
        <w:t> </w:t>
      </w:r>
      <w:r w:rsidRPr="00A957FB">
        <w:rPr>
          <w:lang w:val="en-GB"/>
        </w:rPr>
        <w:t>1.1 and 1.2 are met</w:t>
      </w:r>
      <w:r w:rsidR="004B756F" w:rsidRPr="00A957FB">
        <w:rPr>
          <w:lang w:val="en-GB"/>
        </w:rPr>
        <w:t>.</w:t>
      </w:r>
    </w:p>
    <w:p w14:paraId="2FE32F54" w14:textId="77777777" w:rsidR="006A610F" w:rsidRDefault="00130E96" w:rsidP="00130E96">
      <w:pPr>
        <w:pStyle w:val="Numberedlevel2text"/>
        <w:rPr>
          <w:lang w:val="en-GB"/>
        </w:rPr>
      </w:pPr>
      <w:r w:rsidRPr="00733124">
        <w:rPr>
          <w:lang w:val="en-GB"/>
        </w:rPr>
        <w:lastRenderedPageBreak/>
        <w:t>Continue treatment only if there is a moderate response measured using European</w:t>
      </w:r>
      <w:r w:rsidRPr="00BE3BE7">
        <w:rPr>
          <w:lang w:val="en-GB"/>
        </w:rPr>
        <w:t xml:space="preserve"> League Against Rheumatism (EULAR) criteria at 6</w:t>
      </w:r>
      <w:r w:rsidR="004B756F" w:rsidRPr="00BE3BE7">
        <w:rPr>
          <w:lang w:val="en-GB"/>
        </w:rPr>
        <w:t> </w:t>
      </w:r>
      <w:r w:rsidRPr="00BE3BE7">
        <w:rPr>
          <w:lang w:val="en-GB"/>
        </w:rPr>
        <w:t>months after starting therapy. After an initial response within 6</w:t>
      </w:r>
      <w:r w:rsidR="004B756F" w:rsidRPr="00BE3BE7">
        <w:rPr>
          <w:lang w:val="en-GB"/>
        </w:rPr>
        <w:t> </w:t>
      </w:r>
      <w:r w:rsidRPr="00BE3BE7">
        <w:rPr>
          <w:lang w:val="en-GB"/>
        </w:rPr>
        <w:t>months, withdraw treatment if at least a moderate EULAR response is not maintained.</w:t>
      </w:r>
      <w:r w:rsidR="006A610F">
        <w:rPr>
          <w:lang w:val="en-GB"/>
        </w:rPr>
        <w:t xml:space="preserve"> </w:t>
      </w:r>
    </w:p>
    <w:p w14:paraId="60BB38B8" w14:textId="255B954A" w:rsidR="00130E96" w:rsidRPr="00A957FB" w:rsidRDefault="006A610F" w:rsidP="00130E96">
      <w:pPr>
        <w:pStyle w:val="Numberedlevel2text"/>
        <w:rPr>
          <w:lang w:val="en-GB"/>
        </w:rPr>
      </w:pPr>
      <w:r w:rsidRPr="006A610F">
        <w:rPr>
          <w:lang w:val="en-GB"/>
        </w:rPr>
        <w:t>When using the</w:t>
      </w:r>
      <w:r>
        <w:rPr>
          <w:lang w:val="en-GB"/>
        </w:rPr>
        <w:t xml:space="preserve"> DAS28</w:t>
      </w:r>
      <w:r w:rsidRPr="006A610F">
        <w:rPr>
          <w:lang w:val="en-GB"/>
        </w:rPr>
        <w:t xml:space="preserve">, healthcare professionals should </w:t>
      </w:r>
      <w:proofErr w:type="gramStart"/>
      <w:r w:rsidRPr="006A610F">
        <w:rPr>
          <w:lang w:val="en-GB"/>
        </w:rPr>
        <w:t>take into account</w:t>
      </w:r>
      <w:proofErr w:type="gramEnd"/>
      <w:r w:rsidRPr="006A610F">
        <w:rPr>
          <w:lang w:val="en-GB"/>
        </w:rPr>
        <w:t xml:space="preserve"> any physical, psychological, sensory or learning disabilities, or communication difficulties that could affect the responses to the </w:t>
      </w:r>
      <w:r>
        <w:rPr>
          <w:lang w:val="en-GB"/>
        </w:rPr>
        <w:t>DAS28</w:t>
      </w:r>
      <w:r w:rsidRPr="006A610F">
        <w:rPr>
          <w:lang w:val="en-GB"/>
        </w:rPr>
        <w:t xml:space="preserve"> and make any adjustments they consider appropriate.</w:t>
      </w:r>
    </w:p>
    <w:p w14:paraId="097BC86F" w14:textId="77777777" w:rsidR="00130E96" w:rsidRPr="00A957FB" w:rsidRDefault="00130E96" w:rsidP="00130E96">
      <w:pPr>
        <w:pStyle w:val="Numberedlevel2text"/>
        <w:rPr>
          <w:lang w:val="en-GB"/>
        </w:rPr>
      </w:pPr>
      <w:r w:rsidRPr="00733124">
        <w:rPr>
          <w:lang w:val="en-GB"/>
        </w:rPr>
        <w:t xml:space="preserve">These recommendations are not intended to affect treatment with </w:t>
      </w:r>
      <w:proofErr w:type="spellStart"/>
      <w:r w:rsidRPr="00BE3BE7">
        <w:rPr>
          <w:lang w:val="en-GB"/>
        </w:rPr>
        <w:t>upadacitinib</w:t>
      </w:r>
      <w:proofErr w:type="spellEnd"/>
      <w:r w:rsidRPr="00BE3BE7">
        <w:rPr>
          <w:lang w:val="en-GB"/>
        </w:rPr>
        <w:t xml:space="preserve"> that was started in the NHS before this guidance was published. People having treatment outside these recommendations may continue without change to the funding arrangements in place for them before this guidance was published, until they and their NHS clinician consider it appropriate to stop.</w:t>
      </w:r>
    </w:p>
    <w:p w14:paraId="6CC4F8C7" w14:textId="77777777" w:rsidR="00C11F58" w:rsidRPr="00BF04A4" w:rsidRDefault="00C11F58" w:rsidP="008522C6">
      <w:pPr>
        <w:pStyle w:val="NICEnormal"/>
        <w:rPr>
          <w:b/>
        </w:rPr>
      </w:pPr>
      <w:r w:rsidRPr="00733124">
        <w:rPr>
          <w:b/>
        </w:rPr>
        <w:t>Why the committee made these recommendations</w:t>
      </w:r>
    </w:p>
    <w:p w14:paraId="5B88DBCF" w14:textId="1A022513" w:rsidR="00C979A3" w:rsidRPr="00BE3BE7" w:rsidRDefault="00EA6AFA" w:rsidP="008522C6">
      <w:pPr>
        <w:pStyle w:val="NICEnormal"/>
      </w:pPr>
      <w:r w:rsidRPr="00260064">
        <w:t>Clinical</w:t>
      </w:r>
      <w:r w:rsidRPr="00733124">
        <w:t xml:space="preserve"> trials show</w:t>
      </w:r>
      <w:r w:rsidRPr="00260064">
        <w:t xml:space="preserve"> </w:t>
      </w:r>
      <w:proofErr w:type="spellStart"/>
      <w:r w:rsidRPr="00733124">
        <w:t>upadacitin</w:t>
      </w:r>
      <w:r w:rsidR="00894CA0" w:rsidRPr="00BF04A4">
        <w:t>i</w:t>
      </w:r>
      <w:r w:rsidRPr="00260064">
        <w:t>b</w:t>
      </w:r>
      <w:proofErr w:type="spellEnd"/>
      <w:r w:rsidRPr="00260064">
        <w:t xml:space="preserve"> </w:t>
      </w:r>
      <w:r w:rsidR="00894CA0" w:rsidRPr="0035762B">
        <w:t>with</w:t>
      </w:r>
      <w:r w:rsidR="00894CA0" w:rsidRPr="00733124">
        <w:t xml:space="preserve"> </w:t>
      </w:r>
      <w:r w:rsidRPr="00BF04A4">
        <w:t xml:space="preserve">methotrexate or conventional DMARDs to </w:t>
      </w:r>
      <w:r w:rsidRPr="00260064">
        <w:t>be more effective than methotrexate or conventional DMARDs for treating moderate to severe active rheumatoid arthritis that has not responded adequately to conventional DMARDs. The trials also show</w:t>
      </w:r>
      <w:r w:rsidRPr="00BE3BE7">
        <w:t xml:space="preserve"> that for treating </w:t>
      </w:r>
      <w:r w:rsidR="00A646C6" w:rsidRPr="00BE3BE7">
        <w:t xml:space="preserve">moderate to </w:t>
      </w:r>
      <w:r w:rsidRPr="00BE3BE7">
        <w:t>severe active rheumatoid arthritis that has not responded adequately to conventional DMARDs</w:t>
      </w:r>
      <w:r w:rsidR="00C979A3" w:rsidRPr="00BE3BE7">
        <w:t>,</w:t>
      </w:r>
      <w:r w:rsidRPr="00BE3BE7">
        <w:t xml:space="preserve"> </w:t>
      </w:r>
      <w:proofErr w:type="spellStart"/>
      <w:r w:rsidRPr="00BE3BE7">
        <w:t>upadacitinib</w:t>
      </w:r>
      <w:proofErr w:type="spellEnd"/>
      <w:r w:rsidRPr="00BE3BE7">
        <w:t xml:space="preserve"> </w:t>
      </w:r>
      <w:r w:rsidR="00A646C6" w:rsidRPr="00BE3BE7">
        <w:t xml:space="preserve">with methotrexate </w:t>
      </w:r>
      <w:r w:rsidRPr="00BE3BE7">
        <w:t>is more effective than adalimumab</w:t>
      </w:r>
      <w:r w:rsidR="00A646C6" w:rsidRPr="00BE3BE7">
        <w:t xml:space="preserve"> with methotrexate or placebo with methotrexate</w:t>
      </w:r>
      <w:r w:rsidRPr="00BE3BE7">
        <w:t xml:space="preserve">. </w:t>
      </w:r>
    </w:p>
    <w:p w14:paraId="2C65753C" w14:textId="5F54FD87" w:rsidR="00DE6E39" w:rsidRPr="00BE3BE7" w:rsidRDefault="00EA6AFA" w:rsidP="008522C6">
      <w:pPr>
        <w:pStyle w:val="NICEnormal"/>
      </w:pPr>
      <w:r w:rsidRPr="00BE3BE7">
        <w:t xml:space="preserve">Because there are no trials comparing </w:t>
      </w:r>
      <w:proofErr w:type="spellStart"/>
      <w:r w:rsidR="00D901EB" w:rsidRPr="00BE3BE7">
        <w:t>upadacitinib</w:t>
      </w:r>
      <w:proofErr w:type="spellEnd"/>
      <w:r w:rsidR="00D901EB" w:rsidRPr="00BE3BE7">
        <w:t xml:space="preserve"> </w:t>
      </w:r>
      <w:r w:rsidRPr="00BE3BE7">
        <w:t xml:space="preserve">with </w:t>
      </w:r>
      <w:r w:rsidR="00C979A3" w:rsidRPr="00BE3BE7">
        <w:t>the full range of</w:t>
      </w:r>
      <w:r w:rsidRPr="00BE3BE7">
        <w:t xml:space="preserve"> biological DMARDs, the company did an indirect comparison. This show</w:t>
      </w:r>
      <w:r w:rsidR="00BE3583" w:rsidRPr="00BE3BE7">
        <w:t>s</w:t>
      </w:r>
      <w:r w:rsidRPr="00BE3BE7">
        <w:t xml:space="preserve"> that </w:t>
      </w:r>
      <w:proofErr w:type="spellStart"/>
      <w:r w:rsidRPr="00BE3BE7">
        <w:t>upadacitinib</w:t>
      </w:r>
      <w:proofErr w:type="spellEnd"/>
      <w:r w:rsidRPr="00BE3BE7">
        <w:t xml:space="preserve"> with conventional DMARDs (including methotrexate) or </w:t>
      </w:r>
      <w:r w:rsidR="00894CA0" w:rsidRPr="00BE3BE7">
        <w:t xml:space="preserve">on its own </w:t>
      </w:r>
      <w:r w:rsidRPr="00BE3BE7">
        <w:t xml:space="preserve">works as well as the biological DMARDs that NICE has already recommended. </w:t>
      </w:r>
    </w:p>
    <w:p w14:paraId="4B4F3AE4" w14:textId="5A8F03A6" w:rsidR="00EA6AFA" w:rsidRPr="00BE3BE7" w:rsidRDefault="00EA6AFA" w:rsidP="008522C6">
      <w:pPr>
        <w:pStyle w:val="NICEnormal"/>
      </w:pPr>
      <w:r w:rsidRPr="00BE3BE7">
        <w:t xml:space="preserve">Based on the health-related benefits and costs compared with conventional and biological DMARDs, </w:t>
      </w:r>
      <w:proofErr w:type="spellStart"/>
      <w:r w:rsidRPr="00BE3BE7">
        <w:t>upadacitinib</w:t>
      </w:r>
      <w:proofErr w:type="spellEnd"/>
      <w:r w:rsidRPr="00BE3BE7">
        <w:t xml:space="preserve"> </w:t>
      </w:r>
      <w:r w:rsidR="00BE3583" w:rsidRPr="00BE3BE7">
        <w:t>with</w:t>
      </w:r>
      <w:r w:rsidRPr="00BE3BE7">
        <w:t xml:space="preserve"> methotrexate or </w:t>
      </w:r>
      <w:proofErr w:type="spellStart"/>
      <w:r w:rsidRPr="00BE3BE7">
        <w:t>upadacitinib</w:t>
      </w:r>
      <w:proofErr w:type="spellEnd"/>
      <w:r w:rsidRPr="00BE3BE7">
        <w:t xml:space="preserve"> </w:t>
      </w:r>
      <w:r w:rsidR="00894CA0" w:rsidRPr="00BE3BE7">
        <w:t xml:space="preserve">on its own </w:t>
      </w:r>
      <w:r w:rsidRPr="00BE3BE7">
        <w:t xml:space="preserve">is </w:t>
      </w:r>
      <w:r w:rsidRPr="00BE3BE7">
        <w:lastRenderedPageBreak/>
        <w:t xml:space="preserve">recommended only for severe active rheumatoid arthritis, in line with previous recommendations in NICE technology appraisal guidance on: </w:t>
      </w:r>
    </w:p>
    <w:p w14:paraId="39930A3B" w14:textId="0C698805" w:rsidR="00EA6AFA" w:rsidRPr="00BE3BE7" w:rsidRDefault="00411CDA" w:rsidP="00364993">
      <w:pPr>
        <w:pStyle w:val="Bulletleft1"/>
      </w:pPr>
      <w:hyperlink r:id="rId10" w:history="1">
        <w:proofErr w:type="spellStart"/>
        <w:r w:rsidR="00D901EB" w:rsidRPr="00BE3BE7">
          <w:rPr>
            <w:rStyle w:val="Hyperlink"/>
          </w:rPr>
          <w:t>sarilumab</w:t>
        </w:r>
        <w:proofErr w:type="spellEnd"/>
      </w:hyperlink>
    </w:p>
    <w:bookmarkStart w:id="1" w:name="_Hlk29290573"/>
    <w:p w14:paraId="58FC4543" w14:textId="0EAF79A7" w:rsidR="00EA6AFA" w:rsidRPr="00BE3BE7" w:rsidRDefault="000C6AD0" w:rsidP="00364993">
      <w:pPr>
        <w:pStyle w:val="Bulletleft1"/>
      </w:pPr>
      <w:r w:rsidRPr="00E051C9">
        <w:fldChar w:fldCharType="begin"/>
      </w:r>
      <w:r w:rsidRPr="00BE3BE7">
        <w:instrText xml:space="preserve"> HYPERLINK "https://www.nice.org.uk/guidance/ta480" </w:instrText>
      </w:r>
      <w:r w:rsidRPr="00E051C9">
        <w:fldChar w:fldCharType="separate"/>
      </w:r>
      <w:r w:rsidR="00D901EB" w:rsidRPr="00BE3BE7">
        <w:rPr>
          <w:rStyle w:val="Hyperlink"/>
        </w:rPr>
        <w:t>tofacitinib</w:t>
      </w:r>
      <w:r w:rsidRPr="00E051C9">
        <w:rPr>
          <w:rStyle w:val="Hyperlink"/>
        </w:rPr>
        <w:fldChar w:fldCharType="end"/>
      </w:r>
    </w:p>
    <w:bookmarkEnd w:id="1"/>
    <w:p w14:paraId="60F9EE49" w14:textId="23748D4C" w:rsidR="00D901EB" w:rsidRPr="00BE3BE7" w:rsidRDefault="000C6AD0" w:rsidP="00364993">
      <w:pPr>
        <w:pStyle w:val="Bulletleft1"/>
      </w:pPr>
      <w:r w:rsidRPr="00E051C9">
        <w:fldChar w:fldCharType="begin"/>
      </w:r>
      <w:r w:rsidRPr="00BE3BE7">
        <w:instrText xml:space="preserve"> HYPERLINK "https://www.nice.org.uk/guidance/ta466" </w:instrText>
      </w:r>
      <w:r w:rsidRPr="00E051C9">
        <w:fldChar w:fldCharType="separate"/>
      </w:r>
      <w:proofErr w:type="spellStart"/>
      <w:r w:rsidR="00D901EB" w:rsidRPr="00BE3BE7">
        <w:rPr>
          <w:rStyle w:val="Hyperlink"/>
        </w:rPr>
        <w:t>baricitinib</w:t>
      </w:r>
      <w:proofErr w:type="spellEnd"/>
      <w:r w:rsidRPr="00E051C9">
        <w:rPr>
          <w:rStyle w:val="Hyperlink"/>
        </w:rPr>
        <w:fldChar w:fldCharType="end"/>
      </w:r>
    </w:p>
    <w:p w14:paraId="6F374347" w14:textId="74A6B676" w:rsidR="00EA6AFA" w:rsidRPr="00BE3BE7" w:rsidRDefault="00411CDA" w:rsidP="00364993">
      <w:pPr>
        <w:pStyle w:val="Bulletleft1"/>
      </w:pPr>
      <w:hyperlink r:id="rId11" w:history="1">
        <w:r w:rsidR="00EA6AFA" w:rsidRPr="00BE3BE7">
          <w:rPr>
            <w:rStyle w:val="Hyperlink"/>
          </w:rPr>
          <w:t>certolizumab pegol (after a TNF-alpha inhibitor)</w:t>
        </w:r>
      </w:hyperlink>
    </w:p>
    <w:p w14:paraId="361CF60D" w14:textId="38995F27" w:rsidR="00EA6AFA" w:rsidRPr="00BE3BE7" w:rsidRDefault="00411CDA" w:rsidP="00364993">
      <w:pPr>
        <w:pStyle w:val="Bulletleft1"/>
      </w:pPr>
      <w:hyperlink r:id="rId12" w:history="1">
        <w:r w:rsidR="00EA6AFA" w:rsidRPr="00BE3BE7">
          <w:rPr>
            <w:rStyle w:val="Hyperlink"/>
          </w:rPr>
          <w:t>adalimumab, etanercept, infliximab, certolizumab pegol, golimumab, tocilizumab and abatacept (after conventional DMARDs)</w:t>
        </w:r>
      </w:hyperlink>
    </w:p>
    <w:p w14:paraId="101822EC" w14:textId="4F3C92F8" w:rsidR="00D901EB" w:rsidRPr="00BE3BE7" w:rsidRDefault="00411CDA" w:rsidP="00364993">
      <w:pPr>
        <w:pStyle w:val="Bulletleft1"/>
      </w:pPr>
      <w:hyperlink r:id="rId13" w:history="1">
        <w:r w:rsidR="00EA6AFA" w:rsidRPr="00BE3BE7">
          <w:rPr>
            <w:rStyle w:val="Hyperlink"/>
          </w:rPr>
          <w:t>tocilizumab</w:t>
        </w:r>
      </w:hyperlink>
    </w:p>
    <w:p w14:paraId="0900752E" w14:textId="77196603" w:rsidR="00D901EB" w:rsidRPr="00BE3BE7" w:rsidRDefault="00411CDA" w:rsidP="00364993">
      <w:pPr>
        <w:pStyle w:val="Bulletleft1"/>
      </w:pPr>
      <w:hyperlink r:id="rId14" w:history="1">
        <w:r w:rsidR="00EA6AFA" w:rsidRPr="00BE3BE7">
          <w:rPr>
            <w:rStyle w:val="Hyperlink"/>
          </w:rPr>
          <w:t>golimumab (after DMARDs)</w:t>
        </w:r>
      </w:hyperlink>
    </w:p>
    <w:p w14:paraId="38627645" w14:textId="312FE33F" w:rsidR="000A16B0" w:rsidRPr="00E051C9" w:rsidRDefault="00411CDA" w:rsidP="00364993">
      <w:pPr>
        <w:pStyle w:val="Bulletleft1last"/>
      </w:pPr>
      <w:hyperlink r:id="rId15" w:history="1">
        <w:r w:rsidR="00EA6AFA" w:rsidRPr="00E051C9">
          <w:rPr>
            <w:rStyle w:val="Hyperlink"/>
          </w:rPr>
          <w:t>adalimumab, etanercept, infliximab, rituximab and abatacept (after a TNF-alpha inhibitor)</w:t>
        </w:r>
      </w:hyperlink>
      <w:r w:rsidR="00520199" w:rsidRPr="00A957FB">
        <w:t>.</w:t>
      </w:r>
    </w:p>
    <w:p w14:paraId="0C2E9BBC" w14:textId="6C237229" w:rsidR="00894CA0" w:rsidRPr="00BE3BE7" w:rsidRDefault="00894CA0" w:rsidP="00C52CE9">
      <w:pPr>
        <w:pStyle w:val="NICEnormal"/>
        <w:rPr>
          <w:b/>
        </w:rPr>
      </w:pPr>
      <w:r w:rsidRPr="00A957FB">
        <w:t>For moderate active rheumatoid arthritis,</w:t>
      </w:r>
      <w:r w:rsidRPr="00BE3BE7">
        <w:t xml:space="preserve"> </w:t>
      </w:r>
      <w:r w:rsidR="00F565EF" w:rsidRPr="00BE3BE7">
        <w:t>the</w:t>
      </w:r>
      <w:r w:rsidRPr="00BE3BE7">
        <w:t xml:space="preserve"> cost-effectiveness </w:t>
      </w:r>
      <w:r w:rsidR="005F4E92">
        <w:t>modelling</w:t>
      </w:r>
      <w:r w:rsidR="00D62AB9">
        <w:t xml:space="preserve"> is not</w:t>
      </w:r>
      <w:r w:rsidR="008959C7">
        <w:t xml:space="preserve"> robust</w:t>
      </w:r>
      <w:r w:rsidR="00B512E1">
        <w:t>. Also,</w:t>
      </w:r>
      <w:r w:rsidR="00F565EF" w:rsidRPr="00BE3BE7">
        <w:t xml:space="preserve"> </w:t>
      </w:r>
      <w:r w:rsidR="00956F4B">
        <w:t xml:space="preserve">the cost-effectiveness estimates </w:t>
      </w:r>
      <w:r w:rsidR="00956F4B" w:rsidRPr="00BE3BE7">
        <w:t xml:space="preserve">for </w:t>
      </w:r>
      <w:proofErr w:type="spellStart"/>
      <w:r w:rsidR="00956F4B" w:rsidRPr="00BE3BE7">
        <w:t>upadacitinib</w:t>
      </w:r>
      <w:proofErr w:type="spellEnd"/>
      <w:r w:rsidR="00956F4B" w:rsidRPr="00BE3BE7">
        <w:t xml:space="preserve"> </w:t>
      </w:r>
      <w:r w:rsidR="00341ECB" w:rsidRPr="00BF04A4">
        <w:t>are</w:t>
      </w:r>
      <w:r w:rsidRPr="0035762B">
        <w:t xml:space="preserve"> </w:t>
      </w:r>
      <w:r w:rsidR="003E3834" w:rsidRPr="00DD05BD">
        <w:t xml:space="preserve">likely to be </w:t>
      </w:r>
      <w:r w:rsidR="00341ECB" w:rsidRPr="00BE3BE7">
        <w:t xml:space="preserve">higher than what NICE </w:t>
      </w:r>
      <w:r w:rsidRPr="00BE3BE7">
        <w:t>consider</w:t>
      </w:r>
      <w:r w:rsidR="00341ECB" w:rsidRPr="00BE3BE7">
        <w:t>s</w:t>
      </w:r>
      <w:r w:rsidRPr="00BE3BE7">
        <w:t xml:space="preserve"> </w:t>
      </w:r>
      <w:r w:rsidR="00F565EF" w:rsidRPr="00BE3BE7">
        <w:t xml:space="preserve">a </w:t>
      </w:r>
      <w:r w:rsidRPr="00BE3BE7">
        <w:t>cost</w:t>
      </w:r>
      <w:r w:rsidR="00F565EF" w:rsidRPr="00BE3BE7">
        <w:t>-</w:t>
      </w:r>
      <w:r w:rsidRPr="00BE3BE7">
        <w:t>effective</w:t>
      </w:r>
      <w:r w:rsidR="00F565EF" w:rsidRPr="00BE3BE7">
        <w:t xml:space="preserve"> use of NHS resources</w:t>
      </w:r>
      <w:r w:rsidRPr="00733124">
        <w:t xml:space="preserve">. Therefore, </w:t>
      </w:r>
      <w:proofErr w:type="spellStart"/>
      <w:r w:rsidRPr="00733124">
        <w:t>upadacitinib</w:t>
      </w:r>
      <w:proofErr w:type="spellEnd"/>
      <w:r w:rsidRPr="00733124">
        <w:t xml:space="preserve"> </w:t>
      </w:r>
      <w:r w:rsidR="00F565EF" w:rsidRPr="00BF04A4">
        <w:t>with</w:t>
      </w:r>
      <w:r w:rsidRPr="0035762B">
        <w:t xml:space="preserve"> methotrexate or </w:t>
      </w:r>
      <w:proofErr w:type="spellStart"/>
      <w:r w:rsidRPr="0035762B">
        <w:t>upadacitinib</w:t>
      </w:r>
      <w:proofErr w:type="spellEnd"/>
      <w:r w:rsidRPr="0035762B">
        <w:t xml:space="preserve"> on its own is not recommended for moderate active rheumatoid arthritis.</w:t>
      </w:r>
    </w:p>
    <w:p w14:paraId="73192EC5" w14:textId="77777777" w:rsidR="00EA1CB1" w:rsidRPr="00BE3BE7" w:rsidRDefault="00EA1CB1" w:rsidP="00EA1CB1">
      <w:pPr>
        <w:pStyle w:val="Numberedheading1"/>
        <w:keepLines/>
      </w:pPr>
      <w:r w:rsidRPr="00BE3BE7">
        <w:t xml:space="preserve">Information about </w:t>
      </w:r>
      <w:proofErr w:type="spellStart"/>
      <w:r w:rsidR="00C979A3" w:rsidRPr="00BE3BE7">
        <w:t>upadacitinib</w:t>
      </w:r>
      <w:proofErr w:type="spellEnd"/>
    </w:p>
    <w:p w14:paraId="2824339A" w14:textId="2166B99F" w:rsidR="00B82A82" w:rsidRPr="00BE3BE7" w:rsidRDefault="00B82A82" w:rsidP="00B82A82">
      <w:pPr>
        <w:pStyle w:val="Heading2"/>
      </w:pPr>
      <w:r w:rsidRPr="00BE3BE7">
        <w:t>Marketing authorisation indication</w:t>
      </w:r>
    </w:p>
    <w:p w14:paraId="0FDC747D" w14:textId="7CEBD689" w:rsidR="00B82A82" w:rsidRPr="00A957FB" w:rsidRDefault="0022607C" w:rsidP="00332F33">
      <w:pPr>
        <w:pStyle w:val="Numberedlevel2text"/>
        <w:numPr>
          <w:ilvl w:val="1"/>
          <w:numId w:val="1"/>
        </w:numPr>
        <w:rPr>
          <w:lang w:val="en-GB"/>
        </w:rPr>
      </w:pPr>
      <w:proofErr w:type="spellStart"/>
      <w:r w:rsidRPr="00A957FB">
        <w:rPr>
          <w:rStyle w:val="NICEnormalChar"/>
          <w:szCs w:val="28"/>
        </w:rPr>
        <w:t>Upadacitinib</w:t>
      </w:r>
      <w:proofErr w:type="spellEnd"/>
      <w:r w:rsidRPr="00A957FB">
        <w:rPr>
          <w:rStyle w:val="NICEnormalChar"/>
          <w:szCs w:val="28"/>
        </w:rPr>
        <w:t xml:space="preserve"> (</w:t>
      </w:r>
      <w:proofErr w:type="spellStart"/>
      <w:r w:rsidR="00332F33" w:rsidRPr="00A957FB">
        <w:rPr>
          <w:rStyle w:val="NICEnormalChar"/>
          <w:szCs w:val="28"/>
        </w:rPr>
        <w:t>Rinvoq</w:t>
      </w:r>
      <w:proofErr w:type="spellEnd"/>
      <w:r w:rsidR="00332F33" w:rsidRPr="00A957FB">
        <w:rPr>
          <w:rStyle w:val="NICEnormalChar"/>
          <w:szCs w:val="28"/>
        </w:rPr>
        <w:t xml:space="preserve">, </w:t>
      </w:r>
      <w:r w:rsidR="001B0D05" w:rsidRPr="00A957FB">
        <w:rPr>
          <w:rStyle w:val="NICEnormalChar"/>
          <w:szCs w:val="28"/>
        </w:rPr>
        <w:t>AbbVie</w:t>
      </w:r>
      <w:r w:rsidR="00332F33" w:rsidRPr="00A957FB">
        <w:rPr>
          <w:rStyle w:val="NICEnormalChar"/>
          <w:szCs w:val="28"/>
        </w:rPr>
        <w:t xml:space="preserve">) is indicated </w:t>
      </w:r>
      <w:r w:rsidR="00332F33" w:rsidRPr="00733124">
        <w:rPr>
          <w:lang w:val="en-GB"/>
        </w:rPr>
        <w:t>‘for the treatment of moderate to severe active rheumatoid arthritis in adult patients who have responded inadequately to, or who are intolerant to</w:t>
      </w:r>
      <w:r w:rsidR="008D6504" w:rsidRPr="00BF04A4">
        <w:rPr>
          <w:lang w:val="en-GB"/>
        </w:rPr>
        <w:t>,</w:t>
      </w:r>
      <w:r w:rsidR="00332F33" w:rsidRPr="00260064">
        <w:rPr>
          <w:lang w:val="en-GB"/>
        </w:rPr>
        <w:t xml:space="preserve"> one or more disease-modifying antirheumatic drugs (DMARDs).</w:t>
      </w:r>
      <w:r w:rsidR="00332505" w:rsidRPr="00BE3BE7">
        <w:rPr>
          <w:lang w:val="en-GB"/>
        </w:rPr>
        <w:t>’</w:t>
      </w:r>
      <w:r w:rsidR="00332F33" w:rsidRPr="00BE3BE7">
        <w:rPr>
          <w:lang w:val="en-GB"/>
        </w:rPr>
        <w:t xml:space="preserve"> </w:t>
      </w:r>
      <w:proofErr w:type="spellStart"/>
      <w:r w:rsidR="00332505" w:rsidRPr="00BE3BE7">
        <w:rPr>
          <w:lang w:val="en-GB"/>
        </w:rPr>
        <w:t>Upadacitinib</w:t>
      </w:r>
      <w:proofErr w:type="spellEnd"/>
      <w:r w:rsidR="00332F33" w:rsidRPr="00BE3BE7">
        <w:rPr>
          <w:lang w:val="en-GB"/>
        </w:rPr>
        <w:t xml:space="preserve"> may be used as monotherapy or in combination with methotrexat</w:t>
      </w:r>
      <w:r w:rsidR="00332505" w:rsidRPr="00BE3BE7">
        <w:rPr>
          <w:lang w:val="en-GB"/>
        </w:rPr>
        <w:t>e</w:t>
      </w:r>
      <w:r w:rsidR="00332F33" w:rsidRPr="00BE3BE7">
        <w:rPr>
          <w:lang w:val="en-GB"/>
        </w:rPr>
        <w:t>.</w:t>
      </w:r>
    </w:p>
    <w:p w14:paraId="176D9536" w14:textId="77777777" w:rsidR="00B82A82" w:rsidRPr="00733124" w:rsidRDefault="00B82A82" w:rsidP="00B82A82">
      <w:pPr>
        <w:pStyle w:val="Heading2"/>
      </w:pPr>
      <w:r w:rsidRPr="00733124">
        <w:t>Dosage in the marketing authorisation</w:t>
      </w:r>
    </w:p>
    <w:p w14:paraId="6201FC20" w14:textId="4720EC52" w:rsidR="001B0D05" w:rsidRPr="00A957FB" w:rsidRDefault="001B0D05" w:rsidP="00B82A82">
      <w:pPr>
        <w:pStyle w:val="Numberedlevel2text"/>
        <w:numPr>
          <w:ilvl w:val="1"/>
          <w:numId w:val="1"/>
        </w:numPr>
        <w:rPr>
          <w:lang w:val="en-GB"/>
        </w:rPr>
      </w:pPr>
      <w:r w:rsidRPr="00A957FB">
        <w:rPr>
          <w:lang w:val="en-GB"/>
        </w:rPr>
        <w:t>The recommended dose is 15</w:t>
      </w:r>
      <w:r w:rsidR="00EF59F9" w:rsidRPr="00A957FB">
        <w:rPr>
          <w:lang w:val="en-GB"/>
        </w:rPr>
        <w:t> </w:t>
      </w:r>
      <w:r w:rsidRPr="00A957FB">
        <w:rPr>
          <w:lang w:val="en-GB"/>
        </w:rPr>
        <w:t xml:space="preserve">mg </w:t>
      </w:r>
      <w:r w:rsidR="001B21DA" w:rsidRPr="00A957FB">
        <w:rPr>
          <w:lang w:val="en-GB"/>
        </w:rPr>
        <w:t>once daily orally.</w:t>
      </w:r>
      <w:r w:rsidR="009D39F5" w:rsidRPr="00733124">
        <w:rPr>
          <w:rFonts w:cs="Arial"/>
          <w:bCs w:val="0"/>
          <w:iCs w:val="0"/>
          <w:color w:val="000000"/>
          <w:sz w:val="19"/>
          <w:szCs w:val="19"/>
          <w:shd w:val="clear" w:color="auto" w:fill="FFFFFF"/>
          <w:lang w:val="en-GB"/>
        </w:rPr>
        <w:t xml:space="preserve"> </w:t>
      </w:r>
      <w:r w:rsidR="009D39F5" w:rsidRPr="00BF04A4">
        <w:rPr>
          <w:lang w:val="en-GB"/>
        </w:rPr>
        <w:t xml:space="preserve">Treatment should not be </w:t>
      </w:r>
      <w:r w:rsidR="003A5E86" w:rsidRPr="00BE3BE7">
        <w:rPr>
          <w:lang w:val="en-GB"/>
        </w:rPr>
        <w:t>started</w:t>
      </w:r>
      <w:r w:rsidR="009D39F5" w:rsidRPr="00BE3BE7">
        <w:rPr>
          <w:lang w:val="en-GB"/>
        </w:rPr>
        <w:t xml:space="preserve"> in patients with an absolute lymphocyte count that is </w:t>
      </w:r>
      <w:r w:rsidR="003A5E86" w:rsidRPr="00BE3BE7">
        <w:rPr>
          <w:lang w:val="en-GB"/>
        </w:rPr>
        <w:t>less than</w:t>
      </w:r>
      <w:r w:rsidR="009D39F5" w:rsidRPr="00BE3BE7">
        <w:rPr>
          <w:lang w:val="en-GB"/>
        </w:rPr>
        <w:t xml:space="preserve"> 500</w:t>
      </w:r>
      <w:r w:rsidR="003A5E86" w:rsidRPr="00BE3BE7">
        <w:rPr>
          <w:lang w:val="en-GB"/>
        </w:rPr>
        <w:t> </w:t>
      </w:r>
      <w:r w:rsidR="009D39F5" w:rsidRPr="00BE3BE7">
        <w:rPr>
          <w:lang w:val="en-GB"/>
        </w:rPr>
        <w:t>cells/mm</w:t>
      </w:r>
      <w:r w:rsidR="009D39F5" w:rsidRPr="00BE3BE7">
        <w:rPr>
          <w:vertAlign w:val="superscript"/>
          <w:lang w:val="en-GB"/>
        </w:rPr>
        <w:t>3</w:t>
      </w:r>
      <w:r w:rsidR="009D39F5" w:rsidRPr="00BE3BE7">
        <w:rPr>
          <w:lang w:val="en-GB"/>
        </w:rPr>
        <w:t xml:space="preserve">, an absolute neutrophil count that is </w:t>
      </w:r>
      <w:r w:rsidR="00265E64" w:rsidRPr="00BE3BE7">
        <w:rPr>
          <w:lang w:val="en-GB"/>
        </w:rPr>
        <w:t>less than</w:t>
      </w:r>
      <w:r w:rsidR="009D39F5" w:rsidRPr="00BE3BE7">
        <w:rPr>
          <w:lang w:val="en-GB"/>
        </w:rPr>
        <w:t xml:space="preserve"> </w:t>
      </w:r>
      <w:r w:rsidR="009D39F5" w:rsidRPr="00BE3BE7">
        <w:rPr>
          <w:lang w:val="en-GB"/>
        </w:rPr>
        <w:lastRenderedPageBreak/>
        <w:t>1,000</w:t>
      </w:r>
      <w:r w:rsidR="00EE1E6D" w:rsidRPr="00BE3BE7">
        <w:rPr>
          <w:lang w:val="en-GB"/>
        </w:rPr>
        <w:t> </w:t>
      </w:r>
      <w:r w:rsidR="009D39F5" w:rsidRPr="00BE3BE7">
        <w:rPr>
          <w:lang w:val="en-GB"/>
        </w:rPr>
        <w:t>cells/mm</w:t>
      </w:r>
      <w:r w:rsidR="009D39F5" w:rsidRPr="00BE3BE7">
        <w:rPr>
          <w:vertAlign w:val="superscript"/>
          <w:lang w:val="en-GB"/>
        </w:rPr>
        <w:t>3</w:t>
      </w:r>
      <w:r w:rsidR="004136FE" w:rsidRPr="00935D96">
        <w:rPr>
          <w:lang w:val="en-GB"/>
        </w:rPr>
        <w:t xml:space="preserve"> </w:t>
      </w:r>
      <w:r w:rsidR="009D39F5" w:rsidRPr="00BF04A4">
        <w:rPr>
          <w:lang w:val="en-GB"/>
        </w:rPr>
        <w:t xml:space="preserve">or who have haemoglobin (Hb) levels that are </w:t>
      </w:r>
      <w:r w:rsidR="00BB2661" w:rsidRPr="00BE3BE7">
        <w:rPr>
          <w:lang w:val="en-GB"/>
        </w:rPr>
        <w:t>less than</w:t>
      </w:r>
      <w:r w:rsidR="009D39F5" w:rsidRPr="00BE3BE7">
        <w:rPr>
          <w:lang w:val="en-GB"/>
        </w:rPr>
        <w:t xml:space="preserve"> 8</w:t>
      </w:r>
      <w:r w:rsidR="00DE51BB" w:rsidRPr="00BE3BE7">
        <w:rPr>
          <w:lang w:val="en-GB"/>
        </w:rPr>
        <w:t> </w:t>
      </w:r>
      <w:r w:rsidR="009D39F5" w:rsidRPr="00BE3BE7">
        <w:rPr>
          <w:lang w:val="en-GB"/>
        </w:rPr>
        <w:t>g/dL. Treatment should be interrupted if a patient develops a serious infection</w:t>
      </w:r>
      <w:r w:rsidR="004A7E0A" w:rsidRPr="00BE3BE7">
        <w:rPr>
          <w:lang w:val="en-GB"/>
        </w:rPr>
        <w:t>,</w:t>
      </w:r>
      <w:r w:rsidR="009D39F5" w:rsidRPr="00BE3BE7">
        <w:rPr>
          <w:lang w:val="en-GB"/>
        </w:rPr>
        <w:t xml:space="preserve"> until the infection is controlled.</w:t>
      </w:r>
    </w:p>
    <w:p w14:paraId="01324AB8" w14:textId="77777777" w:rsidR="00B82A82" w:rsidRPr="00BF04A4" w:rsidRDefault="00B82A82" w:rsidP="00B82A82">
      <w:pPr>
        <w:pStyle w:val="Heading2"/>
      </w:pPr>
      <w:r w:rsidRPr="00733124">
        <w:t>Price</w:t>
      </w:r>
    </w:p>
    <w:p w14:paraId="01692853" w14:textId="52F28911" w:rsidR="00B82A82" w:rsidRPr="00A957FB" w:rsidRDefault="00CA2545" w:rsidP="00B24613">
      <w:pPr>
        <w:pStyle w:val="Numberedlevel2text"/>
        <w:numPr>
          <w:ilvl w:val="1"/>
          <w:numId w:val="1"/>
        </w:numPr>
        <w:rPr>
          <w:lang w:val="en-GB"/>
        </w:rPr>
      </w:pPr>
      <w:r w:rsidRPr="00A957FB">
        <w:rPr>
          <w:lang w:val="en-GB"/>
        </w:rPr>
        <w:t xml:space="preserve">The list price for </w:t>
      </w:r>
      <w:proofErr w:type="spellStart"/>
      <w:r w:rsidRPr="00A957FB">
        <w:rPr>
          <w:lang w:val="en-GB"/>
        </w:rPr>
        <w:t>upadacitinib</w:t>
      </w:r>
      <w:proofErr w:type="spellEnd"/>
      <w:r w:rsidRPr="00A957FB">
        <w:rPr>
          <w:lang w:val="en-GB"/>
        </w:rPr>
        <w:t xml:space="preserve"> is £</w:t>
      </w:r>
      <w:r w:rsidR="00C63F74" w:rsidRPr="00A957FB">
        <w:rPr>
          <w:lang w:val="en-GB"/>
        </w:rPr>
        <w:t>805.56</w:t>
      </w:r>
      <w:r w:rsidRPr="00A957FB">
        <w:rPr>
          <w:lang w:val="en-GB"/>
        </w:rPr>
        <w:t xml:space="preserve"> per 28</w:t>
      </w:r>
      <w:r w:rsidRPr="00A957FB">
        <w:rPr>
          <w:lang w:val="en-GB"/>
        </w:rPr>
        <w:noBreakHyphen/>
        <w:t>day pack (company submission).</w:t>
      </w:r>
      <w:r w:rsidR="0097600E" w:rsidRPr="00A957FB">
        <w:rPr>
          <w:lang w:val="en-GB"/>
        </w:rPr>
        <w:t xml:space="preserve"> </w:t>
      </w:r>
      <w:r w:rsidR="0097600E" w:rsidRPr="00733124">
        <w:rPr>
          <w:lang w:val="en-GB"/>
        </w:rPr>
        <w:t>The average cost</w:t>
      </w:r>
      <w:r w:rsidR="00D86C85" w:rsidRPr="00BF04A4">
        <w:rPr>
          <w:lang w:val="en-GB"/>
        </w:rPr>
        <w:t xml:space="preserve"> </w:t>
      </w:r>
      <w:r w:rsidR="00D86C85" w:rsidRPr="0035762B">
        <w:rPr>
          <w:lang w:val="en-GB"/>
        </w:rPr>
        <w:t>for each</w:t>
      </w:r>
      <w:r w:rsidR="00D86C85" w:rsidRPr="00BE3BE7">
        <w:rPr>
          <w:lang w:val="en-GB"/>
        </w:rPr>
        <w:t xml:space="preserve"> </w:t>
      </w:r>
      <w:r w:rsidR="0097600E" w:rsidRPr="00BE3BE7">
        <w:rPr>
          <w:lang w:val="en-GB"/>
        </w:rPr>
        <w:t>patient</w:t>
      </w:r>
      <w:r w:rsidR="00D86C85" w:rsidRPr="00BE3BE7">
        <w:rPr>
          <w:lang w:val="en-GB"/>
        </w:rPr>
        <w:t xml:space="preserve"> </w:t>
      </w:r>
      <w:r w:rsidR="0097600E" w:rsidRPr="00BE3BE7">
        <w:rPr>
          <w:lang w:val="en-GB"/>
        </w:rPr>
        <w:t>per</w:t>
      </w:r>
      <w:r w:rsidR="00D86C85" w:rsidRPr="00BE3BE7">
        <w:rPr>
          <w:lang w:val="en-GB"/>
        </w:rPr>
        <w:t xml:space="preserve"> </w:t>
      </w:r>
      <w:r w:rsidR="0097600E" w:rsidRPr="00BE3BE7">
        <w:rPr>
          <w:lang w:val="en-GB"/>
        </w:rPr>
        <w:t xml:space="preserve">year is estimated at </w:t>
      </w:r>
      <w:r w:rsidR="001C5EFD" w:rsidRPr="00BE3BE7">
        <w:rPr>
          <w:lang w:val="en-GB"/>
        </w:rPr>
        <w:t>£</w:t>
      </w:r>
      <w:r w:rsidR="00431DBF" w:rsidRPr="00BE3BE7">
        <w:rPr>
          <w:lang w:val="en-GB"/>
        </w:rPr>
        <w:t>10,508</w:t>
      </w:r>
      <w:r w:rsidR="003C1E41" w:rsidRPr="00BE3BE7">
        <w:rPr>
          <w:lang w:val="en-GB"/>
        </w:rPr>
        <w:t>,</w:t>
      </w:r>
      <w:r w:rsidR="00431DBF" w:rsidRPr="00BE3BE7">
        <w:rPr>
          <w:lang w:val="en-GB"/>
        </w:rPr>
        <w:t xml:space="preserve"> </w:t>
      </w:r>
      <w:r w:rsidR="0097600E" w:rsidRPr="00BE3BE7">
        <w:rPr>
          <w:lang w:val="en-GB"/>
        </w:rPr>
        <w:t xml:space="preserve">based on the list price. </w:t>
      </w:r>
      <w:r w:rsidR="00B82A82" w:rsidRPr="00A957FB">
        <w:rPr>
          <w:lang w:val="en-GB"/>
        </w:rPr>
        <w:t>The company has a commercial arrangement (</w:t>
      </w:r>
      <w:r w:rsidR="00344746" w:rsidRPr="00A957FB">
        <w:rPr>
          <w:lang w:val="en-GB"/>
        </w:rPr>
        <w:t>simple discount patient access scheme)</w:t>
      </w:r>
      <w:r w:rsidR="00B82A82" w:rsidRPr="00A957FB">
        <w:rPr>
          <w:lang w:val="en-GB"/>
        </w:rPr>
        <w:t xml:space="preserve">. This makes </w:t>
      </w:r>
      <w:proofErr w:type="spellStart"/>
      <w:r w:rsidR="00125B71" w:rsidRPr="00A957FB">
        <w:rPr>
          <w:lang w:val="en-GB"/>
        </w:rPr>
        <w:t>upadacitinib</w:t>
      </w:r>
      <w:proofErr w:type="spellEnd"/>
      <w:r w:rsidR="00B82A82" w:rsidRPr="00A957FB">
        <w:rPr>
          <w:lang w:val="en-GB"/>
        </w:rPr>
        <w:t xml:space="preserve"> available to the NHS with a discount. The size of the discount is commercial in confidence. It is the company’s responsibility to let relevant NHS organisations know details of the discount. </w:t>
      </w:r>
      <w:bookmarkStart w:id="2" w:name="_Hlk24530292"/>
    </w:p>
    <w:bookmarkEnd w:id="2"/>
    <w:p w14:paraId="3A3CA376" w14:textId="77777777" w:rsidR="00F130AD" w:rsidRPr="00260064" w:rsidRDefault="00222BEA" w:rsidP="00F130AD">
      <w:pPr>
        <w:pStyle w:val="Numberedheading1"/>
      </w:pPr>
      <w:r w:rsidRPr="00733124">
        <w:t>Co</w:t>
      </w:r>
      <w:r w:rsidRPr="00BF04A4">
        <w:t>mmittee discussion</w:t>
      </w:r>
    </w:p>
    <w:p w14:paraId="4357CAC2" w14:textId="3C4069DE" w:rsidR="002B5772" w:rsidRPr="00BE3BE7" w:rsidRDefault="00BC7D9E" w:rsidP="002B5772">
      <w:pPr>
        <w:pStyle w:val="NICEnormal"/>
      </w:pPr>
      <w:r w:rsidRPr="00BE3BE7">
        <w:t xml:space="preserve">The </w:t>
      </w:r>
      <w:r w:rsidR="00343B53" w:rsidRPr="00BE3BE7">
        <w:t>a</w:t>
      </w:r>
      <w:r w:rsidRPr="00BE3BE7">
        <w:t xml:space="preserve">ppraisal </w:t>
      </w:r>
      <w:r w:rsidR="00343B53" w:rsidRPr="00BE3BE7">
        <w:t>c</w:t>
      </w:r>
      <w:r w:rsidRPr="00BE3BE7">
        <w:t xml:space="preserve">ommittee </w:t>
      </w:r>
      <w:r w:rsidR="00CD7BFC" w:rsidRPr="00BE3BE7">
        <w:t>(</w:t>
      </w:r>
      <w:r w:rsidR="001B0D05" w:rsidRPr="00BE3BE7">
        <w:t xml:space="preserve">section </w:t>
      </w:r>
      <w:r w:rsidR="00E37CAC" w:rsidRPr="00BE3BE7">
        <w:t>6</w:t>
      </w:r>
      <w:r w:rsidR="00CD7BFC" w:rsidRPr="00BE3BE7">
        <w:t xml:space="preserve">) </w:t>
      </w:r>
      <w:r w:rsidRPr="00BE3BE7">
        <w:t xml:space="preserve">considered evidence submitted by </w:t>
      </w:r>
      <w:r w:rsidR="001B0D05" w:rsidRPr="00BE3BE7">
        <w:t>AbbVie</w:t>
      </w:r>
      <w:r w:rsidR="002B5772" w:rsidRPr="00BE3BE7">
        <w:t>,</w:t>
      </w:r>
      <w:r w:rsidRPr="00BE3BE7">
        <w:t xml:space="preserve"> a review of this submission by the </w:t>
      </w:r>
      <w:r w:rsidR="00343B53" w:rsidRPr="00BE3BE7">
        <w:t>e</w:t>
      </w:r>
      <w:r w:rsidRPr="00BE3BE7">
        <w:t xml:space="preserve">vidence </w:t>
      </w:r>
      <w:r w:rsidR="00343B53" w:rsidRPr="00BE3BE7">
        <w:t>r</w:t>
      </w:r>
      <w:r w:rsidRPr="00BE3BE7">
        <w:t xml:space="preserve">eview </w:t>
      </w:r>
      <w:r w:rsidR="00343B53" w:rsidRPr="00BE3BE7">
        <w:t>g</w:t>
      </w:r>
      <w:r w:rsidRPr="00BE3BE7">
        <w:t>roup (ERG)</w:t>
      </w:r>
      <w:r w:rsidR="002B5772" w:rsidRPr="00BE3BE7">
        <w:t xml:space="preserve">, and the technical </w:t>
      </w:r>
      <w:r w:rsidR="00E9265B" w:rsidRPr="00BE3BE7">
        <w:t>report</w:t>
      </w:r>
      <w:r w:rsidR="007E013D" w:rsidRPr="00BE3BE7">
        <w:t xml:space="preserve"> developed</w:t>
      </w:r>
      <w:r w:rsidR="00E9265B" w:rsidRPr="00BE3BE7">
        <w:t xml:space="preserve"> through engagement with stakeholders</w:t>
      </w:r>
      <w:r w:rsidRPr="00BE3BE7">
        <w:t>.</w:t>
      </w:r>
      <w:r w:rsidR="00C63D4E" w:rsidRPr="00BE3BE7">
        <w:t xml:space="preserve"> </w:t>
      </w:r>
      <w:r w:rsidR="002B5772" w:rsidRPr="00BE3BE7">
        <w:t xml:space="preserve">See the </w:t>
      </w:r>
      <w:hyperlink r:id="rId16" w:history="1">
        <w:r w:rsidR="002B5772" w:rsidRPr="00BF04A4">
          <w:rPr>
            <w:rStyle w:val="Hyperlink"/>
          </w:rPr>
          <w:t>committee papers</w:t>
        </w:r>
      </w:hyperlink>
      <w:r w:rsidR="002B5772" w:rsidRPr="00733124">
        <w:t xml:space="preserve"> </w:t>
      </w:r>
      <w:r w:rsidR="002B5772" w:rsidRPr="00BE3BE7">
        <w:t>for full details of the evidence.</w:t>
      </w:r>
    </w:p>
    <w:p w14:paraId="1A0A3A63" w14:textId="77777777" w:rsidR="006B0F36" w:rsidRPr="00BE3BE7" w:rsidRDefault="002B5772" w:rsidP="00D01B9F">
      <w:pPr>
        <w:pStyle w:val="NICEnormal"/>
      </w:pPr>
      <w:r w:rsidRPr="00BE3BE7">
        <w:t xml:space="preserve">The appraisal committee was aware </w:t>
      </w:r>
      <w:r w:rsidR="002555BE" w:rsidRPr="00BE3BE7">
        <w:t>that several</w:t>
      </w:r>
      <w:r w:rsidRPr="00BE3BE7">
        <w:t xml:space="preserve"> issues were resolved during </w:t>
      </w:r>
      <w:r w:rsidR="006D4D1A" w:rsidRPr="00BE3BE7">
        <w:t xml:space="preserve">the </w:t>
      </w:r>
      <w:r w:rsidR="00E95253" w:rsidRPr="00BE3BE7">
        <w:t>technical engagement</w:t>
      </w:r>
      <w:r w:rsidR="006D4D1A" w:rsidRPr="00BE3BE7">
        <w:t xml:space="preserve"> stage</w:t>
      </w:r>
      <w:r w:rsidR="007D1008" w:rsidRPr="00BE3BE7">
        <w:t>, and agreed that:</w:t>
      </w:r>
    </w:p>
    <w:p w14:paraId="156EAD80" w14:textId="761FD430" w:rsidR="00125B71" w:rsidRPr="00BE3BE7" w:rsidRDefault="00125B71" w:rsidP="00125B71">
      <w:pPr>
        <w:pStyle w:val="Bulletleft1"/>
      </w:pPr>
      <w:r w:rsidRPr="00BE3BE7">
        <w:t xml:space="preserve">The ERG’s modelling of severe rheumatoid arthritis treatment sequences </w:t>
      </w:r>
      <w:r w:rsidR="007075B1" w:rsidRPr="00BE3BE7">
        <w:t>wa</w:t>
      </w:r>
      <w:r w:rsidRPr="00BE3BE7">
        <w:t xml:space="preserve">s </w:t>
      </w:r>
      <w:r w:rsidR="008D6504" w:rsidRPr="00733124">
        <w:t>acceptable</w:t>
      </w:r>
      <w:r w:rsidR="008D6504" w:rsidRPr="00BF04A4">
        <w:t xml:space="preserve"> </w:t>
      </w:r>
      <w:r w:rsidRPr="00260064">
        <w:t>for decision</w:t>
      </w:r>
      <w:r w:rsidR="007075B1" w:rsidRPr="0035762B">
        <w:t xml:space="preserve"> </w:t>
      </w:r>
      <w:r w:rsidRPr="00BE3BE7">
        <w:t>making</w:t>
      </w:r>
      <w:r w:rsidR="00F52523" w:rsidRPr="00BE3BE7">
        <w:t>.</w:t>
      </w:r>
    </w:p>
    <w:p w14:paraId="5202D08E" w14:textId="6C6F874F" w:rsidR="00CE2B95" w:rsidRPr="008D3A5A" w:rsidRDefault="00125B71" w:rsidP="00A957FB">
      <w:pPr>
        <w:pStyle w:val="Bulletleft1last"/>
      </w:pPr>
      <w:r w:rsidRPr="00576E05">
        <w:t xml:space="preserve">The ERG’s application of </w:t>
      </w:r>
      <w:r w:rsidR="00763284" w:rsidRPr="00E051C9">
        <w:t xml:space="preserve">the network meta-analysis results </w:t>
      </w:r>
      <w:r w:rsidR="007075B1" w:rsidRPr="00E051C9">
        <w:t>wa</w:t>
      </w:r>
      <w:r w:rsidR="00763284" w:rsidRPr="00E051C9">
        <w:t xml:space="preserve">s </w:t>
      </w:r>
      <w:r w:rsidR="008D6504" w:rsidRPr="00E051C9">
        <w:t>acceptable</w:t>
      </w:r>
      <w:r w:rsidR="00763284" w:rsidRPr="00E051C9">
        <w:t xml:space="preserve"> for decision</w:t>
      </w:r>
      <w:r w:rsidR="007075B1" w:rsidRPr="00E051C9">
        <w:t xml:space="preserve"> </w:t>
      </w:r>
      <w:r w:rsidR="00763284" w:rsidRPr="00FC3853">
        <w:t>making</w:t>
      </w:r>
      <w:r w:rsidR="00F52523" w:rsidRPr="00A53199">
        <w:t>.</w:t>
      </w:r>
    </w:p>
    <w:p w14:paraId="2FC10DAD" w14:textId="29768615" w:rsidR="000E24BD" w:rsidRPr="00BE3BE7" w:rsidRDefault="00A3710F" w:rsidP="00A957FB">
      <w:pPr>
        <w:pStyle w:val="NICEnormal"/>
      </w:pPr>
      <w:r w:rsidRPr="00BE3BE7">
        <w:t>After</w:t>
      </w:r>
      <w:r w:rsidR="00264A48" w:rsidRPr="00BE3BE7">
        <w:t xml:space="preserve"> technical engagement, </w:t>
      </w:r>
      <w:r w:rsidR="00AB1750" w:rsidRPr="00BE3BE7">
        <w:t xml:space="preserve">there were </w:t>
      </w:r>
      <w:proofErr w:type="gramStart"/>
      <w:r w:rsidR="00264A48" w:rsidRPr="00BE3BE7">
        <w:t>a number of</w:t>
      </w:r>
      <w:proofErr w:type="gramEnd"/>
      <w:r w:rsidR="00264A48" w:rsidRPr="00BE3BE7">
        <w:t xml:space="preserve"> outstanding uncertainties</w:t>
      </w:r>
      <w:r w:rsidR="002B5772" w:rsidRPr="00BE3BE7">
        <w:t xml:space="preserve"> </w:t>
      </w:r>
      <w:r w:rsidR="00264A48" w:rsidRPr="00BE3BE7">
        <w:t xml:space="preserve">in the analyses </w:t>
      </w:r>
      <w:r w:rsidR="002B5772" w:rsidRPr="00BE3BE7">
        <w:t>(see technical report</w:t>
      </w:r>
      <w:r w:rsidR="00A33919" w:rsidRPr="00BE3BE7">
        <w:t>,</w:t>
      </w:r>
      <w:r w:rsidR="002B5772" w:rsidRPr="00BE3BE7">
        <w:t xml:space="preserve"> page</w:t>
      </w:r>
      <w:r w:rsidR="00763284" w:rsidRPr="00BE3BE7">
        <w:t>s</w:t>
      </w:r>
      <w:r w:rsidR="00604668" w:rsidRPr="00BE3BE7">
        <w:t> </w:t>
      </w:r>
      <w:r w:rsidR="00763284" w:rsidRPr="00BE3BE7">
        <w:t>13</w:t>
      </w:r>
      <w:r w:rsidR="007D15B9" w:rsidRPr="00BE3BE7">
        <w:t xml:space="preserve"> to</w:t>
      </w:r>
      <w:r w:rsidR="00604668" w:rsidRPr="00BE3BE7">
        <w:t> </w:t>
      </w:r>
      <w:r w:rsidR="00763284" w:rsidRPr="00BE3BE7">
        <w:t>14</w:t>
      </w:r>
      <w:r w:rsidR="002B5772" w:rsidRPr="00BE3BE7">
        <w:t>)</w:t>
      </w:r>
      <w:r w:rsidR="00264A48" w:rsidRPr="00BE3BE7">
        <w:t xml:space="preserve">. The committee </w:t>
      </w:r>
      <w:r w:rsidR="002B5772" w:rsidRPr="00BE3BE7">
        <w:t xml:space="preserve">took these into account in its decision making. </w:t>
      </w:r>
    </w:p>
    <w:p w14:paraId="1C366CE2" w14:textId="433E9A1D" w:rsidR="00643582" w:rsidRPr="00BE3BE7" w:rsidRDefault="00C77A2A" w:rsidP="00643582">
      <w:pPr>
        <w:pStyle w:val="Heading2"/>
      </w:pPr>
      <w:r w:rsidRPr="00BE3BE7">
        <w:lastRenderedPageBreak/>
        <w:t>Treatment</w:t>
      </w:r>
      <w:r w:rsidR="00A966BA">
        <w:t>s for rheumatoid arthritis</w:t>
      </w:r>
    </w:p>
    <w:p w14:paraId="65301EA7" w14:textId="77777777" w:rsidR="00A966BA" w:rsidRPr="00733124" w:rsidRDefault="00A966BA" w:rsidP="00A966BA">
      <w:pPr>
        <w:pStyle w:val="Heading3"/>
      </w:pPr>
      <w:r w:rsidRPr="00733124">
        <w:t>A range of treatment options is important in rheumatoid arthritis</w:t>
      </w:r>
      <w:r w:rsidRPr="00A957FB">
        <w:t xml:space="preserve"> and </w:t>
      </w:r>
      <w:proofErr w:type="spellStart"/>
      <w:r w:rsidRPr="00733124">
        <w:t>upadacitinib</w:t>
      </w:r>
      <w:proofErr w:type="spellEnd"/>
      <w:r w:rsidRPr="00733124">
        <w:t xml:space="preserve"> </w:t>
      </w:r>
      <w:r w:rsidRPr="00BF04A4">
        <w:t>is</w:t>
      </w:r>
      <w:r w:rsidRPr="0035762B">
        <w:t xml:space="preserve"> an additional </w:t>
      </w:r>
      <w:r w:rsidRPr="00BE3BE7">
        <w:t>option</w:t>
      </w:r>
    </w:p>
    <w:p w14:paraId="0214C65C" w14:textId="2CFC43D3" w:rsidR="00A966BA" w:rsidRPr="00A957FB" w:rsidRDefault="00A966BA" w:rsidP="00A966BA">
      <w:pPr>
        <w:pStyle w:val="Numberedlevel2text"/>
        <w:rPr>
          <w:lang w:val="en-GB"/>
        </w:rPr>
      </w:pPr>
      <w:r w:rsidRPr="00A957FB">
        <w:rPr>
          <w:lang w:val="en-GB"/>
        </w:rPr>
        <w:t>The patient expert explained that rheumatoid arthritis is a lifetime condition that can severely reduce quality of life. The clinical experts stated that conventional DMARDs such as methotrexate are inadequate for many people</w:t>
      </w:r>
      <w:r>
        <w:rPr>
          <w:lang w:val="en-GB"/>
        </w:rPr>
        <w:t xml:space="preserve"> with </w:t>
      </w:r>
      <w:r w:rsidR="00563E31">
        <w:rPr>
          <w:lang w:val="en-GB"/>
        </w:rPr>
        <w:t>active</w:t>
      </w:r>
      <w:r>
        <w:rPr>
          <w:lang w:val="en-GB"/>
        </w:rPr>
        <w:t xml:space="preserve"> rheumatoid arthritis</w:t>
      </w:r>
      <w:r w:rsidRPr="00A957FB">
        <w:rPr>
          <w:lang w:val="en-GB"/>
        </w:rPr>
        <w:t xml:space="preserve">. The expert also added that </w:t>
      </w:r>
      <w:r w:rsidR="001D56E5">
        <w:rPr>
          <w:lang w:val="en-GB"/>
        </w:rPr>
        <w:t xml:space="preserve">for </w:t>
      </w:r>
      <w:r w:rsidRPr="00A957FB">
        <w:rPr>
          <w:lang w:val="en-GB"/>
        </w:rPr>
        <w:t xml:space="preserve">a significant proportion of </w:t>
      </w:r>
      <w:r w:rsidR="00956F4B">
        <w:rPr>
          <w:lang w:val="en-GB"/>
        </w:rPr>
        <w:t xml:space="preserve">people </w:t>
      </w:r>
      <w:r w:rsidR="0011372C">
        <w:rPr>
          <w:lang w:val="en-GB"/>
        </w:rPr>
        <w:t>who are eligible</w:t>
      </w:r>
      <w:r w:rsidR="00956F4B">
        <w:rPr>
          <w:lang w:val="en-GB"/>
        </w:rPr>
        <w:t xml:space="preserve"> for</w:t>
      </w:r>
      <w:r w:rsidR="0011372C">
        <w:rPr>
          <w:lang w:val="en-GB"/>
        </w:rPr>
        <w:t xml:space="preserve"> treatment with biological DMARDs</w:t>
      </w:r>
      <w:r w:rsidR="001D56E5">
        <w:rPr>
          <w:lang w:val="en-GB"/>
        </w:rPr>
        <w:t>, their disease</w:t>
      </w:r>
      <w:r w:rsidRPr="00A957FB">
        <w:rPr>
          <w:lang w:val="en-GB"/>
        </w:rPr>
        <w:t xml:space="preserve"> </w:t>
      </w:r>
      <w:r w:rsidR="00543190">
        <w:rPr>
          <w:lang w:val="en-GB"/>
        </w:rPr>
        <w:t>in</w:t>
      </w:r>
      <w:r w:rsidRPr="00A957FB">
        <w:rPr>
          <w:lang w:val="en-GB"/>
        </w:rPr>
        <w:t>adequate</w:t>
      </w:r>
      <w:r w:rsidR="001D56E5">
        <w:rPr>
          <w:lang w:val="en-GB"/>
        </w:rPr>
        <w:t>ly</w:t>
      </w:r>
      <w:r w:rsidRPr="00A957FB">
        <w:rPr>
          <w:lang w:val="en-GB"/>
        </w:rPr>
        <w:t xml:space="preserve"> respon</w:t>
      </w:r>
      <w:r w:rsidR="001D56E5">
        <w:rPr>
          <w:lang w:val="en-GB"/>
        </w:rPr>
        <w:t>d</w:t>
      </w:r>
      <w:r w:rsidRPr="00A957FB">
        <w:rPr>
          <w:lang w:val="en-GB"/>
        </w:rPr>
        <w:t xml:space="preserve">s to </w:t>
      </w:r>
      <w:r w:rsidR="0011372C">
        <w:rPr>
          <w:lang w:val="en-GB"/>
        </w:rPr>
        <w:t>these treatments</w:t>
      </w:r>
      <w:r w:rsidRPr="00A957FB">
        <w:rPr>
          <w:lang w:val="en-GB"/>
        </w:rPr>
        <w:t xml:space="preserve">. Both the clinical and patient experts said it would be helpful to have new treatments for various points in the treatment pathway. The committee concluded that a range of treatment options </w:t>
      </w:r>
      <w:r>
        <w:rPr>
          <w:lang w:val="en-GB"/>
        </w:rPr>
        <w:t>wa</w:t>
      </w:r>
      <w:r w:rsidRPr="00A957FB">
        <w:rPr>
          <w:lang w:val="en-GB"/>
        </w:rPr>
        <w:t xml:space="preserve">s important in rheumatoid arthritis and that </w:t>
      </w:r>
      <w:proofErr w:type="spellStart"/>
      <w:r w:rsidRPr="00A957FB">
        <w:rPr>
          <w:lang w:val="en-GB"/>
        </w:rPr>
        <w:t>upadacitinib</w:t>
      </w:r>
      <w:proofErr w:type="spellEnd"/>
      <w:r w:rsidRPr="00A957FB">
        <w:rPr>
          <w:lang w:val="en-GB"/>
        </w:rPr>
        <w:t xml:space="preserve"> </w:t>
      </w:r>
      <w:r>
        <w:rPr>
          <w:lang w:val="en-GB"/>
        </w:rPr>
        <w:t>would be</w:t>
      </w:r>
      <w:r w:rsidRPr="00A957FB">
        <w:rPr>
          <w:lang w:val="en-GB"/>
        </w:rPr>
        <w:t xml:space="preserve"> a welcome additional option. </w:t>
      </w:r>
    </w:p>
    <w:p w14:paraId="1F437C88" w14:textId="06A7CE49" w:rsidR="003E6614" w:rsidRPr="00733124" w:rsidRDefault="00C51CCD" w:rsidP="000461E6">
      <w:pPr>
        <w:pStyle w:val="Heading3"/>
      </w:pPr>
      <w:bookmarkStart w:id="3" w:name="_Hlk29292500"/>
      <w:r w:rsidRPr="00733124">
        <w:t xml:space="preserve">There is </w:t>
      </w:r>
      <w:r w:rsidR="000A3D0A" w:rsidRPr="00BF04A4">
        <w:t xml:space="preserve">NICE technology appraisal guidance </w:t>
      </w:r>
      <w:r w:rsidR="000A3D0A" w:rsidRPr="0035762B">
        <w:t>for these points in the rheumatoid arthritis treatment pathway</w:t>
      </w:r>
      <w:bookmarkEnd w:id="3"/>
    </w:p>
    <w:p w14:paraId="37976768" w14:textId="6890EA09" w:rsidR="002A7BEA" w:rsidRPr="0069084F" w:rsidRDefault="00873FC9" w:rsidP="00873FC9">
      <w:pPr>
        <w:pStyle w:val="Numberedlevel2text"/>
        <w:numPr>
          <w:ilvl w:val="1"/>
          <w:numId w:val="1"/>
        </w:numPr>
        <w:rPr>
          <w:lang w:val="en-GB"/>
        </w:rPr>
      </w:pPr>
      <w:r w:rsidRPr="00886DEC">
        <w:rPr>
          <w:lang w:val="en-GB"/>
        </w:rPr>
        <w:t>NICE currently recommends the</w:t>
      </w:r>
      <w:r w:rsidR="000F664E" w:rsidRPr="00886DEC">
        <w:rPr>
          <w:lang w:val="en-GB"/>
        </w:rPr>
        <w:t xml:space="preserve"> following</w:t>
      </w:r>
      <w:r w:rsidRPr="00886DEC">
        <w:rPr>
          <w:lang w:val="en-GB"/>
        </w:rPr>
        <w:t xml:space="preserve"> biological DMARDs</w:t>
      </w:r>
      <w:r w:rsidR="008F65DA">
        <w:rPr>
          <w:lang w:val="en-GB"/>
        </w:rPr>
        <w:t xml:space="preserve"> for </w:t>
      </w:r>
      <w:r w:rsidR="007F4D0E">
        <w:rPr>
          <w:lang w:val="en-GB"/>
        </w:rPr>
        <w:t xml:space="preserve">severe </w:t>
      </w:r>
      <w:r w:rsidR="008F65DA">
        <w:rPr>
          <w:lang w:val="en-GB"/>
        </w:rPr>
        <w:t>rheumatoid arthritis</w:t>
      </w:r>
      <w:r w:rsidR="002A7BEA" w:rsidRPr="0069084F">
        <w:rPr>
          <w:lang w:val="en-GB"/>
        </w:rPr>
        <w:t>:</w:t>
      </w:r>
      <w:r w:rsidRPr="0069084F">
        <w:rPr>
          <w:lang w:val="en-GB"/>
        </w:rPr>
        <w:t xml:space="preserve"> </w:t>
      </w:r>
    </w:p>
    <w:p w14:paraId="332CD6E5" w14:textId="021197CA" w:rsidR="007F4D0E" w:rsidRDefault="00411CDA">
      <w:pPr>
        <w:pStyle w:val="Bulletindent1"/>
      </w:pPr>
      <w:hyperlink r:id="rId17" w:history="1">
        <w:r w:rsidR="007F4D0E" w:rsidRPr="007F4D0E">
          <w:rPr>
            <w:rStyle w:val="Hyperlink"/>
          </w:rPr>
          <w:t>tofacitinib</w:t>
        </w:r>
      </w:hyperlink>
    </w:p>
    <w:p w14:paraId="734B1284" w14:textId="1A6F3FFA" w:rsidR="002A7BEA" w:rsidRPr="008D3A5A" w:rsidRDefault="00411CDA" w:rsidP="0069084F">
      <w:pPr>
        <w:pStyle w:val="Bulletindent1"/>
      </w:pPr>
      <w:hyperlink r:id="rId18" w:history="1">
        <w:proofErr w:type="spellStart"/>
        <w:r w:rsidR="00873FC9" w:rsidRPr="008D3A5A">
          <w:rPr>
            <w:rStyle w:val="Hyperlink"/>
          </w:rPr>
          <w:t>baricitinib</w:t>
        </w:r>
        <w:proofErr w:type="spellEnd"/>
      </w:hyperlink>
    </w:p>
    <w:p w14:paraId="335CA07D" w14:textId="5320E601" w:rsidR="002A7BEA" w:rsidRPr="008D3A5A" w:rsidRDefault="00411CDA" w:rsidP="0069084F">
      <w:pPr>
        <w:pStyle w:val="Bulletindent1"/>
      </w:pPr>
      <w:hyperlink r:id="rId19" w:history="1">
        <w:r w:rsidR="00873FC9" w:rsidRPr="008D3A5A">
          <w:rPr>
            <w:rStyle w:val="Hyperlink"/>
          </w:rPr>
          <w:t xml:space="preserve">adalimumab, etanercept, infliximab, certolizumab pegol, golimumab, </w:t>
        </w:r>
        <w:r w:rsidR="006E502C" w:rsidRPr="0069084F">
          <w:rPr>
            <w:rStyle w:val="Hyperlink"/>
          </w:rPr>
          <w:t>and</w:t>
        </w:r>
        <w:r w:rsidR="00873FC9" w:rsidRPr="008D3A5A">
          <w:rPr>
            <w:rStyle w:val="Hyperlink"/>
          </w:rPr>
          <w:t xml:space="preserve"> </w:t>
        </w:r>
        <w:r w:rsidR="002A7BEA" w:rsidRPr="008D3A5A">
          <w:rPr>
            <w:rStyle w:val="Hyperlink"/>
          </w:rPr>
          <w:t>abatacept</w:t>
        </w:r>
      </w:hyperlink>
    </w:p>
    <w:p w14:paraId="5D454D75" w14:textId="0616EB11" w:rsidR="006E502C" w:rsidRPr="008D3A5A" w:rsidRDefault="00411CDA" w:rsidP="0069084F">
      <w:pPr>
        <w:pStyle w:val="Bulletindent1"/>
      </w:pPr>
      <w:hyperlink r:id="rId20" w:history="1">
        <w:proofErr w:type="spellStart"/>
        <w:r w:rsidR="00873FC9" w:rsidRPr="008D3A5A">
          <w:rPr>
            <w:rStyle w:val="Hyperlink"/>
          </w:rPr>
          <w:t>sarilumab</w:t>
        </w:r>
        <w:proofErr w:type="spellEnd"/>
      </w:hyperlink>
    </w:p>
    <w:p w14:paraId="0F0E7B6F" w14:textId="2ED09EC1" w:rsidR="006E502C" w:rsidRPr="008D3A5A" w:rsidRDefault="00411CDA" w:rsidP="0069084F">
      <w:pPr>
        <w:pStyle w:val="Bulletindent1last"/>
      </w:pPr>
      <w:hyperlink r:id="rId21" w:history="1">
        <w:r w:rsidR="00873FC9" w:rsidRPr="008D3A5A">
          <w:rPr>
            <w:rStyle w:val="Hyperlink"/>
          </w:rPr>
          <w:t>tocilizumab</w:t>
        </w:r>
      </w:hyperlink>
      <w:r w:rsidR="00520199" w:rsidRPr="00A957FB">
        <w:t>.</w:t>
      </w:r>
    </w:p>
    <w:p w14:paraId="39B9599F" w14:textId="54966D7B" w:rsidR="00873FC9" w:rsidRDefault="006E502C" w:rsidP="00A957FB">
      <w:pPr>
        <w:pStyle w:val="Numberedlevel2text"/>
        <w:numPr>
          <w:ilvl w:val="0"/>
          <w:numId w:val="0"/>
        </w:numPr>
        <w:ind w:left="1134"/>
        <w:rPr>
          <w:lang w:val="en-GB"/>
        </w:rPr>
      </w:pPr>
      <w:r w:rsidRPr="00A957FB">
        <w:rPr>
          <w:lang w:val="en-GB"/>
        </w:rPr>
        <w:t>O</w:t>
      </w:r>
      <w:r w:rsidR="00873FC9" w:rsidRPr="00A957FB">
        <w:rPr>
          <w:lang w:val="en-GB"/>
        </w:rPr>
        <w:t xml:space="preserve">f </w:t>
      </w:r>
      <w:r w:rsidRPr="00A957FB">
        <w:rPr>
          <w:lang w:val="en-GB"/>
        </w:rPr>
        <w:t>these,</w:t>
      </w:r>
      <w:r w:rsidR="00873FC9" w:rsidRPr="00A957FB">
        <w:rPr>
          <w:lang w:val="en-GB"/>
        </w:rPr>
        <w:t xml:space="preserve"> adalimumab, certolizumab pegol, etanercept, golimumab and infliximab are tumour necrosis factor (TNF)-alpha inhibitors</w:t>
      </w:r>
      <w:r w:rsidRPr="00A957FB">
        <w:rPr>
          <w:lang w:val="en-GB"/>
        </w:rPr>
        <w:t>.</w:t>
      </w:r>
      <w:r w:rsidR="00873FC9" w:rsidRPr="00A957FB">
        <w:rPr>
          <w:lang w:val="en-GB"/>
        </w:rPr>
        <w:t xml:space="preserve"> </w:t>
      </w:r>
      <w:proofErr w:type="gramStart"/>
      <w:r w:rsidR="00F84434" w:rsidRPr="00A957FB">
        <w:rPr>
          <w:lang w:val="en-GB"/>
        </w:rPr>
        <w:t>All of</w:t>
      </w:r>
      <w:proofErr w:type="gramEnd"/>
      <w:r w:rsidR="00F84434" w:rsidRPr="00A957FB">
        <w:rPr>
          <w:lang w:val="en-GB"/>
        </w:rPr>
        <w:t xml:space="preserve"> t</w:t>
      </w:r>
      <w:r w:rsidRPr="00A957FB">
        <w:rPr>
          <w:lang w:val="en-GB"/>
        </w:rPr>
        <w:t xml:space="preserve">hese biological DMARDs are recommended </w:t>
      </w:r>
      <w:r w:rsidR="00873FC9" w:rsidRPr="00A957FB">
        <w:rPr>
          <w:lang w:val="en-GB"/>
        </w:rPr>
        <w:t xml:space="preserve">with methotrexate, in people with severe rheumatoid arthritis that has not responded to intensive treatment with combinations of conventional DMARDs. Disease severity is assessed </w:t>
      </w:r>
      <w:r w:rsidR="00873FC9" w:rsidRPr="00A957FB">
        <w:rPr>
          <w:lang w:val="en-GB"/>
        </w:rPr>
        <w:lastRenderedPageBreak/>
        <w:t xml:space="preserve">using the disease activity score (DAS28). A DAS28 of more than 5.1 indicates severe disease (between 3.2 and 5.1 indicates moderate disease, </w:t>
      </w:r>
      <w:r w:rsidR="005E6CC0" w:rsidRPr="00A957FB">
        <w:rPr>
          <w:lang w:val="en-GB"/>
        </w:rPr>
        <w:t>between 2.6 and</w:t>
      </w:r>
      <w:r w:rsidR="00873FC9" w:rsidRPr="00A957FB">
        <w:rPr>
          <w:lang w:val="en-GB"/>
        </w:rPr>
        <w:t xml:space="preserve"> 3.2 indicates mild disease and 2.6 or less indicates disease remission). For people who </w:t>
      </w:r>
      <w:r w:rsidR="00D717FA" w:rsidRPr="00A957FB">
        <w:rPr>
          <w:lang w:val="en-GB"/>
        </w:rPr>
        <w:t xml:space="preserve">have severe </w:t>
      </w:r>
      <w:r w:rsidR="008F65DA">
        <w:rPr>
          <w:bCs w:val="0"/>
          <w:iCs w:val="0"/>
          <w:lang w:val="en-GB"/>
        </w:rPr>
        <w:t>disease</w:t>
      </w:r>
      <w:r w:rsidR="00D717FA" w:rsidRPr="00A957FB">
        <w:rPr>
          <w:lang w:val="en-GB"/>
        </w:rPr>
        <w:t xml:space="preserve"> that has not responded to intensive treatment with conventional DMARDs</w:t>
      </w:r>
      <w:r w:rsidR="00873FC9" w:rsidRPr="00A957FB">
        <w:rPr>
          <w:lang w:val="en-GB"/>
        </w:rPr>
        <w:t xml:space="preserve"> but </w:t>
      </w:r>
      <w:r w:rsidR="00FC3853">
        <w:rPr>
          <w:bCs w:val="0"/>
          <w:iCs w:val="0"/>
          <w:lang w:val="en-GB"/>
        </w:rPr>
        <w:t xml:space="preserve">who </w:t>
      </w:r>
      <w:r w:rsidR="00873FC9" w:rsidRPr="00A957FB">
        <w:rPr>
          <w:lang w:val="en-GB"/>
        </w:rPr>
        <w:t xml:space="preserve">cannot take methotrexate, the guidance recommends that adalimumab, </w:t>
      </w:r>
      <w:proofErr w:type="spellStart"/>
      <w:r w:rsidR="00873FC9" w:rsidRPr="00A957FB">
        <w:rPr>
          <w:lang w:val="en-GB"/>
        </w:rPr>
        <w:t>baricitinib</w:t>
      </w:r>
      <w:proofErr w:type="spellEnd"/>
      <w:r w:rsidR="00873FC9" w:rsidRPr="00A957FB">
        <w:rPr>
          <w:lang w:val="en-GB"/>
        </w:rPr>
        <w:t xml:space="preserve">, certolizumab pegol, etanercept, tofacitinib, </w:t>
      </w:r>
      <w:proofErr w:type="spellStart"/>
      <w:r w:rsidR="00873FC9" w:rsidRPr="00A957FB">
        <w:rPr>
          <w:lang w:val="en-GB"/>
        </w:rPr>
        <w:t>sarliumab</w:t>
      </w:r>
      <w:proofErr w:type="spellEnd"/>
      <w:r w:rsidR="00873FC9" w:rsidRPr="00A957FB">
        <w:rPr>
          <w:lang w:val="en-GB"/>
        </w:rPr>
        <w:t xml:space="preserve"> or tocilizumab may be used as monotherapy. </w:t>
      </w:r>
      <w:r w:rsidR="00E92790" w:rsidRPr="00A957FB">
        <w:rPr>
          <w:lang w:val="en-GB"/>
        </w:rPr>
        <w:t>It</w:t>
      </w:r>
      <w:r w:rsidR="00873FC9" w:rsidRPr="00A957FB">
        <w:rPr>
          <w:lang w:val="en-GB"/>
        </w:rPr>
        <w:t xml:space="preserve"> recommends treatment should start with the least expensive drug (</w:t>
      </w:r>
      <w:proofErr w:type="gramStart"/>
      <w:r w:rsidR="00873FC9" w:rsidRPr="00A957FB">
        <w:rPr>
          <w:lang w:val="en-GB"/>
        </w:rPr>
        <w:t>taking into account</w:t>
      </w:r>
      <w:proofErr w:type="gramEnd"/>
      <w:r w:rsidR="00873FC9" w:rsidRPr="00A957FB">
        <w:rPr>
          <w:lang w:val="en-GB"/>
        </w:rPr>
        <w:t xml:space="preserve"> administration costs, dose needed and product price per dose) and should only be continued according to </w:t>
      </w:r>
      <w:r w:rsidR="00E851BA" w:rsidRPr="00A957FB">
        <w:rPr>
          <w:lang w:val="en-GB"/>
        </w:rPr>
        <w:t>European League Against Rheumatism (</w:t>
      </w:r>
      <w:r w:rsidR="00873FC9" w:rsidRPr="00A957FB">
        <w:rPr>
          <w:lang w:val="en-GB"/>
        </w:rPr>
        <w:t>EULAR</w:t>
      </w:r>
      <w:r w:rsidR="00E851BA" w:rsidRPr="00A957FB">
        <w:rPr>
          <w:lang w:val="en-GB"/>
        </w:rPr>
        <w:t>)</w:t>
      </w:r>
      <w:r w:rsidR="00873FC9" w:rsidRPr="00A957FB">
        <w:rPr>
          <w:lang w:val="en-GB"/>
        </w:rPr>
        <w:t xml:space="preserve"> response at 6</w:t>
      </w:r>
      <w:r w:rsidR="004778BE" w:rsidRPr="00A957FB">
        <w:rPr>
          <w:lang w:val="en-GB"/>
        </w:rPr>
        <w:t> </w:t>
      </w:r>
      <w:r w:rsidR="00873FC9" w:rsidRPr="00A957FB">
        <w:rPr>
          <w:lang w:val="en-GB"/>
        </w:rPr>
        <w:t>months.</w:t>
      </w:r>
      <w:r w:rsidR="003F79AA" w:rsidRPr="00A957FB">
        <w:rPr>
          <w:lang w:val="en-GB"/>
        </w:rPr>
        <w:t xml:space="preserve"> </w:t>
      </w:r>
      <w:r w:rsidR="00873FC9" w:rsidRPr="00A957FB">
        <w:rPr>
          <w:lang w:val="en-GB"/>
        </w:rPr>
        <w:t>For people with severe rheumatoid arthritis who have already had at least 1</w:t>
      </w:r>
      <w:r w:rsidR="0061751B" w:rsidRPr="00A957FB">
        <w:rPr>
          <w:lang w:val="en-GB"/>
        </w:rPr>
        <w:t> </w:t>
      </w:r>
      <w:r w:rsidR="00873FC9" w:rsidRPr="00A957FB">
        <w:rPr>
          <w:lang w:val="en-GB"/>
        </w:rPr>
        <w:t>TNF-alpha inhibitor that has</w:t>
      </w:r>
      <w:r w:rsidR="002848BD" w:rsidRPr="00A957FB">
        <w:rPr>
          <w:lang w:val="en-GB"/>
        </w:rPr>
        <w:t xml:space="preserve"> </w:t>
      </w:r>
      <w:r w:rsidR="00873FC9" w:rsidRPr="00A957FB">
        <w:rPr>
          <w:lang w:val="en-GB"/>
        </w:rPr>
        <w:t>n</w:t>
      </w:r>
      <w:r w:rsidR="002848BD" w:rsidRPr="00A957FB">
        <w:rPr>
          <w:lang w:val="en-GB"/>
        </w:rPr>
        <w:t>o</w:t>
      </w:r>
      <w:r w:rsidR="00873FC9" w:rsidRPr="00A957FB">
        <w:rPr>
          <w:lang w:val="en-GB"/>
        </w:rPr>
        <w:t xml:space="preserve">t worked, </w:t>
      </w:r>
      <w:r w:rsidR="00B41BAA" w:rsidRPr="00A957FB">
        <w:rPr>
          <w:lang w:val="en-GB"/>
        </w:rPr>
        <w:t xml:space="preserve">NICE technology appraisal guidance </w:t>
      </w:r>
      <w:r w:rsidR="00D87BED" w:rsidRPr="00D87BED">
        <w:t xml:space="preserve">on </w:t>
      </w:r>
      <w:hyperlink r:id="rId22" w:history="1">
        <w:r w:rsidR="00D87BED" w:rsidRPr="00D87BED">
          <w:rPr>
            <w:rStyle w:val="Hyperlink"/>
          </w:rPr>
          <w:t>adalimumab, etanercept, infliximab, rituximab and abatacept</w:t>
        </w:r>
      </w:hyperlink>
      <w:r w:rsidR="00D87BED" w:rsidRPr="00D87BED">
        <w:t xml:space="preserve"> and </w:t>
      </w:r>
      <w:hyperlink r:id="rId23" w:history="1">
        <w:r w:rsidR="00D87BED" w:rsidRPr="00D87BED">
          <w:rPr>
            <w:rStyle w:val="Hyperlink"/>
          </w:rPr>
          <w:t>golimumab</w:t>
        </w:r>
      </w:hyperlink>
      <w:r w:rsidR="00873FC9" w:rsidRPr="00A957FB">
        <w:rPr>
          <w:lang w:val="en-GB"/>
        </w:rPr>
        <w:t xml:space="preserve"> recommend</w:t>
      </w:r>
      <w:r w:rsidR="006F49F0" w:rsidRPr="00A957FB">
        <w:rPr>
          <w:lang w:val="en-GB"/>
        </w:rPr>
        <w:t>s</w:t>
      </w:r>
      <w:r w:rsidR="00873FC9" w:rsidRPr="00A957FB">
        <w:rPr>
          <w:lang w:val="en-GB"/>
        </w:rPr>
        <w:t xml:space="preserve"> the biological DMARD rituximab with methotrexate for treating severe active rheumatoid arthritis. But, if rituximab is contraindicated or withdrawn because of an adverse event, NICE technology appraisal guidance recommends abatacept, adalimumab, etanercept, infliximab, golimumab, tocilizumab, certolizumab pegol, </w:t>
      </w:r>
      <w:proofErr w:type="spellStart"/>
      <w:r w:rsidR="00873FC9" w:rsidRPr="00A957FB">
        <w:rPr>
          <w:lang w:val="en-GB"/>
        </w:rPr>
        <w:t>baricitinib</w:t>
      </w:r>
      <w:proofErr w:type="spellEnd"/>
      <w:r w:rsidR="00873FC9" w:rsidRPr="00A957FB">
        <w:rPr>
          <w:lang w:val="en-GB"/>
        </w:rPr>
        <w:t xml:space="preserve">, tofacitinib or </w:t>
      </w:r>
      <w:proofErr w:type="spellStart"/>
      <w:r w:rsidR="00873FC9" w:rsidRPr="00A957FB">
        <w:rPr>
          <w:lang w:val="en-GB"/>
        </w:rPr>
        <w:t>sarilumab</w:t>
      </w:r>
      <w:proofErr w:type="spellEnd"/>
      <w:r w:rsidR="00873FC9" w:rsidRPr="00A957FB">
        <w:rPr>
          <w:lang w:val="en-GB"/>
        </w:rPr>
        <w:t xml:space="preserve"> with methotrexate. If methotrexate is contraindicated or withdrawn because of an adverse event, NICE’s guidance recommends adalimumab, etanercept, tocilizumab, certolizumab pegol, </w:t>
      </w:r>
      <w:proofErr w:type="spellStart"/>
      <w:r w:rsidR="00873FC9" w:rsidRPr="00A957FB">
        <w:rPr>
          <w:lang w:val="en-GB"/>
        </w:rPr>
        <w:t>baricitinib</w:t>
      </w:r>
      <w:proofErr w:type="spellEnd"/>
      <w:r w:rsidR="00873FC9" w:rsidRPr="00A957FB">
        <w:rPr>
          <w:lang w:val="en-GB"/>
        </w:rPr>
        <w:t xml:space="preserve">, tofacitinib or </w:t>
      </w:r>
      <w:proofErr w:type="spellStart"/>
      <w:r w:rsidR="00873FC9" w:rsidRPr="00A957FB">
        <w:rPr>
          <w:lang w:val="en-GB"/>
        </w:rPr>
        <w:t>sarilumab</w:t>
      </w:r>
      <w:proofErr w:type="spellEnd"/>
      <w:r w:rsidR="00873FC9" w:rsidRPr="00A957FB">
        <w:rPr>
          <w:lang w:val="en-GB"/>
        </w:rPr>
        <w:t xml:space="preserve"> as monotherapy. NICE technology appraisal guidance also recommends tocilizumab with methotrexate when neither TNF-alpha inhibitors nor rituximab have worked. See the </w:t>
      </w:r>
      <w:hyperlink r:id="rId24" w:anchor="path=view%3A/pathways/rheumatoid-arthritis/drug-treatment-for-rheumatoid-arthritis.xml&amp;content=view-index" w:history="1">
        <w:r w:rsidR="00873FC9" w:rsidRPr="00A957FB">
          <w:rPr>
            <w:rStyle w:val="Hyperlink"/>
            <w:lang w:val="en-GB"/>
          </w:rPr>
          <w:t>NICE pathway on drug treatments for rheumatoid arthritis</w:t>
        </w:r>
      </w:hyperlink>
      <w:r w:rsidR="00873FC9" w:rsidRPr="00A957FB">
        <w:rPr>
          <w:lang w:val="en-GB"/>
        </w:rPr>
        <w:t>.</w:t>
      </w:r>
    </w:p>
    <w:p w14:paraId="77FE0454" w14:textId="77777777" w:rsidR="0032130F" w:rsidRPr="00BE3BE7" w:rsidRDefault="0032130F" w:rsidP="0032130F">
      <w:pPr>
        <w:pStyle w:val="Heading3"/>
      </w:pPr>
      <w:r w:rsidRPr="00BE3BE7">
        <w:t xml:space="preserve">There are 6 different points in the treatment pathway when </w:t>
      </w:r>
      <w:proofErr w:type="spellStart"/>
      <w:r w:rsidRPr="00BE3BE7">
        <w:t>upadacitinib</w:t>
      </w:r>
      <w:proofErr w:type="spellEnd"/>
      <w:r w:rsidRPr="00BE3BE7">
        <w:t xml:space="preserve"> might be used</w:t>
      </w:r>
    </w:p>
    <w:p w14:paraId="66F8F1EA" w14:textId="77777777" w:rsidR="0032130F" w:rsidRPr="00BE3BE7" w:rsidRDefault="0032130F" w:rsidP="0032130F">
      <w:pPr>
        <w:pStyle w:val="Numberedlevel2text"/>
        <w:rPr>
          <w:lang w:val="en-GB"/>
        </w:rPr>
      </w:pPr>
      <w:proofErr w:type="spellStart"/>
      <w:r w:rsidRPr="00A957FB">
        <w:rPr>
          <w:lang w:val="en-GB"/>
        </w:rPr>
        <w:t>Upadacitinib’s</w:t>
      </w:r>
      <w:proofErr w:type="spellEnd"/>
      <w:r w:rsidRPr="00A957FB">
        <w:rPr>
          <w:lang w:val="en-GB"/>
        </w:rPr>
        <w:t xml:space="preserve"> marketing authorisation and the company’s submission covers its use at 6 points in the treatment pathway,</w:t>
      </w:r>
      <w:r w:rsidRPr="00733124">
        <w:rPr>
          <w:rFonts w:ascii="Times New Roman" w:hAnsi="Times New Roman"/>
          <w:szCs w:val="24"/>
          <w:lang w:val="en-GB"/>
        </w:rPr>
        <w:t xml:space="preserve"> </w:t>
      </w:r>
      <w:r w:rsidRPr="00BF04A4">
        <w:rPr>
          <w:lang w:val="en-GB"/>
        </w:rPr>
        <w:t>specifically in adults with:</w:t>
      </w:r>
    </w:p>
    <w:p w14:paraId="77659152" w14:textId="3BF57559" w:rsidR="0032130F" w:rsidRPr="00BE3BE7" w:rsidRDefault="00244A8F" w:rsidP="0032130F">
      <w:pPr>
        <w:pStyle w:val="Bulletindent1"/>
      </w:pPr>
      <w:r>
        <w:lastRenderedPageBreak/>
        <w:t>M</w:t>
      </w:r>
      <w:r w:rsidR="0032130F" w:rsidRPr="00BE3BE7">
        <w:t>oderate, active rheumatoid arthritis (‘moderate disease’) that has not responded adequately to 1 conventional disease-modifying antirheumatic drug (DMARD)</w:t>
      </w:r>
      <w:r w:rsidR="006B35C5">
        <w:t>. The comparator at this position was conventional DMARDs.</w:t>
      </w:r>
    </w:p>
    <w:p w14:paraId="0E84E589" w14:textId="02936991" w:rsidR="0032130F" w:rsidRPr="00BE3BE7" w:rsidRDefault="00E41641" w:rsidP="0032130F">
      <w:pPr>
        <w:pStyle w:val="Bulletindent1"/>
      </w:pPr>
      <w:r>
        <w:t>M</w:t>
      </w:r>
      <w:r w:rsidR="0032130F" w:rsidRPr="00BE3BE7">
        <w:t>oderate disease that has not responded adequately to 2 or more conventional DMARDs</w:t>
      </w:r>
      <w:r w:rsidR="006B35C5">
        <w:t xml:space="preserve">. </w:t>
      </w:r>
      <w:r>
        <w:t>At</w:t>
      </w:r>
      <w:r w:rsidR="006B35C5">
        <w:t xml:space="preserve"> this position there were </w:t>
      </w:r>
      <w:r>
        <w:t>2</w:t>
      </w:r>
      <w:r w:rsidR="006B35C5">
        <w:t xml:space="preserve"> potential comparators, conventional DMARDs or best supportive care (see section</w:t>
      </w:r>
      <w:r>
        <w:t> </w:t>
      </w:r>
      <w:r w:rsidR="006B35C5">
        <w:t>3.9)</w:t>
      </w:r>
      <w:r w:rsidR="00B64C88">
        <w:t>.</w:t>
      </w:r>
    </w:p>
    <w:p w14:paraId="1B667E3B" w14:textId="3B9F2586" w:rsidR="0032130F" w:rsidRPr="00BE3BE7" w:rsidRDefault="00D83B94" w:rsidP="0032130F">
      <w:pPr>
        <w:pStyle w:val="Bulletindent1"/>
      </w:pPr>
      <w:r>
        <w:t>S</w:t>
      </w:r>
      <w:r w:rsidR="0032130F" w:rsidRPr="00BE3BE7">
        <w:t>evere, active rheumatoid arthritis (‘severe disease’) that has not responded adequately to 2 or more conventional DMARDs</w:t>
      </w:r>
      <w:r w:rsidR="00F42564">
        <w:t xml:space="preserve">. </w:t>
      </w:r>
      <w:r w:rsidR="00F42564" w:rsidRPr="00F42564">
        <w:t xml:space="preserve">The comparators at this position included </w:t>
      </w:r>
      <w:r w:rsidR="00B64C88" w:rsidRPr="00F42564">
        <w:t xml:space="preserve">abatacept, </w:t>
      </w:r>
      <w:r w:rsidR="00F42564" w:rsidRPr="00F42564">
        <w:t xml:space="preserve">adalimumab, </w:t>
      </w:r>
      <w:proofErr w:type="spellStart"/>
      <w:r w:rsidR="00B64C88" w:rsidRPr="00F42564">
        <w:t>baricitinib</w:t>
      </w:r>
      <w:proofErr w:type="spellEnd"/>
      <w:r w:rsidR="00B64C88" w:rsidRPr="00F42564">
        <w:t>, certolizumab pegol</w:t>
      </w:r>
      <w:r w:rsidR="00B64C88">
        <w:t>,</w:t>
      </w:r>
      <w:r w:rsidR="00B64C88" w:rsidRPr="00F42564">
        <w:t xml:space="preserve"> </w:t>
      </w:r>
      <w:r w:rsidR="00F42564" w:rsidRPr="00F42564">
        <w:t>etanercept, golimumab,</w:t>
      </w:r>
      <w:r w:rsidR="006B35C5">
        <w:t xml:space="preserve"> infliximab,</w:t>
      </w:r>
      <w:r w:rsidR="00F42564" w:rsidRPr="00F42564">
        <w:t xml:space="preserve"> </w:t>
      </w:r>
      <w:proofErr w:type="spellStart"/>
      <w:r w:rsidR="00B64C88" w:rsidRPr="00F42564">
        <w:t>sarilumab</w:t>
      </w:r>
      <w:proofErr w:type="spellEnd"/>
      <w:r w:rsidR="00B64C88" w:rsidRPr="00F42564">
        <w:t xml:space="preserve">, tocilizumab and </w:t>
      </w:r>
      <w:r w:rsidR="00F42564" w:rsidRPr="00F42564">
        <w:t xml:space="preserve">tofacitinib, all with methotrexate. If methotrexate was not tolerated or contraindicated, the comparators included adalimumab, </w:t>
      </w:r>
      <w:proofErr w:type="spellStart"/>
      <w:r w:rsidR="00B64C88" w:rsidRPr="00F42564">
        <w:t>baricitinib</w:t>
      </w:r>
      <w:proofErr w:type="spellEnd"/>
      <w:r w:rsidR="00B64C88" w:rsidRPr="00F42564">
        <w:t>, certolizumab pegol</w:t>
      </w:r>
      <w:r w:rsidR="00B64C88">
        <w:t>,</w:t>
      </w:r>
      <w:r w:rsidR="00B64C88" w:rsidRPr="00F42564">
        <w:t xml:space="preserve"> </w:t>
      </w:r>
      <w:r w:rsidR="00F42564" w:rsidRPr="00F42564">
        <w:t>etanercept, golimumab</w:t>
      </w:r>
      <w:r w:rsidR="00B64C88">
        <w:t>,</w:t>
      </w:r>
      <w:r w:rsidR="00B64C88" w:rsidRPr="00B64C88">
        <w:t xml:space="preserve"> </w:t>
      </w:r>
      <w:proofErr w:type="spellStart"/>
      <w:r w:rsidR="00B64C88" w:rsidRPr="00F42564">
        <w:t>sarilumab</w:t>
      </w:r>
      <w:proofErr w:type="spellEnd"/>
      <w:r w:rsidR="00B64C88" w:rsidRPr="00F42564">
        <w:t>,</w:t>
      </w:r>
      <w:r w:rsidR="00B64C88" w:rsidRPr="00B64C88">
        <w:t xml:space="preserve"> </w:t>
      </w:r>
      <w:r w:rsidR="00B64C88" w:rsidRPr="00F42564">
        <w:t>tocilizumab</w:t>
      </w:r>
      <w:r w:rsidR="00F42564" w:rsidRPr="00F42564">
        <w:t xml:space="preserve"> </w:t>
      </w:r>
      <w:r w:rsidR="00B64C88" w:rsidRPr="00F42564">
        <w:t xml:space="preserve">and </w:t>
      </w:r>
      <w:r w:rsidR="00F42564" w:rsidRPr="00F42564">
        <w:t xml:space="preserve">tofacitinib, each </w:t>
      </w:r>
      <w:r w:rsidR="008A494C">
        <w:t>used</w:t>
      </w:r>
      <w:r w:rsidR="008A494C" w:rsidRPr="00F42564">
        <w:t xml:space="preserve"> </w:t>
      </w:r>
      <w:r w:rsidR="00F42564" w:rsidRPr="00F42564">
        <w:t>alone.</w:t>
      </w:r>
    </w:p>
    <w:p w14:paraId="46055F85" w14:textId="0BD5D8C2" w:rsidR="0032130F" w:rsidRPr="00BE3BE7" w:rsidRDefault="00D7475D" w:rsidP="0032130F">
      <w:pPr>
        <w:pStyle w:val="Bulletindent1"/>
      </w:pPr>
      <w:r>
        <w:t>S</w:t>
      </w:r>
      <w:r w:rsidR="0032130F" w:rsidRPr="00BE3BE7">
        <w:t>evere disease that has not responded adequately to 1 or more biological DMARD</w:t>
      </w:r>
      <w:r w:rsidR="008A494C">
        <w:t>,</w:t>
      </w:r>
      <w:r w:rsidR="006B35C5">
        <w:t xml:space="preserve"> </w:t>
      </w:r>
      <w:r>
        <w:t xml:space="preserve">if </w:t>
      </w:r>
      <w:r w:rsidR="006B35C5">
        <w:t>rituximab is not a treatment option</w:t>
      </w:r>
      <w:r w:rsidR="00F42564">
        <w:t xml:space="preserve">. </w:t>
      </w:r>
      <w:r w:rsidR="006B35C5" w:rsidRPr="006B35C5">
        <w:t xml:space="preserve">The comparators at this position included </w:t>
      </w:r>
      <w:r w:rsidR="00B64C88" w:rsidRPr="006B35C5">
        <w:t xml:space="preserve">abatacept, </w:t>
      </w:r>
      <w:r w:rsidR="006B35C5" w:rsidRPr="006B35C5">
        <w:t xml:space="preserve">adalimumab, </w:t>
      </w:r>
      <w:proofErr w:type="spellStart"/>
      <w:r w:rsidR="00B64C88" w:rsidRPr="006B35C5">
        <w:t>baricitinib</w:t>
      </w:r>
      <w:proofErr w:type="spellEnd"/>
      <w:r w:rsidR="00B64C88">
        <w:t>,</w:t>
      </w:r>
      <w:r w:rsidR="00B64C88" w:rsidRPr="006B35C5">
        <w:t xml:space="preserve"> certolizumab pegol</w:t>
      </w:r>
      <w:r w:rsidR="00B64C88">
        <w:t>,</w:t>
      </w:r>
      <w:r w:rsidR="00B64C88" w:rsidRPr="006B35C5">
        <w:t xml:space="preserve"> </w:t>
      </w:r>
      <w:r w:rsidR="006B35C5" w:rsidRPr="006B35C5">
        <w:t xml:space="preserve">etanercept, golimumab, infliximab, </w:t>
      </w:r>
      <w:proofErr w:type="spellStart"/>
      <w:r w:rsidR="00B64C88" w:rsidRPr="006B35C5">
        <w:t>sarilumab</w:t>
      </w:r>
      <w:proofErr w:type="spellEnd"/>
      <w:r w:rsidR="00B64C88">
        <w:t>,</w:t>
      </w:r>
      <w:r w:rsidR="00B64C88" w:rsidRPr="00B64C88">
        <w:t xml:space="preserve"> </w:t>
      </w:r>
      <w:r w:rsidR="00B64C88" w:rsidRPr="006B35C5">
        <w:t>tocilizumab</w:t>
      </w:r>
      <w:r w:rsidR="00B64C88" w:rsidRPr="00B64C88">
        <w:t xml:space="preserve"> </w:t>
      </w:r>
      <w:r w:rsidR="00B64C88" w:rsidRPr="006B35C5">
        <w:t xml:space="preserve">and </w:t>
      </w:r>
      <w:r w:rsidR="006B35C5" w:rsidRPr="006B35C5">
        <w:t xml:space="preserve">tofacitinib, all with methotrexate. If methotrexate was not tolerated or contraindicated, the comparators included </w:t>
      </w:r>
      <w:r w:rsidR="00B64C88" w:rsidRPr="00F42564">
        <w:t xml:space="preserve">adalimumab, </w:t>
      </w:r>
      <w:proofErr w:type="spellStart"/>
      <w:r w:rsidR="00B64C88" w:rsidRPr="00F42564">
        <w:t>baricitinib</w:t>
      </w:r>
      <w:proofErr w:type="spellEnd"/>
      <w:r w:rsidR="00B64C88" w:rsidRPr="00F42564">
        <w:t>, certolizumab pegol</w:t>
      </w:r>
      <w:r w:rsidR="00B64C88">
        <w:t>,</w:t>
      </w:r>
      <w:r w:rsidR="00B64C88" w:rsidRPr="00F42564">
        <w:t xml:space="preserve"> etanercept, golimumab</w:t>
      </w:r>
      <w:r w:rsidR="00B64C88">
        <w:t>,</w:t>
      </w:r>
      <w:r w:rsidR="00B64C88" w:rsidRPr="00B64C88">
        <w:t xml:space="preserve"> </w:t>
      </w:r>
      <w:proofErr w:type="spellStart"/>
      <w:r w:rsidR="00B64C88" w:rsidRPr="00F42564">
        <w:t>sarilumab</w:t>
      </w:r>
      <w:proofErr w:type="spellEnd"/>
      <w:r w:rsidR="00B64C88" w:rsidRPr="00F42564">
        <w:t>,</w:t>
      </w:r>
      <w:r w:rsidR="00B64C88" w:rsidRPr="00B64C88">
        <w:t xml:space="preserve"> </w:t>
      </w:r>
      <w:r w:rsidR="00B64C88" w:rsidRPr="00F42564">
        <w:t xml:space="preserve">tocilizumab and tofacitinib, </w:t>
      </w:r>
      <w:r w:rsidR="006B35C5" w:rsidRPr="006B35C5">
        <w:t xml:space="preserve">each </w:t>
      </w:r>
      <w:r w:rsidR="008A494C">
        <w:t>used</w:t>
      </w:r>
      <w:r w:rsidR="008A494C" w:rsidRPr="006B35C5">
        <w:t xml:space="preserve"> </w:t>
      </w:r>
      <w:r w:rsidR="006B35C5" w:rsidRPr="006B35C5">
        <w:t>alone.</w:t>
      </w:r>
    </w:p>
    <w:p w14:paraId="572E5319" w14:textId="5582CA24" w:rsidR="0032130F" w:rsidRPr="00BE3BE7" w:rsidRDefault="00330516" w:rsidP="0032130F">
      <w:pPr>
        <w:pStyle w:val="Bulletindent1"/>
      </w:pPr>
      <w:r>
        <w:t>S</w:t>
      </w:r>
      <w:r w:rsidR="0032130F" w:rsidRPr="00BE3BE7">
        <w:t xml:space="preserve">evere disease that has not responded adequately to 1 or more biological DMARD, when rituximab is </w:t>
      </w:r>
      <w:r w:rsidR="006B35C5">
        <w:t>a treatment option. The comparator in this position was rituximab with methotrexate.</w:t>
      </w:r>
    </w:p>
    <w:p w14:paraId="2736C17F" w14:textId="0F868128" w:rsidR="0032130F" w:rsidRPr="00BE3BE7" w:rsidRDefault="005E41A8" w:rsidP="0032130F">
      <w:pPr>
        <w:pStyle w:val="Bulletindent1last"/>
      </w:pPr>
      <w:r>
        <w:t>S</w:t>
      </w:r>
      <w:r w:rsidR="0032130F" w:rsidRPr="00BE3BE7">
        <w:t xml:space="preserve">evere disease that has not responded adequately to rituximab and 1 or more biological DMARD. </w:t>
      </w:r>
      <w:r w:rsidR="006B35C5">
        <w:t xml:space="preserve">The comparators in this position were </w:t>
      </w:r>
      <w:proofErr w:type="spellStart"/>
      <w:r w:rsidR="006B35C5">
        <w:t>sarliumab</w:t>
      </w:r>
      <w:proofErr w:type="spellEnd"/>
      <w:r w:rsidR="006B35C5">
        <w:t xml:space="preserve"> and tocilizumab, both with meth</w:t>
      </w:r>
      <w:r w:rsidR="00686C0E">
        <w:t xml:space="preserve">otrexate. </w:t>
      </w:r>
    </w:p>
    <w:p w14:paraId="3C7B26E6" w14:textId="627EBA11" w:rsidR="0032130F" w:rsidRPr="00A957FB" w:rsidRDefault="0032130F" w:rsidP="00913027">
      <w:pPr>
        <w:pStyle w:val="Numberedlevel2text"/>
        <w:numPr>
          <w:ilvl w:val="0"/>
          <w:numId w:val="0"/>
        </w:numPr>
        <w:ind w:left="1134"/>
        <w:rPr>
          <w:lang w:val="en-GB"/>
        </w:rPr>
      </w:pPr>
      <w:r w:rsidRPr="00A957FB">
        <w:rPr>
          <w:lang w:val="en-GB"/>
        </w:rPr>
        <w:t xml:space="preserve">The committee also noted that the marketing authorisation includes the use of </w:t>
      </w:r>
      <w:proofErr w:type="spellStart"/>
      <w:r w:rsidRPr="00A957FB">
        <w:rPr>
          <w:lang w:val="en-GB"/>
        </w:rPr>
        <w:t>upadacitinib</w:t>
      </w:r>
      <w:proofErr w:type="spellEnd"/>
      <w:r w:rsidRPr="00A957FB">
        <w:rPr>
          <w:lang w:val="en-GB"/>
        </w:rPr>
        <w:t xml:space="preserve"> alone or with methotrexate.</w:t>
      </w:r>
    </w:p>
    <w:p w14:paraId="27E802AF" w14:textId="449BEA7E" w:rsidR="007B1606" w:rsidRPr="00733124" w:rsidRDefault="007B1606" w:rsidP="00197F2F">
      <w:pPr>
        <w:pStyle w:val="Heading2"/>
      </w:pPr>
      <w:r w:rsidRPr="00733124">
        <w:lastRenderedPageBreak/>
        <w:t>Clinical effectiveness</w:t>
      </w:r>
    </w:p>
    <w:p w14:paraId="2C7FBCF1" w14:textId="43E0C79F" w:rsidR="00726060" w:rsidRPr="00BE3BE7" w:rsidRDefault="00726060" w:rsidP="00726060">
      <w:pPr>
        <w:pStyle w:val="Heading3"/>
      </w:pPr>
      <w:r w:rsidRPr="00BE3BE7">
        <w:t>The clinical trials are a</w:t>
      </w:r>
      <w:r w:rsidR="00913027">
        <w:t>cceptable</w:t>
      </w:r>
      <w:r w:rsidRPr="00BE3BE7">
        <w:t xml:space="preserve"> for decision</w:t>
      </w:r>
      <w:r w:rsidR="000C6AD0" w:rsidRPr="00BE3BE7">
        <w:t xml:space="preserve"> </w:t>
      </w:r>
      <w:r w:rsidRPr="00BE3BE7">
        <w:t>making</w:t>
      </w:r>
      <w:r w:rsidR="00B64C88">
        <w:t xml:space="preserve"> but do not include all relevant comparators</w:t>
      </w:r>
    </w:p>
    <w:p w14:paraId="52F0D76F" w14:textId="6939B3D2" w:rsidR="00726060" w:rsidRPr="00A957FB" w:rsidRDefault="00726060" w:rsidP="00726060">
      <w:pPr>
        <w:pStyle w:val="Numberedlevel2text"/>
        <w:numPr>
          <w:ilvl w:val="1"/>
          <w:numId w:val="1"/>
        </w:numPr>
        <w:rPr>
          <w:lang w:val="en-GB"/>
        </w:rPr>
      </w:pPr>
      <w:r w:rsidRPr="00A957FB">
        <w:rPr>
          <w:lang w:val="en-GB"/>
        </w:rPr>
        <w:t xml:space="preserve">The company’s clinical evidence came from </w:t>
      </w:r>
      <w:r w:rsidR="00A57D1A" w:rsidRPr="00A957FB">
        <w:rPr>
          <w:lang w:val="en-GB"/>
        </w:rPr>
        <w:t>4</w:t>
      </w:r>
      <w:r w:rsidRPr="00A957FB">
        <w:rPr>
          <w:lang w:val="en-GB"/>
        </w:rPr>
        <w:t xml:space="preserve"> randomised controlled trials. The trials included people with moderate to severe rheumatoid arthritis, as defined in section</w:t>
      </w:r>
      <w:r w:rsidR="00E54B1F" w:rsidRPr="00A957FB">
        <w:rPr>
          <w:lang w:val="en-GB"/>
        </w:rPr>
        <w:t> </w:t>
      </w:r>
      <w:r w:rsidRPr="00A957FB">
        <w:rPr>
          <w:lang w:val="en-GB"/>
        </w:rPr>
        <w:t>3.2. The trials were:</w:t>
      </w:r>
    </w:p>
    <w:p w14:paraId="7A86A0C6" w14:textId="010AC553" w:rsidR="00726060" w:rsidRPr="0035762B" w:rsidRDefault="00726060" w:rsidP="00A957FB">
      <w:pPr>
        <w:pStyle w:val="Bulletindent1"/>
      </w:pPr>
      <w:r w:rsidRPr="00733124">
        <w:t>SELECT-COMPARE, a phase</w:t>
      </w:r>
      <w:r w:rsidR="00351DB8" w:rsidRPr="00733124">
        <w:t> 3</w:t>
      </w:r>
      <w:r w:rsidRPr="00260064">
        <w:t xml:space="preserve"> </w:t>
      </w:r>
      <w:r w:rsidRPr="00DD05BD">
        <w:t>trial which included people whose disease responded inadequately to methotrexate</w:t>
      </w:r>
      <w:r w:rsidRPr="00576E05">
        <w:t xml:space="preserve">. </w:t>
      </w:r>
      <w:proofErr w:type="spellStart"/>
      <w:r w:rsidRPr="00576E05">
        <w:t>Upadacitinib</w:t>
      </w:r>
      <w:proofErr w:type="spellEnd"/>
      <w:r w:rsidRPr="00576E05">
        <w:t xml:space="preserve"> was given </w:t>
      </w:r>
      <w:r w:rsidRPr="00E051C9">
        <w:t>with methotrexate</w:t>
      </w:r>
      <w:r w:rsidRPr="00A957FB">
        <w:t xml:space="preserve"> and t</w:t>
      </w:r>
      <w:r w:rsidRPr="00733124">
        <w:t>he comparator was adalimumab</w:t>
      </w:r>
      <w:r w:rsidR="00A57D1A" w:rsidRPr="00A957FB">
        <w:t xml:space="preserve"> </w:t>
      </w:r>
      <w:r w:rsidR="00895896" w:rsidRPr="00A957FB">
        <w:t>with</w:t>
      </w:r>
      <w:r w:rsidR="00A57D1A" w:rsidRPr="00A957FB">
        <w:t xml:space="preserve"> methotrexate </w:t>
      </w:r>
      <w:r w:rsidRPr="00A957FB">
        <w:t>or placebo</w:t>
      </w:r>
      <w:r w:rsidRPr="00733124">
        <w:t xml:space="preserve"> </w:t>
      </w:r>
      <w:r w:rsidR="00681E1A" w:rsidRPr="00733124">
        <w:t>with</w:t>
      </w:r>
      <w:r w:rsidRPr="00260064">
        <w:t xml:space="preserve"> methotrexate.</w:t>
      </w:r>
    </w:p>
    <w:p w14:paraId="3725344F" w14:textId="72FB2389" w:rsidR="00726060" w:rsidRPr="00733124" w:rsidRDefault="00A57D1A" w:rsidP="00A957FB">
      <w:pPr>
        <w:pStyle w:val="Bulletindent1"/>
      </w:pPr>
      <w:r w:rsidRPr="00576E05">
        <w:t>SELECT-NEXT, a phase</w:t>
      </w:r>
      <w:r w:rsidR="005F6629" w:rsidRPr="00E051C9">
        <w:t> 3</w:t>
      </w:r>
      <w:r w:rsidRPr="00E051C9">
        <w:t xml:space="preserve"> trial which included people whose disease responded inadequately to conventional DMARDs.</w:t>
      </w:r>
      <w:r w:rsidRPr="00A957FB">
        <w:t xml:space="preserve"> </w:t>
      </w:r>
      <w:proofErr w:type="spellStart"/>
      <w:r w:rsidRPr="00A957FB">
        <w:t>Upadacitinib</w:t>
      </w:r>
      <w:proofErr w:type="spellEnd"/>
      <w:r w:rsidRPr="00A957FB">
        <w:t xml:space="preserve"> was given </w:t>
      </w:r>
      <w:r w:rsidR="00D32448" w:rsidRPr="00A957FB">
        <w:t xml:space="preserve">with conventional DMARDs </w:t>
      </w:r>
      <w:r w:rsidRPr="00A957FB">
        <w:t>and the comparator was placebo</w:t>
      </w:r>
      <w:r w:rsidR="00D32448" w:rsidRPr="00A957FB">
        <w:t xml:space="preserve"> with </w:t>
      </w:r>
      <w:r w:rsidR="007F4D0E">
        <w:t xml:space="preserve">conventional </w:t>
      </w:r>
      <w:r w:rsidR="00D32448" w:rsidRPr="00A957FB">
        <w:t>DMARDs</w:t>
      </w:r>
      <w:r w:rsidR="00341B84" w:rsidRPr="001606C3">
        <w:t>.</w:t>
      </w:r>
    </w:p>
    <w:p w14:paraId="7F49BE08" w14:textId="2AC0E339" w:rsidR="00A57D1A" w:rsidRPr="00E051C9" w:rsidRDefault="00A57D1A" w:rsidP="00A957FB">
      <w:pPr>
        <w:pStyle w:val="Bulletindent1"/>
      </w:pPr>
      <w:r w:rsidRPr="00260064">
        <w:t>SELECT-MONOTHERAPY, a phase</w:t>
      </w:r>
      <w:r w:rsidR="004C5731" w:rsidRPr="0035762B">
        <w:t> 3</w:t>
      </w:r>
      <w:r w:rsidRPr="00576E05">
        <w:t xml:space="preserve"> trial which included people whose disease responded inadequately to methotrexate. </w:t>
      </w:r>
      <w:proofErr w:type="spellStart"/>
      <w:r w:rsidRPr="00576E05">
        <w:t>Upadacitinib</w:t>
      </w:r>
      <w:proofErr w:type="spellEnd"/>
      <w:r w:rsidRPr="00576E05">
        <w:t xml:space="preserve"> was given as a monotherapy and the comparator was methotrexate. </w:t>
      </w:r>
    </w:p>
    <w:p w14:paraId="19803601" w14:textId="6B04944A" w:rsidR="00A57D1A" w:rsidRPr="008D3A5A" w:rsidRDefault="00A57D1A" w:rsidP="00A957FB">
      <w:pPr>
        <w:pStyle w:val="Bulletindent1last"/>
      </w:pPr>
      <w:r w:rsidRPr="00E051C9">
        <w:t>SELECT-BEYOND, a phas</w:t>
      </w:r>
      <w:r w:rsidRPr="008F65DA">
        <w:t>e</w:t>
      </w:r>
      <w:r w:rsidR="00742205" w:rsidRPr="00FC3853">
        <w:t> 3</w:t>
      </w:r>
      <w:r w:rsidRPr="008D3A5A">
        <w:t xml:space="preserve"> clinical trial </w:t>
      </w:r>
      <w:r w:rsidR="00D409DB" w:rsidRPr="008D3A5A">
        <w:t xml:space="preserve">which </w:t>
      </w:r>
      <w:r w:rsidRPr="008D3A5A">
        <w:t xml:space="preserve">included people whose disease responded inadequately to biological DMARDs. </w:t>
      </w:r>
      <w:proofErr w:type="spellStart"/>
      <w:r w:rsidRPr="008D3A5A">
        <w:t>Upadacitinib</w:t>
      </w:r>
      <w:proofErr w:type="spellEnd"/>
      <w:r w:rsidRPr="008D3A5A">
        <w:t xml:space="preserve"> was given with conventional DMARDs and the comparator was conventional DMARDs and placebo.</w:t>
      </w:r>
    </w:p>
    <w:p w14:paraId="187470E0" w14:textId="36159FB8" w:rsidR="00A57D1A" w:rsidRPr="00A957FB" w:rsidRDefault="00A57D1A" w:rsidP="00A957FB">
      <w:pPr>
        <w:pStyle w:val="Numberedlevel2text"/>
        <w:numPr>
          <w:ilvl w:val="0"/>
          <w:numId w:val="0"/>
        </w:numPr>
        <w:ind w:left="1134"/>
        <w:rPr>
          <w:lang w:val="en-GB"/>
        </w:rPr>
      </w:pPr>
      <w:r w:rsidRPr="00A957FB">
        <w:rPr>
          <w:lang w:val="en-GB"/>
        </w:rPr>
        <w:t xml:space="preserve">The </w:t>
      </w:r>
      <w:r w:rsidR="00796AD3" w:rsidRPr="00A957FB">
        <w:rPr>
          <w:lang w:val="en-GB"/>
        </w:rPr>
        <w:t>c</w:t>
      </w:r>
      <w:r w:rsidRPr="00A957FB">
        <w:rPr>
          <w:lang w:val="en-GB"/>
        </w:rPr>
        <w:t xml:space="preserve">ommittee concluded that the trials were relevant and </w:t>
      </w:r>
      <w:r w:rsidR="0032130F">
        <w:rPr>
          <w:lang w:val="en-GB"/>
        </w:rPr>
        <w:t>acceptable</w:t>
      </w:r>
      <w:r w:rsidRPr="00A957FB">
        <w:rPr>
          <w:lang w:val="en-GB"/>
        </w:rPr>
        <w:t xml:space="preserve"> for </w:t>
      </w:r>
      <w:r w:rsidR="00913027" w:rsidRPr="00A957FB">
        <w:rPr>
          <w:lang w:val="en-GB"/>
        </w:rPr>
        <w:t>decision</w:t>
      </w:r>
      <w:r w:rsidR="00B64C88">
        <w:rPr>
          <w:lang w:val="en-GB"/>
        </w:rPr>
        <w:t xml:space="preserve"> </w:t>
      </w:r>
      <w:r w:rsidR="00913027" w:rsidRPr="00A957FB">
        <w:rPr>
          <w:lang w:val="en-GB"/>
        </w:rPr>
        <w:t>making</w:t>
      </w:r>
      <w:r w:rsidR="00913027">
        <w:rPr>
          <w:lang w:val="en-GB"/>
        </w:rPr>
        <w:t xml:space="preserve"> but</w:t>
      </w:r>
      <w:r w:rsidR="0078061D">
        <w:rPr>
          <w:lang w:val="en-GB"/>
        </w:rPr>
        <w:t xml:space="preserve"> did not include all relevant comparators (see section</w:t>
      </w:r>
      <w:r w:rsidR="00986746">
        <w:rPr>
          <w:lang w:val="en-GB"/>
        </w:rPr>
        <w:t> </w:t>
      </w:r>
      <w:r w:rsidR="0032130F">
        <w:rPr>
          <w:lang w:val="en-GB"/>
        </w:rPr>
        <w:t>3.</w:t>
      </w:r>
      <w:r w:rsidR="00E40F47">
        <w:rPr>
          <w:lang w:val="en-GB"/>
        </w:rPr>
        <w:t>3</w:t>
      </w:r>
      <w:r w:rsidR="0078061D">
        <w:rPr>
          <w:lang w:val="en-GB"/>
        </w:rPr>
        <w:t>)</w:t>
      </w:r>
      <w:r w:rsidRPr="00A957FB">
        <w:rPr>
          <w:lang w:val="en-GB"/>
        </w:rPr>
        <w:t>.</w:t>
      </w:r>
    </w:p>
    <w:p w14:paraId="0ABBAC13" w14:textId="12200561" w:rsidR="007B1606" w:rsidRPr="0035762B" w:rsidRDefault="0078061D" w:rsidP="007B1606">
      <w:pPr>
        <w:pStyle w:val="Heading3"/>
      </w:pPr>
      <w:bookmarkStart w:id="4" w:name="_Hlk29823505"/>
      <w:r>
        <w:t>The t</w:t>
      </w:r>
      <w:r w:rsidR="0083685C">
        <w:t xml:space="preserve">rials show </w:t>
      </w:r>
      <w:proofErr w:type="spellStart"/>
      <w:r w:rsidR="0083685C">
        <w:t>u</w:t>
      </w:r>
      <w:r w:rsidR="007B1606" w:rsidRPr="00733124">
        <w:t>padacitinib</w:t>
      </w:r>
      <w:proofErr w:type="spellEnd"/>
      <w:r w:rsidR="007B1606" w:rsidRPr="00733124">
        <w:t xml:space="preserve"> </w:t>
      </w:r>
      <w:r w:rsidR="007B1606" w:rsidRPr="00260064">
        <w:t xml:space="preserve">is more clinically effective than </w:t>
      </w:r>
      <w:r w:rsidR="001E2101">
        <w:t>adalimumab, conventional DMARDs (including methotrexate) or placebo</w:t>
      </w:r>
      <w:r w:rsidR="007B1606" w:rsidRPr="00BE3BE7">
        <w:t xml:space="preserve"> for moderate to severe </w:t>
      </w:r>
      <w:r>
        <w:t>disease</w:t>
      </w:r>
      <w:r w:rsidR="007B1606" w:rsidRPr="00BE3BE7">
        <w:t xml:space="preserve"> </w:t>
      </w:r>
      <w:r w:rsidR="002A39AC">
        <w:t>that</w:t>
      </w:r>
      <w:r w:rsidR="007B1606" w:rsidRPr="00260064">
        <w:t xml:space="preserve"> has responded inadequately to conventional DMARDs</w:t>
      </w:r>
    </w:p>
    <w:p w14:paraId="5CC506BA" w14:textId="64C2BCFB" w:rsidR="00491D7F" w:rsidRPr="005539E0" w:rsidRDefault="00726060" w:rsidP="005539E0">
      <w:pPr>
        <w:pStyle w:val="Numberedlevel2text"/>
        <w:numPr>
          <w:ilvl w:val="1"/>
          <w:numId w:val="1"/>
        </w:numPr>
        <w:rPr>
          <w:lang w:val="en-GB"/>
        </w:rPr>
      </w:pPr>
      <w:bookmarkStart w:id="5" w:name="_Hlk29823306"/>
      <w:bookmarkEnd w:id="4"/>
      <w:r w:rsidRPr="001606C3">
        <w:rPr>
          <w:bCs w:val="0"/>
          <w:iCs w:val="0"/>
          <w:lang w:val="en-GB"/>
        </w:rPr>
        <w:t xml:space="preserve">In </w:t>
      </w:r>
      <w:r w:rsidR="00D67A7E" w:rsidRPr="001606C3">
        <w:rPr>
          <w:bCs w:val="0"/>
          <w:iCs w:val="0"/>
          <w:lang w:val="en-GB"/>
        </w:rPr>
        <w:t>SELECT-COMPARE</w:t>
      </w:r>
      <w:r w:rsidR="00D67A7E" w:rsidRPr="005539E0">
        <w:rPr>
          <w:bCs w:val="0"/>
          <w:iCs w:val="0"/>
          <w:lang w:val="en-GB"/>
        </w:rPr>
        <w:t xml:space="preserve">, </w:t>
      </w:r>
      <w:bookmarkEnd w:id="5"/>
      <w:proofErr w:type="spellStart"/>
      <w:r w:rsidR="00FB4F8E" w:rsidRPr="005539E0">
        <w:rPr>
          <w:bCs w:val="0"/>
          <w:iCs w:val="0"/>
          <w:lang w:val="en-GB"/>
        </w:rPr>
        <w:t>u</w:t>
      </w:r>
      <w:r w:rsidR="00A77427" w:rsidRPr="005539E0">
        <w:rPr>
          <w:bCs w:val="0"/>
          <w:iCs w:val="0"/>
          <w:lang w:val="en-GB"/>
        </w:rPr>
        <w:t>padacitinib</w:t>
      </w:r>
      <w:proofErr w:type="spellEnd"/>
      <w:r w:rsidR="00A77427" w:rsidRPr="005539E0">
        <w:rPr>
          <w:bCs w:val="0"/>
          <w:iCs w:val="0"/>
          <w:lang w:val="en-GB"/>
        </w:rPr>
        <w:t xml:space="preserve"> with methotrexate showed a statistically significant improvement in </w:t>
      </w:r>
      <w:r w:rsidR="00BA3B56">
        <w:rPr>
          <w:lang w:val="en-GB"/>
        </w:rPr>
        <w:t xml:space="preserve">American College of Rheumatology </w:t>
      </w:r>
      <w:r w:rsidR="00BA3B56">
        <w:rPr>
          <w:lang w:val="en-GB"/>
        </w:rPr>
        <w:lastRenderedPageBreak/>
        <w:t>response (</w:t>
      </w:r>
      <w:r w:rsidR="00A77427" w:rsidRPr="005539E0">
        <w:rPr>
          <w:bCs w:val="0"/>
          <w:iCs w:val="0"/>
          <w:lang w:val="en-GB"/>
        </w:rPr>
        <w:t>ACR20</w:t>
      </w:r>
      <w:r w:rsidR="00BA3B56">
        <w:rPr>
          <w:lang w:val="en-GB"/>
        </w:rPr>
        <w:t>)</w:t>
      </w:r>
      <w:r w:rsidR="00044155">
        <w:rPr>
          <w:lang w:val="en-GB"/>
        </w:rPr>
        <w:t xml:space="preserve"> </w:t>
      </w:r>
      <w:r w:rsidR="00A77427" w:rsidRPr="005539E0">
        <w:rPr>
          <w:bCs w:val="0"/>
          <w:iCs w:val="0"/>
          <w:lang w:val="en-GB"/>
        </w:rPr>
        <w:t>at 12</w:t>
      </w:r>
      <w:r w:rsidR="00377E3F">
        <w:rPr>
          <w:lang w:val="en-GB"/>
        </w:rPr>
        <w:t> </w:t>
      </w:r>
      <w:r w:rsidR="00A77427" w:rsidRPr="005539E0">
        <w:rPr>
          <w:bCs w:val="0"/>
          <w:iCs w:val="0"/>
          <w:lang w:val="en-GB"/>
        </w:rPr>
        <w:t>weeks</w:t>
      </w:r>
      <w:r w:rsidR="00A57D1A" w:rsidRPr="005539E0">
        <w:rPr>
          <w:bCs w:val="0"/>
          <w:iCs w:val="0"/>
          <w:lang w:val="en-GB"/>
        </w:rPr>
        <w:t xml:space="preserve"> compared </w:t>
      </w:r>
      <w:r w:rsidR="001D7E60">
        <w:rPr>
          <w:lang w:val="en-GB"/>
        </w:rPr>
        <w:t>with</w:t>
      </w:r>
      <w:r w:rsidR="00FB4F8E" w:rsidRPr="005539E0">
        <w:rPr>
          <w:bCs w:val="0"/>
          <w:iCs w:val="0"/>
          <w:lang w:val="en-GB"/>
        </w:rPr>
        <w:t xml:space="preserve"> adalimumab </w:t>
      </w:r>
      <w:r w:rsidR="005219A9">
        <w:rPr>
          <w:lang w:val="en-GB"/>
        </w:rPr>
        <w:t>with</w:t>
      </w:r>
      <w:r w:rsidR="00FB4F8E" w:rsidRPr="005539E0">
        <w:rPr>
          <w:bCs w:val="0"/>
          <w:iCs w:val="0"/>
          <w:lang w:val="en-GB"/>
        </w:rPr>
        <w:t xml:space="preserve"> methotrexate or placebo </w:t>
      </w:r>
      <w:r w:rsidR="005219A9">
        <w:rPr>
          <w:lang w:val="en-GB"/>
        </w:rPr>
        <w:t>with</w:t>
      </w:r>
      <w:r w:rsidR="00FB4F8E" w:rsidRPr="005539E0">
        <w:rPr>
          <w:bCs w:val="0"/>
          <w:iCs w:val="0"/>
          <w:lang w:val="en-GB"/>
        </w:rPr>
        <w:t xml:space="preserve"> </w:t>
      </w:r>
      <w:r w:rsidR="0024329F" w:rsidRPr="005539E0">
        <w:rPr>
          <w:bCs w:val="0"/>
          <w:iCs w:val="0"/>
          <w:lang w:val="en-GB"/>
        </w:rPr>
        <w:t>methotrexate</w:t>
      </w:r>
      <w:r w:rsidR="000166AE">
        <w:rPr>
          <w:lang w:val="en-GB"/>
        </w:rPr>
        <w:t>.</w:t>
      </w:r>
      <w:r w:rsidR="0024329F" w:rsidRPr="005539E0">
        <w:rPr>
          <w:bCs w:val="0"/>
          <w:iCs w:val="0"/>
          <w:lang w:val="en-GB"/>
        </w:rPr>
        <w:t xml:space="preserve"> </w:t>
      </w:r>
      <w:proofErr w:type="spellStart"/>
      <w:r w:rsidR="000166AE">
        <w:rPr>
          <w:lang w:val="en-GB"/>
        </w:rPr>
        <w:t>U</w:t>
      </w:r>
      <w:r w:rsidR="00A77427" w:rsidRPr="005539E0">
        <w:rPr>
          <w:bCs w:val="0"/>
          <w:iCs w:val="0"/>
          <w:lang w:val="en-GB"/>
        </w:rPr>
        <w:t>padacitinib</w:t>
      </w:r>
      <w:proofErr w:type="spellEnd"/>
      <w:r w:rsidR="00FB4F8E" w:rsidRPr="005539E0">
        <w:rPr>
          <w:bCs w:val="0"/>
          <w:iCs w:val="0"/>
          <w:lang w:val="en-GB"/>
        </w:rPr>
        <w:t xml:space="preserve"> 71%, adalimumab 63% (p≤0.050), placebo 36% (p≤0.001). </w:t>
      </w:r>
      <w:bookmarkStart w:id="6" w:name="_Hlk29823595"/>
      <w:r w:rsidR="00FB4F8E" w:rsidRPr="005539E0">
        <w:rPr>
          <w:bCs w:val="0"/>
          <w:iCs w:val="0"/>
          <w:lang w:val="en-GB"/>
        </w:rPr>
        <w:t xml:space="preserve">In </w:t>
      </w:r>
      <w:r w:rsidR="00D67A7E" w:rsidRPr="005539E0">
        <w:rPr>
          <w:bCs w:val="0"/>
          <w:iCs w:val="0"/>
          <w:lang w:val="en-GB"/>
        </w:rPr>
        <w:t>SELECT-NEXT</w:t>
      </w:r>
      <w:bookmarkEnd w:id="6"/>
      <w:r w:rsidR="0024329F" w:rsidRPr="005539E0">
        <w:rPr>
          <w:bCs w:val="0"/>
          <w:iCs w:val="0"/>
          <w:lang w:val="en-GB"/>
        </w:rPr>
        <w:t xml:space="preserve">, </w:t>
      </w:r>
      <w:proofErr w:type="spellStart"/>
      <w:r w:rsidR="0024329F" w:rsidRPr="005539E0">
        <w:rPr>
          <w:bCs w:val="0"/>
          <w:iCs w:val="0"/>
          <w:lang w:val="en-GB"/>
        </w:rPr>
        <w:t>upadacitinib</w:t>
      </w:r>
      <w:proofErr w:type="spellEnd"/>
      <w:r w:rsidR="0024329F" w:rsidRPr="005539E0">
        <w:rPr>
          <w:bCs w:val="0"/>
          <w:iCs w:val="0"/>
          <w:lang w:val="en-GB"/>
        </w:rPr>
        <w:t xml:space="preserve"> with conventional DMARDs showed a statistically significant improvement in ACR20 at 12</w:t>
      </w:r>
      <w:r w:rsidR="0098363A">
        <w:rPr>
          <w:lang w:val="en-GB"/>
        </w:rPr>
        <w:t> </w:t>
      </w:r>
      <w:r w:rsidR="0024329F" w:rsidRPr="005539E0">
        <w:rPr>
          <w:bCs w:val="0"/>
          <w:iCs w:val="0"/>
          <w:lang w:val="en-GB"/>
        </w:rPr>
        <w:t xml:space="preserve">weeks compared </w:t>
      </w:r>
      <w:r w:rsidR="0098363A">
        <w:rPr>
          <w:lang w:val="en-GB"/>
        </w:rPr>
        <w:t>with</w:t>
      </w:r>
      <w:r w:rsidR="0024329F" w:rsidRPr="005539E0">
        <w:rPr>
          <w:bCs w:val="0"/>
          <w:iCs w:val="0"/>
          <w:lang w:val="en-GB"/>
        </w:rPr>
        <w:t xml:space="preserve"> placebo </w:t>
      </w:r>
      <w:r w:rsidR="000D70D8">
        <w:rPr>
          <w:lang w:val="en-GB"/>
        </w:rPr>
        <w:t>with</w:t>
      </w:r>
      <w:r w:rsidR="0024329F" w:rsidRPr="005539E0">
        <w:rPr>
          <w:bCs w:val="0"/>
          <w:iCs w:val="0"/>
          <w:lang w:val="en-GB"/>
        </w:rPr>
        <w:t xml:space="preserve"> conventional DMARDs (</w:t>
      </w:r>
      <w:proofErr w:type="spellStart"/>
      <w:r w:rsidR="0024329F" w:rsidRPr="005539E0">
        <w:rPr>
          <w:bCs w:val="0"/>
          <w:iCs w:val="0"/>
          <w:lang w:val="en-GB"/>
        </w:rPr>
        <w:t>upadacitinib</w:t>
      </w:r>
      <w:proofErr w:type="spellEnd"/>
      <w:r w:rsidR="0024329F" w:rsidRPr="005539E0">
        <w:rPr>
          <w:bCs w:val="0"/>
          <w:iCs w:val="0"/>
          <w:lang w:val="en-GB"/>
        </w:rPr>
        <w:t xml:space="preserve"> 64%, placebo 36%, p≤0.001)</w:t>
      </w:r>
      <w:r w:rsidR="00A9008A" w:rsidRPr="005539E0">
        <w:rPr>
          <w:bCs w:val="0"/>
          <w:iCs w:val="0"/>
          <w:lang w:val="en-GB"/>
        </w:rPr>
        <w:t xml:space="preserve">. </w:t>
      </w:r>
      <w:r w:rsidR="00FB4F8E" w:rsidRPr="005539E0">
        <w:rPr>
          <w:bCs w:val="0"/>
          <w:iCs w:val="0"/>
          <w:lang w:val="en-GB"/>
        </w:rPr>
        <w:t xml:space="preserve">In </w:t>
      </w:r>
      <w:r w:rsidR="00D67A7E" w:rsidRPr="005539E0">
        <w:rPr>
          <w:bCs w:val="0"/>
          <w:iCs w:val="0"/>
          <w:lang w:val="en-GB"/>
        </w:rPr>
        <w:t xml:space="preserve">SELECT-MONOTHERAPY, </w:t>
      </w:r>
      <w:proofErr w:type="spellStart"/>
      <w:r w:rsidR="0024329F" w:rsidRPr="005539E0">
        <w:rPr>
          <w:bCs w:val="0"/>
          <w:iCs w:val="0"/>
          <w:lang w:val="en-GB"/>
        </w:rPr>
        <w:t>upadacitinib</w:t>
      </w:r>
      <w:proofErr w:type="spellEnd"/>
      <w:r w:rsidR="0024329F" w:rsidRPr="005539E0">
        <w:rPr>
          <w:bCs w:val="0"/>
          <w:iCs w:val="0"/>
          <w:lang w:val="en-GB"/>
        </w:rPr>
        <w:t xml:space="preserve"> alone showed a statistically significant improvement in ACR20 at 12</w:t>
      </w:r>
      <w:r w:rsidR="005B2FBD">
        <w:rPr>
          <w:lang w:val="en-GB"/>
        </w:rPr>
        <w:t> </w:t>
      </w:r>
      <w:r w:rsidR="0024329F" w:rsidRPr="005539E0">
        <w:rPr>
          <w:bCs w:val="0"/>
          <w:iCs w:val="0"/>
          <w:lang w:val="en-GB"/>
        </w:rPr>
        <w:t xml:space="preserve">weeks compared </w:t>
      </w:r>
      <w:r w:rsidR="005B2FBD">
        <w:rPr>
          <w:lang w:val="en-GB"/>
        </w:rPr>
        <w:t>with</w:t>
      </w:r>
      <w:r w:rsidR="0024329F" w:rsidRPr="005539E0">
        <w:rPr>
          <w:bCs w:val="0"/>
          <w:iCs w:val="0"/>
          <w:lang w:val="en-GB"/>
        </w:rPr>
        <w:t xml:space="preserve"> methotrexate alone (</w:t>
      </w:r>
      <w:proofErr w:type="spellStart"/>
      <w:r w:rsidR="00B0283E" w:rsidRPr="005539E0">
        <w:rPr>
          <w:bCs w:val="0"/>
          <w:iCs w:val="0"/>
          <w:lang w:val="en-GB"/>
        </w:rPr>
        <w:t>upadacitinib</w:t>
      </w:r>
      <w:proofErr w:type="spellEnd"/>
      <w:r w:rsidR="00B0283E" w:rsidRPr="005539E0">
        <w:rPr>
          <w:bCs w:val="0"/>
          <w:iCs w:val="0"/>
          <w:lang w:val="en-GB"/>
        </w:rPr>
        <w:t xml:space="preserve"> 68%, MTX 41%, p≤0.001).</w:t>
      </w:r>
      <w:r w:rsidR="00A66335">
        <w:rPr>
          <w:lang w:val="en-GB"/>
        </w:rPr>
        <w:t xml:space="preserve"> </w:t>
      </w:r>
      <w:r w:rsidR="004739BA" w:rsidRPr="005539E0">
        <w:rPr>
          <w:lang w:val="en-GB"/>
        </w:rPr>
        <w:t>T</w:t>
      </w:r>
      <w:r w:rsidR="001C064B" w:rsidRPr="005539E0">
        <w:rPr>
          <w:lang w:val="en-GB"/>
        </w:rPr>
        <w:t xml:space="preserve">he committee </w:t>
      </w:r>
      <w:r w:rsidR="004739BA" w:rsidRPr="005539E0">
        <w:rPr>
          <w:lang w:val="en-GB"/>
        </w:rPr>
        <w:t xml:space="preserve">also </w:t>
      </w:r>
      <w:r w:rsidR="001C064B" w:rsidRPr="005539E0">
        <w:rPr>
          <w:lang w:val="en-GB"/>
        </w:rPr>
        <w:t>noted that the</w:t>
      </w:r>
      <w:r w:rsidR="001606C3">
        <w:rPr>
          <w:lang w:val="en-GB"/>
        </w:rPr>
        <w:t xml:space="preserve"> ERG and company considered that the</w:t>
      </w:r>
      <w:r w:rsidR="001C064B" w:rsidRPr="005539E0">
        <w:rPr>
          <w:lang w:val="en-GB"/>
        </w:rPr>
        <w:t xml:space="preserve"> </w:t>
      </w:r>
      <w:r w:rsidR="004739BA" w:rsidRPr="005539E0">
        <w:rPr>
          <w:lang w:val="en-GB"/>
        </w:rPr>
        <w:t xml:space="preserve">safety profile for </w:t>
      </w:r>
      <w:proofErr w:type="spellStart"/>
      <w:r w:rsidR="004739BA" w:rsidRPr="005539E0">
        <w:rPr>
          <w:lang w:val="en-GB"/>
        </w:rPr>
        <w:t>upadac</w:t>
      </w:r>
      <w:r w:rsidR="007E683B">
        <w:rPr>
          <w:lang w:val="en-GB"/>
        </w:rPr>
        <w:t>i</w:t>
      </w:r>
      <w:r w:rsidR="004739BA" w:rsidRPr="005539E0">
        <w:rPr>
          <w:lang w:val="en-GB"/>
        </w:rPr>
        <w:t>tinib</w:t>
      </w:r>
      <w:proofErr w:type="spellEnd"/>
      <w:r w:rsidR="004739BA" w:rsidRPr="005539E0">
        <w:rPr>
          <w:lang w:val="en-GB"/>
        </w:rPr>
        <w:t xml:space="preserve"> was </w:t>
      </w:r>
      <w:proofErr w:type="gramStart"/>
      <w:r w:rsidR="004739BA" w:rsidRPr="005539E0">
        <w:rPr>
          <w:lang w:val="en-GB"/>
        </w:rPr>
        <w:t>similar to</w:t>
      </w:r>
      <w:proofErr w:type="gramEnd"/>
      <w:r w:rsidR="004739BA" w:rsidRPr="005539E0">
        <w:rPr>
          <w:lang w:val="en-GB"/>
        </w:rPr>
        <w:t xml:space="preserve"> other biological DMARDs. </w:t>
      </w:r>
      <w:r w:rsidRPr="005539E0">
        <w:rPr>
          <w:lang w:val="en-GB"/>
        </w:rPr>
        <w:t xml:space="preserve">The committee concluded that </w:t>
      </w:r>
      <w:proofErr w:type="spellStart"/>
      <w:r w:rsidRPr="005539E0">
        <w:rPr>
          <w:lang w:val="en-GB"/>
        </w:rPr>
        <w:t>upadacitinib</w:t>
      </w:r>
      <w:proofErr w:type="spellEnd"/>
      <w:r w:rsidRPr="005539E0">
        <w:rPr>
          <w:lang w:val="en-GB"/>
        </w:rPr>
        <w:t xml:space="preserve"> </w:t>
      </w:r>
      <w:r w:rsidR="00F678C3">
        <w:rPr>
          <w:lang w:val="en-GB"/>
        </w:rPr>
        <w:t>with</w:t>
      </w:r>
      <w:r w:rsidRPr="005539E0">
        <w:rPr>
          <w:lang w:val="en-GB"/>
        </w:rPr>
        <w:t xml:space="preserve"> methotrexate </w:t>
      </w:r>
      <w:r w:rsidR="00D667CA">
        <w:rPr>
          <w:lang w:val="en-GB"/>
        </w:rPr>
        <w:t>wa</w:t>
      </w:r>
      <w:r w:rsidRPr="005539E0">
        <w:rPr>
          <w:lang w:val="en-GB"/>
        </w:rPr>
        <w:t>s more clinically effective than adalimumab</w:t>
      </w:r>
      <w:r w:rsidR="0024329F" w:rsidRPr="005539E0">
        <w:rPr>
          <w:lang w:val="en-GB"/>
        </w:rPr>
        <w:t>,</w:t>
      </w:r>
      <w:r w:rsidRPr="005539E0">
        <w:rPr>
          <w:lang w:val="en-GB"/>
        </w:rPr>
        <w:t xml:space="preserve"> placebo </w:t>
      </w:r>
      <w:r w:rsidR="00DD6AD6">
        <w:rPr>
          <w:lang w:val="en-GB"/>
        </w:rPr>
        <w:t>with</w:t>
      </w:r>
      <w:r w:rsidRPr="005539E0">
        <w:rPr>
          <w:lang w:val="en-GB"/>
        </w:rPr>
        <w:t xml:space="preserve"> methotrexate </w:t>
      </w:r>
      <w:r w:rsidR="0024329F" w:rsidRPr="005539E0">
        <w:rPr>
          <w:lang w:val="en-GB"/>
        </w:rPr>
        <w:t xml:space="preserve">or placebo </w:t>
      </w:r>
      <w:r w:rsidR="00E757E7">
        <w:rPr>
          <w:lang w:val="en-GB"/>
        </w:rPr>
        <w:t>with</w:t>
      </w:r>
      <w:r w:rsidR="0024329F" w:rsidRPr="005539E0">
        <w:rPr>
          <w:lang w:val="en-GB"/>
        </w:rPr>
        <w:t xml:space="preserve"> conventional DMARDs</w:t>
      </w:r>
      <w:r w:rsidR="008F0BD2">
        <w:rPr>
          <w:lang w:val="en-GB"/>
        </w:rPr>
        <w:t>.</w:t>
      </w:r>
      <w:r w:rsidR="0024329F" w:rsidRPr="005539E0">
        <w:rPr>
          <w:lang w:val="en-GB"/>
        </w:rPr>
        <w:t xml:space="preserve"> </w:t>
      </w:r>
      <w:r w:rsidR="008F0BD2">
        <w:rPr>
          <w:lang w:val="en-GB"/>
        </w:rPr>
        <w:t>Also,</w:t>
      </w:r>
      <w:r w:rsidRPr="005539E0">
        <w:rPr>
          <w:lang w:val="en-GB"/>
        </w:rPr>
        <w:t xml:space="preserve"> </w:t>
      </w:r>
      <w:proofErr w:type="spellStart"/>
      <w:r w:rsidRPr="005539E0">
        <w:rPr>
          <w:lang w:val="en-GB"/>
        </w:rPr>
        <w:t>upadacitinib</w:t>
      </w:r>
      <w:proofErr w:type="spellEnd"/>
      <w:r w:rsidRPr="005539E0">
        <w:rPr>
          <w:lang w:val="en-GB"/>
        </w:rPr>
        <w:t xml:space="preserve"> alone </w:t>
      </w:r>
      <w:r w:rsidR="00CC6088">
        <w:rPr>
          <w:lang w:val="en-GB"/>
        </w:rPr>
        <w:t>wa</w:t>
      </w:r>
      <w:r w:rsidRPr="005539E0">
        <w:rPr>
          <w:lang w:val="en-GB"/>
        </w:rPr>
        <w:t xml:space="preserve">s more clinically effective than methotrexate for moderate to severe rheumatoid arthritis </w:t>
      </w:r>
      <w:r w:rsidR="007236E0">
        <w:rPr>
          <w:lang w:val="en-GB"/>
        </w:rPr>
        <w:t>that</w:t>
      </w:r>
      <w:r w:rsidRPr="005539E0">
        <w:rPr>
          <w:lang w:val="en-GB"/>
        </w:rPr>
        <w:t xml:space="preserve"> ha</w:t>
      </w:r>
      <w:r w:rsidR="00D95F36">
        <w:rPr>
          <w:lang w:val="en-GB"/>
        </w:rPr>
        <w:t>d</w:t>
      </w:r>
      <w:r w:rsidRPr="005539E0">
        <w:rPr>
          <w:lang w:val="en-GB"/>
        </w:rPr>
        <w:t xml:space="preserve"> responded inadequately to conventional DMARDs</w:t>
      </w:r>
      <w:r w:rsidR="0078061D">
        <w:rPr>
          <w:lang w:val="en-GB"/>
        </w:rPr>
        <w:t>.</w:t>
      </w:r>
    </w:p>
    <w:p w14:paraId="5E3B4EFA" w14:textId="7BFA670D" w:rsidR="009B045B" w:rsidRPr="005539E0" w:rsidRDefault="0032130F" w:rsidP="009B045B">
      <w:pPr>
        <w:pStyle w:val="Heading3"/>
      </w:pPr>
      <w:bookmarkStart w:id="7" w:name="_Hlk29819576"/>
      <w:r>
        <w:t xml:space="preserve">The trials show </w:t>
      </w:r>
      <w:proofErr w:type="spellStart"/>
      <w:r>
        <w:t>u</w:t>
      </w:r>
      <w:r w:rsidR="009B045B" w:rsidRPr="005539E0">
        <w:t>padacitinib</w:t>
      </w:r>
      <w:proofErr w:type="spellEnd"/>
      <w:r w:rsidR="009B045B" w:rsidRPr="005539E0">
        <w:t xml:space="preserve"> </w:t>
      </w:r>
      <w:r w:rsidR="002E100F" w:rsidRPr="005539E0">
        <w:t xml:space="preserve">is more clinically effective than </w:t>
      </w:r>
      <w:r w:rsidR="00CC5F09">
        <w:t>p</w:t>
      </w:r>
      <w:r w:rsidR="002E100F" w:rsidRPr="001606C3">
        <w:t xml:space="preserve">lacebo for moderate to severe rheumatoid arthritis </w:t>
      </w:r>
      <w:r w:rsidR="00CC5F09">
        <w:t>that</w:t>
      </w:r>
      <w:r w:rsidR="002E100F" w:rsidRPr="001606C3">
        <w:t xml:space="preserve"> has responded inadequately to biological DMARDs</w:t>
      </w:r>
    </w:p>
    <w:bookmarkEnd w:id="7"/>
    <w:p w14:paraId="0B1FB2E5" w14:textId="032A8D11" w:rsidR="009B045B" w:rsidRPr="005539E0" w:rsidRDefault="00A57D1A" w:rsidP="00D32448">
      <w:pPr>
        <w:pStyle w:val="Numberedlevel2text"/>
        <w:numPr>
          <w:ilvl w:val="1"/>
          <w:numId w:val="1"/>
        </w:numPr>
        <w:rPr>
          <w:lang w:val="en-GB"/>
        </w:rPr>
      </w:pPr>
      <w:r w:rsidRPr="005539E0">
        <w:rPr>
          <w:lang w:val="en-GB"/>
        </w:rPr>
        <w:t>In</w:t>
      </w:r>
      <w:r w:rsidR="00B849F5" w:rsidRPr="005539E0">
        <w:rPr>
          <w:lang w:val="en-GB"/>
        </w:rPr>
        <w:t xml:space="preserve"> </w:t>
      </w:r>
      <w:r w:rsidR="009B045B" w:rsidRPr="005539E0">
        <w:rPr>
          <w:lang w:val="en-GB"/>
        </w:rPr>
        <w:t>SELECT-BEYOND</w:t>
      </w:r>
      <w:r w:rsidR="002E100F" w:rsidRPr="005539E0">
        <w:rPr>
          <w:lang w:val="en-GB"/>
        </w:rPr>
        <w:t xml:space="preserve">, </w:t>
      </w:r>
      <w:proofErr w:type="spellStart"/>
      <w:r w:rsidR="00575257">
        <w:rPr>
          <w:lang w:val="en-GB"/>
        </w:rPr>
        <w:t>u</w:t>
      </w:r>
      <w:r w:rsidR="002E100F" w:rsidRPr="005539E0">
        <w:rPr>
          <w:lang w:val="en-GB"/>
        </w:rPr>
        <w:t>padacitinib</w:t>
      </w:r>
      <w:proofErr w:type="spellEnd"/>
      <w:r w:rsidR="002E100F" w:rsidRPr="005539E0">
        <w:rPr>
          <w:lang w:val="en-GB"/>
        </w:rPr>
        <w:t xml:space="preserve"> with conventional DMARDs showed a statistically significant improvement in ACR20 at 12</w:t>
      </w:r>
      <w:r w:rsidR="00332894">
        <w:rPr>
          <w:lang w:val="en-GB"/>
        </w:rPr>
        <w:t> </w:t>
      </w:r>
      <w:r w:rsidR="002E100F" w:rsidRPr="005539E0">
        <w:rPr>
          <w:lang w:val="en-GB"/>
        </w:rPr>
        <w:t xml:space="preserve">weeks compared </w:t>
      </w:r>
      <w:r w:rsidR="00332894">
        <w:rPr>
          <w:lang w:val="en-GB"/>
        </w:rPr>
        <w:t>with</w:t>
      </w:r>
      <w:r w:rsidR="002E100F" w:rsidRPr="005539E0">
        <w:rPr>
          <w:lang w:val="en-GB"/>
        </w:rPr>
        <w:t xml:space="preserve"> placebo with conventional DMARDs </w:t>
      </w:r>
      <w:r w:rsidR="00060BB5">
        <w:rPr>
          <w:lang w:val="en-GB"/>
        </w:rPr>
        <w:t>(</w:t>
      </w:r>
      <w:proofErr w:type="spellStart"/>
      <w:r w:rsidR="00000A84">
        <w:rPr>
          <w:lang w:val="en-GB"/>
        </w:rPr>
        <w:t>u</w:t>
      </w:r>
      <w:r w:rsidR="002E100F" w:rsidRPr="005539E0">
        <w:rPr>
          <w:lang w:val="en-GB"/>
        </w:rPr>
        <w:t>padacitinib</w:t>
      </w:r>
      <w:proofErr w:type="spellEnd"/>
      <w:r w:rsidR="00B0283E" w:rsidRPr="005539E0">
        <w:rPr>
          <w:lang w:val="en-GB"/>
        </w:rPr>
        <w:t xml:space="preserve"> 65%, placebo 28%, p≤0.001</w:t>
      </w:r>
      <w:r w:rsidR="00060BB5">
        <w:rPr>
          <w:lang w:val="en-GB"/>
        </w:rPr>
        <w:t>)</w:t>
      </w:r>
      <w:r w:rsidR="002E100F" w:rsidRPr="005539E0">
        <w:rPr>
          <w:lang w:val="en-GB"/>
        </w:rPr>
        <w:t xml:space="preserve">. </w:t>
      </w:r>
      <w:r w:rsidR="00CE4DD0">
        <w:rPr>
          <w:lang w:val="en-GB"/>
        </w:rPr>
        <w:t>The c</w:t>
      </w:r>
      <w:r w:rsidR="002E100F" w:rsidRPr="005539E0">
        <w:rPr>
          <w:lang w:val="en-GB"/>
        </w:rPr>
        <w:t xml:space="preserve">ommittee concluded that </w:t>
      </w:r>
      <w:proofErr w:type="spellStart"/>
      <w:r w:rsidR="002E100F" w:rsidRPr="005539E0">
        <w:rPr>
          <w:lang w:val="en-GB"/>
        </w:rPr>
        <w:t>upadacitinib</w:t>
      </w:r>
      <w:proofErr w:type="spellEnd"/>
      <w:r w:rsidR="002E100F" w:rsidRPr="005539E0">
        <w:rPr>
          <w:lang w:val="en-GB"/>
        </w:rPr>
        <w:t xml:space="preserve"> </w:t>
      </w:r>
      <w:r w:rsidR="001736E0">
        <w:rPr>
          <w:lang w:val="en-GB"/>
        </w:rPr>
        <w:t>with</w:t>
      </w:r>
      <w:r w:rsidR="002E100F" w:rsidRPr="005539E0">
        <w:rPr>
          <w:lang w:val="en-GB"/>
        </w:rPr>
        <w:t xml:space="preserve"> conventional DMARDs </w:t>
      </w:r>
      <w:r w:rsidR="000A5DB1">
        <w:rPr>
          <w:lang w:val="en-GB"/>
        </w:rPr>
        <w:t>wa</w:t>
      </w:r>
      <w:r w:rsidR="002E100F" w:rsidRPr="005539E0">
        <w:rPr>
          <w:lang w:val="en-GB"/>
        </w:rPr>
        <w:t xml:space="preserve">s more clinically effective than </w:t>
      </w:r>
      <w:r w:rsidR="001736E0">
        <w:rPr>
          <w:lang w:val="en-GB"/>
        </w:rPr>
        <w:t>p</w:t>
      </w:r>
      <w:r w:rsidR="002E100F" w:rsidRPr="005539E0">
        <w:rPr>
          <w:lang w:val="en-GB"/>
        </w:rPr>
        <w:t xml:space="preserve">lacebo </w:t>
      </w:r>
      <w:r w:rsidR="001736E0">
        <w:rPr>
          <w:lang w:val="en-GB"/>
        </w:rPr>
        <w:t>with</w:t>
      </w:r>
      <w:r w:rsidR="002E100F" w:rsidRPr="005539E0">
        <w:rPr>
          <w:lang w:val="en-GB"/>
        </w:rPr>
        <w:t xml:space="preserve"> conventional DMARDs for moderate to severe rheumatoid arthritis </w:t>
      </w:r>
      <w:r w:rsidR="002E3923">
        <w:rPr>
          <w:lang w:val="en-GB"/>
        </w:rPr>
        <w:t>that</w:t>
      </w:r>
      <w:r w:rsidR="002E100F" w:rsidRPr="005539E0">
        <w:rPr>
          <w:lang w:val="en-GB"/>
        </w:rPr>
        <w:t xml:space="preserve"> ha</w:t>
      </w:r>
      <w:r w:rsidR="00185C99">
        <w:rPr>
          <w:lang w:val="en-GB"/>
        </w:rPr>
        <w:t>d</w:t>
      </w:r>
      <w:r w:rsidR="002E100F" w:rsidRPr="005539E0">
        <w:rPr>
          <w:lang w:val="en-GB"/>
        </w:rPr>
        <w:t xml:space="preserve"> responded inadequately to biological DMARDs.</w:t>
      </w:r>
    </w:p>
    <w:p w14:paraId="0DA005C2" w14:textId="77777777" w:rsidR="007B1606" w:rsidRPr="00BF04A4" w:rsidRDefault="007B1606" w:rsidP="007B1606">
      <w:pPr>
        <w:pStyle w:val="Heading2"/>
      </w:pPr>
      <w:r w:rsidRPr="00733124">
        <w:lastRenderedPageBreak/>
        <w:t xml:space="preserve">Indirect comparison </w:t>
      </w:r>
    </w:p>
    <w:p w14:paraId="4F09A470" w14:textId="62C7C13A" w:rsidR="00C14393" w:rsidRPr="00BE3BE7" w:rsidRDefault="007B1606" w:rsidP="007B1606">
      <w:pPr>
        <w:pStyle w:val="Heading3"/>
      </w:pPr>
      <w:r w:rsidRPr="00260064">
        <w:t xml:space="preserve">Network meta-analyses show </w:t>
      </w:r>
      <w:r w:rsidRPr="0035762B">
        <w:t>t</w:t>
      </w:r>
      <w:r w:rsidRPr="00DD05BD">
        <w:t xml:space="preserve">hat </w:t>
      </w:r>
      <w:proofErr w:type="spellStart"/>
      <w:r w:rsidRPr="00DD05BD">
        <w:t>upadacitinib</w:t>
      </w:r>
      <w:proofErr w:type="spellEnd"/>
      <w:r w:rsidRPr="00DD05BD">
        <w:t xml:space="preserve"> </w:t>
      </w:r>
      <w:r w:rsidR="00975436" w:rsidRPr="00BE3BE7">
        <w:t xml:space="preserve">with conventional DMARDs or alone </w:t>
      </w:r>
      <w:r w:rsidRPr="00BE3BE7">
        <w:t>works as well as biological DMARDs</w:t>
      </w:r>
    </w:p>
    <w:p w14:paraId="18451D83" w14:textId="16AF7A2F" w:rsidR="00D67A7E" w:rsidRPr="005539E0" w:rsidRDefault="00BF04A4" w:rsidP="00D67A7E">
      <w:pPr>
        <w:pStyle w:val="Numberedlevel2text"/>
        <w:numPr>
          <w:ilvl w:val="1"/>
          <w:numId w:val="1"/>
        </w:numPr>
        <w:rPr>
          <w:lang w:val="en-GB"/>
        </w:rPr>
      </w:pPr>
      <w:r>
        <w:rPr>
          <w:lang w:val="en-GB"/>
        </w:rPr>
        <w:t>O</w:t>
      </w:r>
      <w:r w:rsidR="00D67A7E" w:rsidRPr="005539E0">
        <w:rPr>
          <w:lang w:val="en-GB"/>
        </w:rPr>
        <w:t>ther than the direct comparison with adalimumab</w:t>
      </w:r>
      <w:r>
        <w:rPr>
          <w:lang w:val="en-GB"/>
        </w:rPr>
        <w:t>,</w:t>
      </w:r>
      <w:r w:rsidR="00D67A7E" w:rsidRPr="005539E0">
        <w:rPr>
          <w:lang w:val="en-GB"/>
        </w:rPr>
        <w:t xml:space="preserve"> </w:t>
      </w:r>
      <w:r w:rsidR="001400F0">
        <w:rPr>
          <w:lang w:val="en-GB"/>
        </w:rPr>
        <w:t>there was no other</w:t>
      </w:r>
      <w:r w:rsidR="00D67A7E" w:rsidRPr="005539E0">
        <w:rPr>
          <w:lang w:val="en-GB"/>
        </w:rPr>
        <w:t xml:space="preserve"> comparative </w:t>
      </w:r>
      <w:r w:rsidR="00834E7C">
        <w:rPr>
          <w:lang w:val="en-GB"/>
        </w:rPr>
        <w:t>trial evidence</w:t>
      </w:r>
      <w:r w:rsidR="00834E7C" w:rsidRPr="005539E0">
        <w:rPr>
          <w:lang w:val="en-GB"/>
        </w:rPr>
        <w:t xml:space="preserve"> </w:t>
      </w:r>
      <w:r w:rsidR="00D67A7E" w:rsidRPr="005539E0">
        <w:rPr>
          <w:lang w:val="en-GB"/>
        </w:rPr>
        <w:t xml:space="preserve">of </w:t>
      </w:r>
      <w:proofErr w:type="spellStart"/>
      <w:r w:rsidR="00D67A7E" w:rsidRPr="005539E0">
        <w:rPr>
          <w:lang w:val="en-GB"/>
        </w:rPr>
        <w:t>upadacitinib</w:t>
      </w:r>
      <w:proofErr w:type="spellEnd"/>
      <w:r w:rsidR="00D67A7E" w:rsidRPr="005539E0">
        <w:rPr>
          <w:lang w:val="en-GB"/>
        </w:rPr>
        <w:t xml:space="preserve"> </w:t>
      </w:r>
      <w:r w:rsidR="001400F0">
        <w:rPr>
          <w:lang w:val="en-GB"/>
        </w:rPr>
        <w:t xml:space="preserve">compared with </w:t>
      </w:r>
      <w:r w:rsidR="00D67A7E" w:rsidRPr="005539E0">
        <w:rPr>
          <w:lang w:val="en-GB"/>
        </w:rPr>
        <w:t>biological DMARDs</w:t>
      </w:r>
      <w:r w:rsidR="00834E7C">
        <w:rPr>
          <w:lang w:val="en-GB"/>
        </w:rPr>
        <w:t>. To compare with other biological DMARD</w:t>
      </w:r>
      <w:r w:rsidR="00416039">
        <w:rPr>
          <w:lang w:val="en-GB"/>
        </w:rPr>
        <w:t>s</w:t>
      </w:r>
      <w:r w:rsidR="00834E7C">
        <w:rPr>
          <w:lang w:val="en-GB"/>
        </w:rPr>
        <w:t xml:space="preserve">, the company did a </w:t>
      </w:r>
      <w:r w:rsidR="00D67A7E" w:rsidRPr="005539E0">
        <w:rPr>
          <w:lang w:val="en-GB"/>
        </w:rPr>
        <w:t>network meta-analys</w:t>
      </w:r>
      <w:r w:rsidR="00A863F0">
        <w:rPr>
          <w:lang w:val="en-GB"/>
        </w:rPr>
        <w:t>i</w:t>
      </w:r>
      <w:r w:rsidR="00D67A7E" w:rsidRPr="005539E0">
        <w:rPr>
          <w:lang w:val="en-GB"/>
        </w:rPr>
        <w:t>s. The company did separate analyses for patients whose disease responded inadequately to either conventional or biological</w:t>
      </w:r>
      <w:r w:rsidR="004A02FD">
        <w:rPr>
          <w:lang w:val="en-GB"/>
        </w:rPr>
        <w:t xml:space="preserve"> </w:t>
      </w:r>
      <w:r w:rsidR="00D67A7E" w:rsidRPr="005539E0">
        <w:rPr>
          <w:lang w:val="en-GB"/>
        </w:rPr>
        <w:t xml:space="preserve">DMARDs. The company also </w:t>
      </w:r>
      <w:r w:rsidR="00610B3F">
        <w:rPr>
          <w:lang w:val="en-GB"/>
        </w:rPr>
        <w:t>changed</w:t>
      </w:r>
      <w:r w:rsidR="00D67A7E" w:rsidRPr="005539E0">
        <w:rPr>
          <w:lang w:val="en-GB"/>
        </w:rPr>
        <w:t xml:space="preserve"> ACR responses to EULAR responses to inform treatment</w:t>
      </w:r>
      <w:r w:rsidR="004A02FD">
        <w:rPr>
          <w:lang w:val="en-GB"/>
        </w:rPr>
        <w:t>-</w:t>
      </w:r>
      <w:r w:rsidR="00D67A7E" w:rsidRPr="005539E0">
        <w:rPr>
          <w:lang w:val="en-GB"/>
        </w:rPr>
        <w:t>effectiveness</w:t>
      </w:r>
      <w:r w:rsidR="00834E7C">
        <w:rPr>
          <w:lang w:val="en-GB"/>
        </w:rPr>
        <w:t xml:space="preserve"> estimates used</w:t>
      </w:r>
      <w:r w:rsidR="00D67A7E" w:rsidRPr="005539E0">
        <w:rPr>
          <w:lang w:val="en-GB"/>
        </w:rPr>
        <w:t xml:space="preserve"> in the economic model. </w:t>
      </w:r>
      <w:bookmarkStart w:id="8" w:name="_Hlk29804501"/>
      <w:r w:rsidR="00DE4F6D" w:rsidRPr="005539E0">
        <w:rPr>
          <w:lang w:val="en-GB"/>
        </w:rPr>
        <w:t>The company used 12</w:t>
      </w:r>
      <w:r w:rsidR="00A35EEA">
        <w:rPr>
          <w:lang w:val="en-GB"/>
        </w:rPr>
        <w:t xml:space="preserve">- to </w:t>
      </w:r>
      <w:r w:rsidR="00DE4F6D" w:rsidRPr="005539E0">
        <w:rPr>
          <w:lang w:val="en-GB"/>
        </w:rPr>
        <w:t>14-week data from the clinical trials to estimate EULAR response at week</w:t>
      </w:r>
      <w:r w:rsidR="00605B00">
        <w:rPr>
          <w:lang w:val="en-GB"/>
        </w:rPr>
        <w:t> </w:t>
      </w:r>
      <w:r w:rsidR="00DE4F6D" w:rsidRPr="005539E0">
        <w:rPr>
          <w:lang w:val="en-GB"/>
        </w:rPr>
        <w:t xml:space="preserve">24. </w:t>
      </w:r>
      <w:r w:rsidR="00537E0B" w:rsidRPr="005539E0">
        <w:rPr>
          <w:lang w:val="en-GB"/>
        </w:rPr>
        <w:t xml:space="preserve">For </w:t>
      </w:r>
      <w:r w:rsidR="00D67A7E" w:rsidRPr="005539E0">
        <w:rPr>
          <w:lang w:val="en-GB"/>
        </w:rPr>
        <w:t xml:space="preserve">those whose disease responded inadequately to conventional DMARDs, the network meta-analyses </w:t>
      </w:r>
      <w:r w:rsidR="00537E0B" w:rsidRPr="005539E0">
        <w:rPr>
          <w:lang w:val="en-GB"/>
        </w:rPr>
        <w:t>at week</w:t>
      </w:r>
      <w:r w:rsidR="00EC13EC">
        <w:rPr>
          <w:lang w:val="en-GB"/>
        </w:rPr>
        <w:t> </w:t>
      </w:r>
      <w:r w:rsidR="00537E0B" w:rsidRPr="005539E0">
        <w:rPr>
          <w:lang w:val="en-GB"/>
        </w:rPr>
        <w:t xml:space="preserve">24 </w:t>
      </w:r>
      <w:r w:rsidR="00D67A7E" w:rsidRPr="005539E0">
        <w:rPr>
          <w:lang w:val="en-GB"/>
        </w:rPr>
        <w:t>showed</w:t>
      </w:r>
      <w:r w:rsidR="00834E7C">
        <w:rPr>
          <w:lang w:val="en-GB"/>
        </w:rPr>
        <w:t xml:space="preserve"> that</w:t>
      </w:r>
      <w:r w:rsidR="00D67A7E" w:rsidRPr="005539E0">
        <w:rPr>
          <w:lang w:val="en-GB"/>
        </w:rPr>
        <w:t>:</w:t>
      </w:r>
    </w:p>
    <w:bookmarkEnd w:id="8"/>
    <w:p w14:paraId="2E89E52F" w14:textId="4F37FDB5" w:rsidR="00D67A7E" w:rsidRPr="00260064" w:rsidRDefault="00D67A7E" w:rsidP="005539E0">
      <w:pPr>
        <w:pStyle w:val="Bulletindent1"/>
      </w:pPr>
      <w:proofErr w:type="spellStart"/>
      <w:r w:rsidRPr="005539E0">
        <w:t>Upadacitinib</w:t>
      </w:r>
      <w:proofErr w:type="spellEnd"/>
      <w:r w:rsidRPr="005539E0">
        <w:t xml:space="preserve"> </w:t>
      </w:r>
      <w:r w:rsidR="009242F3">
        <w:t>with</w:t>
      </w:r>
      <w:r w:rsidR="000042C2" w:rsidRPr="005539E0">
        <w:t xml:space="preserve"> conventional DMARDs</w:t>
      </w:r>
      <w:r w:rsidRPr="005539E0">
        <w:t xml:space="preserve"> gave better </w:t>
      </w:r>
      <w:r w:rsidR="00CE3DFD" w:rsidRPr="005539E0">
        <w:t>EULAR</w:t>
      </w:r>
      <w:r w:rsidRPr="005539E0">
        <w:t xml:space="preserve"> response rates than conventional DMARDs alone.</w:t>
      </w:r>
    </w:p>
    <w:p w14:paraId="7B2A178F" w14:textId="51824A12" w:rsidR="00D67A7E" w:rsidRPr="00260064" w:rsidRDefault="000042C2" w:rsidP="005539E0">
      <w:pPr>
        <w:pStyle w:val="Bulletindent1"/>
      </w:pPr>
      <w:proofErr w:type="spellStart"/>
      <w:r w:rsidRPr="005539E0">
        <w:t>Upadacitinib</w:t>
      </w:r>
      <w:proofErr w:type="spellEnd"/>
      <w:r w:rsidRPr="005539E0">
        <w:t xml:space="preserve"> </w:t>
      </w:r>
      <w:r w:rsidR="00B87808">
        <w:t>with</w:t>
      </w:r>
      <w:r w:rsidRPr="005539E0">
        <w:t xml:space="preserve"> conventional DMARDs </w:t>
      </w:r>
      <w:r w:rsidR="00D67A7E" w:rsidRPr="005539E0">
        <w:t xml:space="preserve">gave similar </w:t>
      </w:r>
      <w:r w:rsidR="00CE3DFD" w:rsidRPr="005539E0">
        <w:t>EULAR</w:t>
      </w:r>
      <w:r w:rsidR="00D67A7E" w:rsidRPr="005539E0">
        <w:t xml:space="preserve"> response rates to biological DMARD</w:t>
      </w:r>
      <w:r w:rsidR="00025B35">
        <w:t>s</w:t>
      </w:r>
      <w:r w:rsidR="00D67A7E" w:rsidRPr="005539E0">
        <w:t xml:space="preserve"> </w:t>
      </w:r>
      <w:bookmarkStart w:id="9" w:name="_Hlk29816482"/>
      <w:r w:rsidR="007B21CE">
        <w:t>with</w:t>
      </w:r>
      <w:r w:rsidR="00D67A7E" w:rsidRPr="005539E0">
        <w:t xml:space="preserve"> conventional DMARDs</w:t>
      </w:r>
      <w:bookmarkEnd w:id="9"/>
      <w:r w:rsidR="00D67A7E" w:rsidRPr="005539E0">
        <w:t>.</w:t>
      </w:r>
    </w:p>
    <w:p w14:paraId="18D6C0D6" w14:textId="51DBE370" w:rsidR="00D67A7E" w:rsidRPr="00260064" w:rsidRDefault="00D67A7E" w:rsidP="005539E0">
      <w:pPr>
        <w:pStyle w:val="Bulletindent1"/>
      </w:pPr>
      <w:bookmarkStart w:id="10" w:name="_Hlk29804573"/>
      <w:proofErr w:type="spellStart"/>
      <w:r w:rsidRPr="005539E0">
        <w:t>Upadacitinib</w:t>
      </w:r>
      <w:proofErr w:type="spellEnd"/>
      <w:r w:rsidRPr="005539E0">
        <w:t xml:space="preserve"> </w:t>
      </w:r>
      <w:r w:rsidR="000042C2" w:rsidRPr="005539E0">
        <w:t xml:space="preserve">alone </w:t>
      </w:r>
      <w:r w:rsidRPr="005539E0">
        <w:t xml:space="preserve">gave better </w:t>
      </w:r>
      <w:r w:rsidR="00CE3DFD" w:rsidRPr="005539E0">
        <w:t>EULAR</w:t>
      </w:r>
      <w:r w:rsidRPr="005539E0">
        <w:t xml:space="preserve"> response rates than conventional DMARDs alone.</w:t>
      </w:r>
    </w:p>
    <w:p w14:paraId="01B09D33" w14:textId="47B63BA8" w:rsidR="00D67A7E" w:rsidRPr="00260064" w:rsidRDefault="00D67A7E" w:rsidP="005539E0">
      <w:pPr>
        <w:pStyle w:val="Bulletindent1last"/>
      </w:pPr>
      <w:proofErr w:type="spellStart"/>
      <w:r w:rsidRPr="005539E0">
        <w:t>Upadacitinib</w:t>
      </w:r>
      <w:proofErr w:type="spellEnd"/>
      <w:r w:rsidRPr="005539E0">
        <w:t xml:space="preserve"> </w:t>
      </w:r>
      <w:r w:rsidR="000042C2" w:rsidRPr="005539E0">
        <w:t xml:space="preserve">alone </w:t>
      </w:r>
      <w:r w:rsidRPr="005539E0">
        <w:t xml:space="preserve">gave similar </w:t>
      </w:r>
      <w:r w:rsidR="00CE3DFD" w:rsidRPr="005539E0">
        <w:t>EULAR</w:t>
      </w:r>
      <w:r w:rsidRPr="005539E0">
        <w:t xml:space="preserve"> response rates to biological DMARD</w:t>
      </w:r>
      <w:r w:rsidR="00473DE4" w:rsidRPr="005539E0">
        <w:t>s</w:t>
      </w:r>
      <w:r w:rsidRPr="005539E0">
        <w:t xml:space="preserve"> </w:t>
      </w:r>
      <w:r w:rsidR="00473DE4" w:rsidRPr="005539E0">
        <w:t>alone</w:t>
      </w:r>
      <w:r w:rsidRPr="005539E0">
        <w:t>.</w:t>
      </w:r>
    </w:p>
    <w:bookmarkEnd w:id="10"/>
    <w:p w14:paraId="6F8B5DA1" w14:textId="0E608430" w:rsidR="00D67A7E" w:rsidRPr="005539E0" w:rsidRDefault="00F505BD" w:rsidP="00D67A7E">
      <w:pPr>
        <w:pStyle w:val="Numberedlevel2text"/>
        <w:numPr>
          <w:ilvl w:val="0"/>
          <w:numId w:val="0"/>
        </w:numPr>
        <w:ind w:left="1134"/>
        <w:rPr>
          <w:lang w:val="en-GB"/>
        </w:rPr>
      </w:pPr>
      <w:r w:rsidRPr="005539E0">
        <w:rPr>
          <w:lang w:val="en-GB"/>
        </w:rPr>
        <w:t>F</w:t>
      </w:r>
      <w:r w:rsidR="00D67A7E" w:rsidRPr="005539E0">
        <w:rPr>
          <w:lang w:val="en-GB"/>
        </w:rPr>
        <w:t xml:space="preserve">or those whose disease responded inadequately to biological DMARDs, the </w:t>
      </w:r>
      <w:r w:rsidRPr="005539E0">
        <w:rPr>
          <w:lang w:val="en-GB"/>
        </w:rPr>
        <w:t xml:space="preserve">company’s </w:t>
      </w:r>
      <w:r w:rsidR="00D67A7E" w:rsidRPr="005539E0">
        <w:rPr>
          <w:lang w:val="en-GB"/>
        </w:rPr>
        <w:t xml:space="preserve">network meta-analyses </w:t>
      </w:r>
      <w:r w:rsidR="00537E0B" w:rsidRPr="005539E0">
        <w:rPr>
          <w:lang w:val="en-GB"/>
        </w:rPr>
        <w:t>at week</w:t>
      </w:r>
      <w:r w:rsidR="009F1231">
        <w:rPr>
          <w:lang w:val="en-GB"/>
        </w:rPr>
        <w:t> </w:t>
      </w:r>
      <w:r w:rsidR="00537E0B" w:rsidRPr="005539E0">
        <w:rPr>
          <w:lang w:val="en-GB"/>
        </w:rPr>
        <w:t xml:space="preserve">24 </w:t>
      </w:r>
      <w:r w:rsidR="00D67A7E" w:rsidRPr="005539E0">
        <w:rPr>
          <w:lang w:val="en-GB"/>
        </w:rPr>
        <w:t>showed:</w:t>
      </w:r>
    </w:p>
    <w:p w14:paraId="5093DADB" w14:textId="6A723237" w:rsidR="00D67A7E" w:rsidRPr="00260064" w:rsidRDefault="00D67A7E" w:rsidP="005539E0">
      <w:pPr>
        <w:pStyle w:val="Bulletindent1"/>
      </w:pPr>
      <w:proofErr w:type="spellStart"/>
      <w:r w:rsidRPr="005539E0">
        <w:t>Upadacitinib</w:t>
      </w:r>
      <w:proofErr w:type="spellEnd"/>
      <w:r w:rsidRPr="005539E0">
        <w:t xml:space="preserve"> </w:t>
      </w:r>
      <w:r w:rsidR="004D0EC7">
        <w:t>with</w:t>
      </w:r>
      <w:r w:rsidRPr="005539E0">
        <w:t xml:space="preserve"> conventional DMARDs gave similar </w:t>
      </w:r>
      <w:r w:rsidR="00CE3DFD" w:rsidRPr="005539E0">
        <w:t>EULAR</w:t>
      </w:r>
      <w:r w:rsidRPr="005539E0">
        <w:t xml:space="preserve"> response rates to biological DMARDs </w:t>
      </w:r>
      <w:r w:rsidR="00CE2FC7">
        <w:t>with</w:t>
      </w:r>
      <w:r w:rsidRPr="005539E0">
        <w:t xml:space="preserve"> conventional DMARDs.</w:t>
      </w:r>
    </w:p>
    <w:p w14:paraId="0C1032DE" w14:textId="71FE7619" w:rsidR="00EE06D6" w:rsidRPr="00260064" w:rsidRDefault="00D67A7E" w:rsidP="005539E0">
      <w:pPr>
        <w:pStyle w:val="Bulletindent1last"/>
      </w:pPr>
      <w:proofErr w:type="spellStart"/>
      <w:r w:rsidRPr="005539E0">
        <w:t>Upadacitinib</w:t>
      </w:r>
      <w:proofErr w:type="spellEnd"/>
      <w:r w:rsidRPr="005539E0">
        <w:t xml:space="preserve"> alone gave similar </w:t>
      </w:r>
      <w:r w:rsidR="00CE3DFD" w:rsidRPr="005539E0">
        <w:t>EULAR</w:t>
      </w:r>
      <w:r w:rsidRPr="005539E0">
        <w:t xml:space="preserve"> response rates to biological DMARDs alone.</w:t>
      </w:r>
    </w:p>
    <w:p w14:paraId="04ACBDEA" w14:textId="7AC6EC15" w:rsidR="00975436" w:rsidRPr="005539E0" w:rsidRDefault="009F1370" w:rsidP="00975436">
      <w:pPr>
        <w:pStyle w:val="Numberedlevel2text"/>
        <w:numPr>
          <w:ilvl w:val="0"/>
          <w:numId w:val="0"/>
        </w:numPr>
        <w:ind w:left="1134"/>
        <w:rPr>
          <w:lang w:val="en-GB"/>
        </w:rPr>
      </w:pPr>
      <w:r>
        <w:rPr>
          <w:lang w:val="en-GB"/>
        </w:rPr>
        <w:lastRenderedPageBreak/>
        <w:t>The c</w:t>
      </w:r>
      <w:r w:rsidR="00975436" w:rsidRPr="005539E0">
        <w:rPr>
          <w:lang w:val="en-GB"/>
        </w:rPr>
        <w:t>ommittee concluded that</w:t>
      </w:r>
      <w:r w:rsidR="00ED33C0">
        <w:rPr>
          <w:lang w:val="en-GB"/>
        </w:rPr>
        <w:t>,</w:t>
      </w:r>
      <w:r w:rsidR="00975436" w:rsidRPr="005539E0">
        <w:rPr>
          <w:lang w:val="en-GB"/>
        </w:rPr>
        <w:t xml:space="preserve"> </w:t>
      </w:r>
      <w:r w:rsidR="00834E7C">
        <w:rPr>
          <w:lang w:val="en-GB"/>
        </w:rPr>
        <w:t xml:space="preserve">although there was limited direct trial evidence, </w:t>
      </w:r>
      <w:proofErr w:type="spellStart"/>
      <w:r w:rsidR="00975436" w:rsidRPr="005539E0">
        <w:rPr>
          <w:lang w:val="en-GB"/>
        </w:rPr>
        <w:t>upadacitinib</w:t>
      </w:r>
      <w:proofErr w:type="spellEnd"/>
      <w:r w:rsidR="00975436" w:rsidRPr="005539E0">
        <w:rPr>
          <w:lang w:val="en-GB"/>
        </w:rPr>
        <w:t xml:space="preserve"> with conventional DMARDs or alone works as well as</w:t>
      </w:r>
      <w:r w:rsidR="000276A3">
        <w:rPr>
          <w:lang w:val="en-GB"/>
        </w:rPr>
        <w:t xml:space="preserve"> other</w:t>
      </w:r>
      <w:r w:rsidR="00975436" w:rsidRPr="005539E0">
        <w:rPr>
          <w:lang w:val="en-GB"/>
        </w:rPr>
        <w:t xml:space="preserve"> biological DMARDs</w:t>
      </w:r>
      <w:r w:rsidR="0090747E">
        <w:rPr>
          <w:lang w:val="en-GB"/>
        </w:rPr>
        <w:t>.</w:t>
      </w:r>
    </w:p>
    <w:p w14:paraId="647C2651" w14:textId="77777777" w:rsidR="00217185" w:rsidRPr="00BF04A4" w:rsidRDefault="00023EF2" w:rsidP="00023EF2">
      <w:pPr>
        <w:pStyle w:val="Heading2"/>
      </w:pPr>
      <w:r w:rsidRPr="00733124">
        <w:t xml:space="preserve">Positioning of </w:t>
      </w:r>
      <w:proofErr w:type="spellStart"/>
      <w:r w:rsidRPr="00733124">
        <w:t>upadacitinib</w:t>
      </w:r>
      <w:proofErr w:type="spellEnd"/>
      <w:r w:rsidRPr="00733124">
        <w:t xml:space="preserve"> in the treatment pathway</w:t>
      </w:r>
    </w:p>
    <w:p w14:paraId="09D6F00F" w14:textId="46EC4344" w:rsidR="00217185" w:rsidRPr="00DD05BD" w:rsidRDefault="00217185" w:rsidP="004362C3">
      <w:pPr>
        <w:pStyle w:val="Heading3"/>
      </w:pPr>
      <w:r w:rsidRPr="00260064">
        <w:t xml:space="preserve">In moderate disease, the preferred position of </w:t>
      </w:r>
      <w:proofErr w:type="spellStart"/>
      <w:r w:rsidRPr="00260064">
        <w:t>upadacitinib</w:t>
      </w:r>
      <w:proofErr w:type="spellEnd"/>
      <w:r w:rsidRPr="00260064">
        <w:t xml:space="preserve"> is after 2 or more conventional DMARDs</w:t>
      </w:r>
    </w:p>
    <w:p w14:paraId="15C421E1" w14:textId="6B7DBCF3" w:rsidR="00837F6D" w:rsidRPr="005539E0" w:rsidRDefault="00837F6D" w:rsidP="0062332C">
      <w:pPr>
        <w:pStyle w:val="Numberedlevel2text"/>
        <w:rPr>
          <w:lang w:val="en-GB"/>
        </w:rPr>
      </w:pPr>
      <w:bookmarkStart w:id="11" w:name="_Ref29461890"/>
      <w:r w:rsidRPr="005539E0">
        <w:rPr>
          <w:lang w:val="en-GB"/>
        </w:rPr>
        <w:t xml:space="preserve">The company presented results for </w:t>
      </w:r>
      <w:proofErr w:type="spellStart"/>
      <w:r w:rsidRPr="005539E0">
        <w:rPr>
          <w:lang w:val="en-GB"/>
        </w:rPr>
        <w:t>upadacitinib</w:t>
      </w:r>
      <w:proofErr w:type="spellEnd"/>
      <w:r w:rsidRPr="005539E0">
        <w:rPr>
          <w:lang w:val="en-GB"/>
        </w:rPr>
        <w:t xml:space="preserve"> at </w:t>
      </w:r>
      <w:r w:rsidR="00AD7E02" w:rsidRPr="00733124">
        <w:rPr>
          <w:lang w:val="en-GB"/>
        </w:rPr>
        <w:t>2</w:t>
      </w:r>
      <w:r w:rsidR="00AD7E02" w:rsidRPr="005539E0">
        <w:rPr>
          <w:lang w:val="en-GB"/>
        </w:rPr>
        <w:t xml:space="preserve"> </w:t>
      </w:r>
      <w:r w:rsidR="00573CCA">
        <w:rPr>
          <w:lang w:val="en-GB"/>
        </w:rPr>
        <w:t xml:space="preserve">places in the </w:t>
      </w:r>
      <w:r w:rsidRPr="005539E0">
        <w:rPr>
          <w:lang w:val="en-GB"/>
        </w:rPr>
        <w:t>moderate rheumatoid arthritis</w:t>
      </w:r>
      <w:r w:rsidR="00573CCA">
        <w:rPr>
          <w:lang w:val="en-GB"/>
        </w:rPr>
        <w:t xml:space="preserve"> </w:t>
      </w:r>
      <w:r w:rsidR="00243F76">
        <w:rPr>
          <w:lang w:val="en-GB"/>
        </w:rPr>
        <w:t xml:space="preserve">treatment </w:t>
      </w:r>
      <w:r w:rsidR="00573CCA">
        <w:rPr>
          <w:lang w:val="en-GB"/>
        </w:rPr>
        <w:t>pathway</w:t>
      </w:r>
      <w:r w:rsidR="00AD7E02" w:rsidRPr="00733124">
        <w:rPr>
          <w:lang w:val="en-GB"/>
        </w:rPr>
        <w:t xml:space="preserve"> (see section</w:t>
      </w:r>
      <w:r w:rsidR="00452E43">
        <w:rPr>
          <w:lang w:val="en-GB"/>
        </w:rPr>
        <w:t> </w:t>
      </w:r>
      <w:r w:rsidR="005213D0">
        <w:rPr>
          <w:lang w:val="en-GB"/>
        </w:rPr>
        <w:t>3.3</w:t>
      </w:r>
      <w:r w:rsidR="00AD7E02" w:rsidRPr="00733124">
        <w:rPr>
          <w:lang w:val="en-GB"/>
        </w:rPr>
        <w:t>)</w:t>
      </w:r>
      <w:r w:rsidRPr="005539E0">
        <w:rPr>
          <w:lang w:val="en-GB"/>
        </w:rPr>
        <w:t xml:space="preserve">. </w:t>
      </w:r>
      <w:r w:rsidR="000F321A">
        <w:rPr>
          <w:lang w:val="en-GB"/>
        </w:rPr>
        <w:t>A</w:t>
      </w:r>
      <w:r w:rsidR="00AD7E02" w:rsidRPr="005539E0">
        <w:rPr>
          <w:lang w:val="en-GB"/>
        </w:rPr>
        <w:t xml:space="preserve"> </w:t>
      </w:r>
      <w:r w:rsidRPr="005539E0">
        <w:rPr>
          <w:lang w:val="en-GB"/>
        </w:rPr>
        <w:t>clinical expert statement explained that</w:t>
      </w:r>
      <w:r w:rsidR="00AD7E02" w:rsidRPr="00733124">
        <w:rPr>
          <w:lang w:val="en-GB"/>
        </w:rPr>
        <w:t xml:space="preserve"> it </w:t>
      </w:r>
      <w:r w:rsidR="00BF49D6">
        <w:rPr>
          <w:lang w:val="en-GB"/>
        </w:rPr>
        <w:t>wa</w:t>
      </w:r>
      <w:r w:rsidR="00AD7E02" w:rsidRPr="00733124">
        <w:rPr>
          <w:lang w:val="en-GB"/>
        </w:rPr>
        <w:t>s more likely that</w:t>
      </w:r>
      <w:r w:rsidRPr="005539E0">
        <w:rPr>
          <w:lang w:val="en-GB"/>
        </w:rPr>
        <w:t xml:space="preserve"> </w:t>
      </w:r>
      <w:proofErr w:type="spellStart"/>
      <w:r w:rsidRPr="005539E0">
        <w:rPr>
          <w:lang w:val="en-GB"/>
        </w:rPr>
        <w:t>upadacitinib</w:t>
      </w:r>
      <w:proofErr w:type="spellEnd"/>
      <w:r w:rsidRPr="005539E0">
        <w:rPr>
          <w:lang w:val="en-GB"/>
        </w:rPr>
        <w:t xml:space="preserve"> would be used after </w:t>
      </w:r>
      <w:r w:rsidR="00AD7E02" w:rsidRPr="00733124">
        <w:rPr>
          <w:lang w:val="en-GB"/>
        </w:rPr>
        <w:t>2</w:t>
      </w:r>
      <w:r w:rsidR="00AD7E02" w:rsidRPr="005539E0">
        <w:rPr>
          <w:lang w:val="en-GB"/>
        </w:rPr>
        <w:t xml:space="preserve"> </w:t>
      </w:r>
      <w:r w:rsidR="00AD7E02" w:rsidRPr="00733124">
        <w:rPr>
          <w:lang w:val="en-GB"/>
        </w:rPr>
        <w:t xml:space="preserve">conventional </w:t>
      </w:r>
      <w:r w:rsidRPr="005539E0">
        <w:rPr>
          <w:lang w:val="en-GB"/>
        </w:rPr>
        <w:t>DMARD</w:t>
      </w:r>
      <w:r w:rsidR="00AD7E02" w:rsidRPr="00733124">
        <w:rPr>
          <w:lang w:val="en-GB"/>
        </w:rPr>
        <w:t>s</w:t>
      </w:r>
      <w:r w:rsidR="006657AA" w:rsidRPr="005539E0">
        <w:rPr>
          <w:lang w:val="en-GB"/>
        </w:rPr>
        <w:t xml:space="preserve">. </w:t>
      </w:r>
      <w:r w:rsidR="00BA195F">
        <w:rPr>
          <w:lang w:val="en-GB"/>
        </w:rPr>
        <w:t>Also</w:t>
      </w:r>
      <w:r w:rsidR="009947E1">
        <w:rPr>
          <w:lang w:val="en-GB"/>
        </w:rPr>
        <w:t xml:space="preserve">, </w:t>
      </w:r>
      <w:r w:rsidR="001543EA" w:rsidRPr="005539E0">
        <w:rPr>
          <w:lang w:val="en-GB"/>
        </w:rPr>
        <w:t>EULAR guidelines</w:t>
      </w:r>
      <w:r w:rsidR="006657AA" w:rsidRPr="005539E0">
        <w:rPr>
          <w:lang w:val="en-GB"/>
        </w:rPr>
        <w:t xml:space="preserve"> state that </w:t>
      </w:r>
      <w:r w:rsidR="00AD7E02" w:rsidRPr="00733124">
        <w:rPr>
          <w:lang w:val="en-GB"/>
        </w:rPr>
        <w:t>2</w:t>
      </w:r>
      <w:r w:rsidR="00485D18">
        <w:rPr>
          <w:lang w:val="en-GB"/>
        </w:rPr>
        <w:t> </w:t>
      </w:r>
      <w:r w:rsidR="00AD7E02" w:rsidRPr="00733124">
        <w:rPr>
          <w:lang w:val="en-GB"/>
        </w:rPr>
        <w:t>conventional DMARD</w:t>
      </w:r>
      <w:r w:rsidR="00AD7E02" w:rsidRPr="005539E0">
        <w:rPr>
          <w:lang w:val="en-GB"/>
        </w:rPr>
        <w:t xml:space="preserve"> </w:t>
      </w:r>
      <w:r w:rsidR="006657AA" w:rsidRPr="005539E0">
        <w:rPr>
          <w:lang w:val="en-GB"/>
        </w:rPr>
        <w:t xml:space="preserve">treatments should be given before </w:t>
      </w:r>
      <w:r w:rsidR="00AD7E02" w:rsidRPr="00733124">
        <w:rPr>
          <w:lang w:val="en-GB"/>
        </w:rPr>
        <w:t>considering</w:t>
      </w:r>
      <w:r w:rsidR="006657AA" w:rsidRPr="005539E0">
        <w:rPr>
          <w:lang w:val="en-GB"/>
        </w:rPr>
        <w:t xml:space="preserve"> a biological DMARD. The clinical expert explained that EULAR guidelines</w:t>
      </w:r>
      <w:r w:rsidR="00AD7E02" w:rsidRPr="00733124">
        <w:rPr>
          <w:lang w:val="en-GB"/>
        </w:rPr>
        <w:t xml:space="preserve"> also</w:t>
      </w:r>
      <w:r w:rsidR="006657AA" w:rsidRPr="005539E0">
        <w:rPr>
          <w:lang w:val="en-GB"/>
        </w:rPr>
        <w:t xml:space="preserve"> recommend </w:t>
      </w:r>
      <w:r w:rsidR="00AD7E02" w:rsidRPr="00733124">
        <w:rPr>
          <w:lang w:val="en-GB"/>
        </w:rPr>
        <w:t>considering</w:t>
      </w:r>
      <w:r w:rsidR="00AD7E02" w:rsidRPr="005539E0">
        <w:rPr>
          <w:lang w:val="en-GB"/>
        </w:rPr>
        <w:t xml:space="preserve"> </w:t>
      </w:r>
      <w:r w:rsidR="006657AA" w:rsidRPr="005539E0">
        <w:rPr>
          <w:lang w:val="en-GB"/>
        </w:rPr>
        <w:t xml:space="preserve">a biological DMARD treatment after </w:t>
      </w:r>
      <w:r w:rsidR="00AD7E02" w:rsidRPr="00733124">
        <w:rPr>
          <w:lang w:val="en-GB"/>
        </w:rPr>
        <w:t>1</w:t>
      </w:r>
      <w:r w:rsidR="00771738">
        <w:rPr>
          <w:lang w:val="en-GB"/>
        </w:rPr>
        <w:t> </w:t>
      </w:r>
      <w:r w:rsidR="006657AA" w:rsidRPr="005539E0">
        <w:rPr>
          <w:lang w:val="en-GB"/>
        </w:rPr>
        <w:t>c</w:t>
      </w:r>
      <w:r w:rsidR="00AD7E02" w:rsidRPr="00733124">
        <w:rPr>
          <w:lang w:val="en-GB"/>
        </w:rPr>
        <w:t xml:space="preserve">onventional </w:t>
      </w:r>
      <w:r w:rsidR="006657AA" w:rsidRPr="005539E0">
        <w:rPr>
          <w:lang w:val="en-GB"/>
        </w:rPr>
        <w:t xml:space="preserve">DMARD treatment in </w:t>
      </w:r>
      <w:r w:rsidR="00AD7E02" w:rsidRPr="00733124">
        <w:rPr>
          <w:lang w:val="en-GB"/>
        </w:rPr>
        <w:t>people</w:t>
      </w:r>
      <w:r w:rsidR="00AD7E02" w:rsidRPr="005539E0">
        <w:rPr>
          <w:lang w:val="en-GB"/>
        </w:rPr>
        <w:t xml:space="preserve"> </w:t>
      </w:r>
      <w:r w:rsidR="006657AA" w:rsidRPr="005539E0">
        <w:rPr>
          <w:lang w:val="en-GB"/>
        </w:rPr>
        <w:t xml:space="preserve">who have a poor prognosis. The ERG explained that the </w:t>
      </w:r>
      <w:r w:rsidR="00AD7E02" w:rsidRPr="00733124">
        <w:rPr>
          <w:lang w:val="en-GB"/>
        </w:rPr>
        <w:t xml:space="preserve">company’s </w:t>
      </w:r>
      <w:r w:rsidR="006657AA" w:rsidRPr="005539E0">
        <w:rPr>
          <w:lang w:val="en-GB"/>
        </w:rPr>
        <w:t>network meta-analysis did</w:t>
      </w:r>
      <w:r w:rsidRPr="005539E0">
        <w:rPr>
          <w:lang w:val="en-GB"/>
        </w:rPr>
        <w:t xml:space="preserve"> </w:t>
      </w:r>
      <w:r w:rsidR="006657AA" w:rsidRPr="005539E0">
        <w:rPr>
          <w:lang w:val="en-GB"/>
        </w:rPr>
        <w:t xml:space="preserve">not include separate results for </w:t>
      </w:r>
      <w:r w:rsidR="00AD7E02" w:rsidRPr="00733124">
        <w:rPr>
          <w:lang w:val="en-GB"/>
        </w:rPr>
        <w:t>peop</w:t>
      </w:r>
      <w:r w:rsidR="00AD7E02" w:rsidRPr="00BF04A4">
        <w:rPr>
          <w:lang w:val="en-GB"/>
        </w:rPr>
        <w:t>le with a poor prognosis</w:t>
      </w:r>
      <w:r w:rsidR="006657AA" w:rsidRPr="005539E0">
        <w:rPr>
          <w:lang w:val="en-GB"/>
        </w:rPr>
        <w:t xml:space="preserve">. </w:t>
      </w:r>
      <w:r w:rsidR="00D3331E">
        <w:rPr>
          <w:lang w:val="en-GB"/>
        </w:rPr>
        <w:t>A</w:t>
      </w:r>
      <w:r w:rsidR="00AD7E02" w:rsidRPr="00733124">
        <w:rPr>
          <w:lang w:val="en-GB"/>
        </w:rPr>
        <w:t>nalyses done by the ERG</w:t>
      </w:r>
      <w:r w:rsidR="00F750C0" w:rsidRPr="005539E0">
        <w:rPr>
          <w:lang w:val="en-GB"/>
        </w:rPr>
        <w:t xml:space="preserve"> </w:t>
      </w:r>
      <w:r w:rsidR="00AD7E02" w:rsidRPr="00733124">
        <w:rPr>
          <w:lang w:val="en-GB"/>
        </w:rPr>
        <w:t>showed that</w:t>
      </w:r>
      <w:r w:rsidR="00F750C0" w:rsidRPr="005539E0">
        <w:rPr>
          <w:lang w:val="en-GB"/>
        </w:rPr>
        <w:t xml:space="preserve"> </w:t>
      </w:r>
      <w:r w:rsidR="00607836" w:rsidRPr="00607836">
        <w:rPr>
          <w:lang w:val="en-GB"/>
        </w:rPr>
        <w:t xml:space="preserve">positioning </w:t>
      </w:r>
      <w:proofErr w:type="spellStart"/>
      <w:r w:rsidR="00607836" w:rsidRPr="00607836">
        <w:rPr>
          <w:lang w:val="en-GB"/>
        </w:rPr>
        <w:t>upa</w:t>
      </w:r>
      <w:r w:rsidR="00607836">
        <w:rPr>
          <w:lang w:val="en-GB"/>
        </w:rPr>
        <w:t>dacitinib</w:t>
      </w:r>
      <w:proofErr w:type="spellEnd"/>
      <w:r w:rsidR="00607836" w:rsidRPr="00607836">
        <w:rPr>
          <w:lang w:val="en-GB"/>
        </w:rPr>
        <w:t xml:space="preserve"> after 1 conventional DMARD was likely to have a cost-effectiveness estimate </w:t>
      </w:r>
      <w:r w:rsidR="00E54422">
        <w:rPr>
          <w:lang w:val="en-GB"/>
        </w:rPr>
        <w:t>much higher than</w:t>
      </w:r>
      <w:r w:rsidR="00607836" w:rsidRPr="00607836">
        <w:rPr>
          <w:lang w:val="en-GB"/>
        </w:rPr>
        <w:t xml:space="preserve"> £30,000 per </w:t>
      </w:r>
      <w:r w:rsidR="00607836">
        <w:rPr>
          <w:lang w:val="en-GB"/>
        </w:rPr>
        <w:t>quality</w:t>
      </w:r>
      <w:r w:rsidR="00E54422">
        <w:rPr>
          <w:lang w:val="en-GB"/>
        </w:rPr>
        <w:t>-</w:t>
      </w:r>
      <w:r w:rsidR="00607836">
        <w:rPr>
          <w:lang w:val="en-GB"/>
        </w:rPr>
        <w:t>adjusted life year (</w:t>
      </w:r>
      <w:r w:rsidR="00607836" w:rsidRPr="00607836">
        <w:rPr>
          <w:lang w:val="en-GB"/>
        </w:rPr>
        <w:t>QALY</w:t>
      </w:r>
      <w:r w:rsidR="00607836">
        <w:rPr>
          <w:lang w:val="en-GB"/>
        </w:rPr>
        <w:t>)</w:t>
      </w:r>
      <w:r w:rsidR="00607836" w:rsidRPr="00607836">
        <w:rPr>
          <w:lang w:val="en-GB"/>
        </w:rPr>
        <w:t xml:space="preserve"> gained, compared with positioning it after 2 or more conventional DMARDs</w:t>
      </w:r>
      <w:r w:rsidR="00F750C0" w:rsidRPr="005539E0">
        <w:rPr>
          <w:lang w:val="en-GB"/>
        </w:rPr>
        <w:t xml:space="preserve">. </w:t>
      </w:r>
      <w:r w:rsidR="00AD7E02" w:rsidRPr="00733124">
        <w:rPr>
          <w:lang w:val="en-GB"/>
        </w:rPr>
        <w:t>The c</w:t>
      </w:r>
      <w:r w:rsidR="00F750C0" w:rsidRPr="005539E0">
        <w:rPr>
          <w:lang w:val="en-GB"/>
        </w:rPr>
        <w:t xml:space="preserve">ommittee </w:t>
      </w:r>
      <w:r w:rsidR="00AD7E02" w:rsidRPr="00733124">
        <w:rPr>
          <w:lang w:val="en-GB"/>
        </w:rPr>
        <w:t>con</w:t>
      </w:r>
      <w:r w:rsidR="00AD7E02" w:rsidRPr="00BF04A4">
        <w:rPr>
          <w:lang w:val="en-GB"/>
        </w:rPr>
        <w:t>cluded</w:t>
      </w:r>
      <w:r w:rsidR="00AD7E02" w:rsidRPr="005539E0">
        <w:rPr>
          <w:lang w:val="en-GB"/>
        </w:rPr>
        <w:t xml:space="preserve"> </w:t>
      </w:r>
      <w:r w:rsidR="00F750C0" w:rsidRPr="005539E0">
        <w:rPr>
          <w:lang w:val="en-GB"/>
        </w:rPr>
        <w:t>that</w:t>
      </w:r>
      <w:r w:rsidR="00AD7E02" w:rsidRPr="00733124">
        <w:rPr>
          <w:lang w:val="en-GB"/>
        </w:rPr>
        <w:t xml:space="preserve">, of the 2 potential positions </w:t>
      </w:r>
      <w:r w:rsidR="001169C1">
        <w:rPr>
          <w:lang w:val="en-GB"/>
        </w:rPr>
        <w:t>for</w:t>
      </w:r>
      <w:r w:rsidR="00AD7E02" w:rsidRPr="00733124">
        <w:rPr>
          <w:lang w:val="en-GB"/>
        </w:rPr>
        <w:t xml:space="preserve"> moderate disease,</w:t>
      </w:r>
      <w:r w:rsidR="00F750C0" w:rsidRPr="005539E0">
        <w:rPr>
          <w:lang w:val="en-GB"/>
        </w:rPr>
        <w:t xml:space="preserve"> </w:t>
      </w:r>
      <w:r w:rsidR="00AD7E02" w:rsidRPr="00733124">
        <w:rPr>
          <w:lang w:val="en-GB"/>
        </w:rPr>
        <w:t xml:space="preserve">it </w:t>
      </w:r>
      <w:r w:rsidR="00C97064">
        <w:rPr>
          <w:lang w:val="en-GB"/>
        </w:rPr>
        <w:t>wa</w:t>
      </w:r>
      <w:r w:rsidR="00AD7E02" w:rsidRPr="00733124">
        <w:rPr>
          <w:lang w:val="en-GB"/>
        </w:rPr>
        <w:t xml:space="preserve">s more appropriate to consider </w:t>
      </w:r>
      <w:proofErr w:type="spellStart"/>
      <w:r w:rsidR="00F750C0" w:rsidRPr="005539E0">
        <w:rPr>
          <w:lang w:val="en-GB"/>
        </w:rPr>
        <w:t>upadacitinib</w:t>
      </w:r>
      <w:proofErr w:type="spellEnd"/>
      <w:r w:rsidR="00F750C0" w:rsidRPr="005539E0">
        <w:rPr>
          <w:lang w:val="en-GB"/>
        </w:rPr>
        <w:t xml:space="preserve"> after </w:t>
      </w:r>
      <w:r w:rsidR="00AD7E02" w:rsidRPr="00733124">
        <w:rPr>
          <w:lang w:val="en-GB"/>
        </w:rPr>
        <w:t>treatment with 2 or more</w:t>
      </w:r>
      <w:r w:rsidR="00AD7E02" w:rsidRPr="005539E0">
        <w:rPr>
          <w:lang w:val="en-GB"/>
        </w:rPr>
        <w:t xml:space="preserve"> </w:t>
      </w:r>
      <w:r w:rsidR="00F750C0" w:rsidRPr="005539E0">
        <w:rPr>
          <w:lang w:val="en-GB"/>
        </w:rPr>
        <w:t>c</w:t>
      </w:r>
      <w:r w:rsidR="00AD7E02" w:rsidRPr="00733124">
        <w:rPr>
          <w:lang w:val="en-GB"/>
        </w:rPr>
        <w:t xml:space="preserve">onventional </w:t>
      </w:r>
      <w:r w:rsidR="00F750C0" w:rsidRPr="005539E0">
        <w:rPr>
          <w:lang w:val="en-GB"/>
        </w:rPr>
        <w:t>DMARD</w:t>
      </w:r>
      <w:r w:rsidR="00AD7E02" w:rsidRPr="00733124">
        <w:rPr>
          <w:lang w:val="en-GB"/>
        </w:rPr>
        <w:t>s</w:t>
      </w:r>
      <w:r w:rsidR="00F750C0" w:rsidRPr="005539E0">
        <w:rPr>
          <w:lang w:val="en-GB"/>
        </w:rPr>
        <w:t>.</w:t>
      </w:r>
      <w:bookmarkEnd w:id="11"/>
      <w:r w:rsidR="00052C4C" w:rsidRPr="005539E0">
        <w:rPr>
          <w:lang w:val="en-GB"/>
        </w:rPr>
        <w:t xml:space="preserve"> It also concluded that </w:t>
      </w:r>
      <w:proofErr w:type="spellStart"/>
      <w:r w:rsidR="00052C4C" w:rsidRPr="005539E0">
        <w:rPr>
          <w:lang w:val="en-GB"/>
        </w:rPr>
        <w:t>upadacitinib</w:t>
      </w:r>
      <w:proofErr w:type="spellEnd"/>
      <w:r w:rsidR="00052C4C" w:rsidRPr="005539E0">
        <w:rPr>
          <w:lang w:val="en-GB"/>
        </w:rPr>
        <w:t xml:space="preserve"> with methotrexate </w:t>
      </w:r>
      <w:r w:rsidR="00864E32">
        <w:rPr>
          <w:lang w:val="en-GB"/>
        </w:rPr>
        <w:t>wa</w:t>
      </w:r>
      <w:r w:rsidR="00E95414" w:rsidRPr="005539E0">
        <w:rPr>
          <w:lang w:val="en-GB"/>
        </w:rPr>
        <w:t xml:space="preserve">s preferred to </w:t>
      </w:r>
      <w:proofErr w:type="spellStart"/>
      <w:r w:rsidR="00E95414" w:rsidRPr="005539E0">
        <w:rPr>
          <w:lang w:val="en-GB"/>
        </w:rPr>
        <w:t>upadacitin</w:t>
      </w:r>
      <w:r w:rsidR="00B64C88">
        <w:rPr>
          <w:lang w:val="en-GB"/>
        </w:rPr>
        <w:t>i</w:t>
      </w:r>
      <w:r w:rsidR="00E95414" w:rsidRPr="005539E0">
        <w:rPr>
          <w:lang w:val="en-GB"/>
        </w:rPr>
        <w:t>b</w:t>
      </w:r>
      <w:proofErr w:type="spellEnd"/>
      <w:r w:rsidR="00E95414" w:rsidRPr="005539E0">
        <w:rPr>
          <w:lang w:val="en-GB"/>
        </w:rPr>
        <w:t xml:space="preserve"> alone </w:t>
      </w:r>
      <w:r w:rsidR="00260064">
        <w:rPr>
          <w:lang w:val="en-GB"/>
        </w:rPr>
        <w:t>when</w:t>
      </w:r>
      <w:r w:rsidR="00E95414" w:rsidRPr="005539E0">
        <w:rPr>
          <w:lang w:val="en-GB"/>
        </w:rPr>
        <w:t xml:space="preserve"> methotrexate</w:t>
      </w:r>
      <w:r w:rsidR="00260064">
        <w:rPr>
          <w:lang w:val="en-GB"/>
        </w:rPr>
        <w:t xml:space="preserve"> </w:t>
      </w:r>
      <w:r w:rsidR="00BD347A">
        <w:rPr>
          <w:lang w:val="en-GB"/>
        </w:rPr>
        <w:t>wa</w:t>
      </w:r>
      <w:r w:rsidR="00260064">
        <w:rPr>
          <w:lang w:val="en-GB"/>
        </w:rPr>
        <w:t>s tolerated</w:t>
      </w:r>
      <w:r w:rsidR="001606C3">
        <w:rPr>
          <w:lang w:val="en-GB"/>
        </w:rPr>
        <w:t xml:space="preserve">, based on the cost-effectiveness </w:t>
      </w:r>
      <w:r w:rsidR="00B64C88">
        <w:rPr>
          <w:lang w:val="en-GB"/>
        </w:rPr>
        <w:t>estimates</w:t>
      </w:r>
      <w:r w:rsidR="00E95414" w:rsidRPr="005539E0">
        <w:rPr>
          <w:lang w:val="en-GB"/>
        </w:rPr>
        <w:t xml:space="preserve">. </w:t>
      </w:r>
      <w:r w:rsidR="00055603">
        <w:rPr>
          <w:lang w:val="en-GB"/>
        </w:rPr>
        <w:t>T</w:t>
      </w:r>
      <w:r w:rsidR="008421C6">
        <w:rPr>
          <w:lang w:val="en-GB"/>
        </w:rPr>
        <w:t>h</w:t>
      </w:r>
      <w:r w:rsidR="00055603">
        <w:rPr>
          <w:lang w:val="en-GB"/>
        </w:rPr>
        <w:t>e c</w:t>
      </w:r>
      <w:r w:rsidR="00E95414" w:rsidRPr="005539E0">
        <w:rPr>
          <w:lang w:val="en-GB"/>
        </w:rPr>
        <w:t xml:space="preserve">ommittee noted that these conclusions were in line with previous NICE </w:t>
      </w:r>
      <w:r w:rsidR="00866EDB">
        <w:rPr>
          <w:lang w:val="en-GB"/>
        </w:rPr>
        <w:t>t</w:t>
      </w:r>
      <w:r w:rsidR="00E95414" w:rsidRPr="005539E0">
        <w:rPr>
          <w:lang w:val="en-GB"/>
        </w:rPr>
        <w:t xml:space="preserve">echnology </w:t>
      </w:r>
      <w:r w:rsidR="00866EDB">
        <w:rPr>
          <w:lang w:val="en-GB"/>
        </w:rPr>
        <w:t>a</w:t>
      </w:r>
      <w:r w:rsidR="00E95414" w:rsidRPr="005539E0">
        <w:rPr>
          <w:lang w:val="en-GB"/>
        </w:rPr>
        <w:t xml:space="preserve">ppraisal guidance </w:t>
      </w:r>
      <w:r w:rsidR="000F16A5">
        <w:rPr>
          <w:lang w:val="en-GB"/>
        </w:rPr>
        <w:t>for</w:t>
      </w:r>
      <w:r w:rsidR="00E95414" w:rsidRPr="005539E0">
        <w:rPr>
          <w:lang w:val="en-GB"/>
        </w:rPr>
        <w:t xml:space="preserve"> rheumatoid arthritis.</w:t>
      </w:r>
    </w:p>
    <w:p w14:paraId="20547195" w14:textId="6525E4B3" w:rsidR="00F750C0" w:rsidRPr="0035762B" w:rsidRDefault="00AE7CD0" w:rsidP="002F38E7">
      <w:pPr>
        <w:pStyle w:val="Heading3"/>
      </w:pPr>
      <w:r w:rsidRPr="00733124">
        <w:lastRenderedPageBreak/>
        <w:t xml:space="preserve">The appropriate comparator for moderate disease after 2 conventional DMARDs is best </w:t>
      </w:r>
      <w:r w:rsidRPr="00BF04A4">
        <w:t>supportive care</w:t>
      </w:r>
      <w:r w:rsidR="00637E3B">
        <w:t>,</w:t>
      </w:r>
      <w:r w:rsidR="000A4F29" w:rsidRPr="00260064">
        <w:t xml:space="preserve"> which is unlikely to </w:t>
      </w:r>
      <w:r w:rsidR="00C85846">
        <w:t>give</w:t>
      </w:r>
      <w:r w:rsidR="000A4F29" w:rsidRPr="00260064">
        <w:t xml:space="preserve"> a</w:t>
      </w:r>
      <w:r w:rsidR="00C67BD1">
        <w:t>n</w:t>
      </w:r>
      <w:r w:rsidR="000A4F29" w:rsidRPr="00260064">
        <w:t xml:space="preserve"> EULAR response</w:t>
      </w:r>
    </w:p>
    <w:p w14:paraId="6296277C" w14:textId="4B8D89E2" w:rsidR="00AE7CD0" w:rsidRPr="005B364E" w:rsidRDefault="001606C3" w:rsidP="0062332C">
      <w:pPr>
        <w:pStyle w:val="Numberedlevel2text"/>
        <w:rPr>
          <w:lang w:val="en-GB"/>
        </w:rPr>
      </w:pPr>
      <w:bookmarkStart w:id="12" w:name="_Ref29461806"/>
      <w:r>
        <w:rPr>
          <w:lang w:val="en-GB"/>
        </w:rPr>
        <w:t xml:space="preserve">In the </w:t>
      </w:r>
      <w:r w:rsidR="00467639">
        <w:rPr>
          <w:lang w:val="en-GB"/>
        </w:rPr>
        <w:t>company and ERG analysis, a</w:t>
      </w:r>
      <w:r w:rsidR="003A202A" w:rsidRPr="005539E0">
        <w:rPr>
          <w:lang w:val="en-GB"/>
        </w:rPr>
        <w:t xml:space="preserve">fter </w:t>
      </w:r>
      <w:r w:rsidR="008F5421" w:rsidRPr="00733124">
        <w:rPr>
          <w:lang w:val="en-GB"/>
        </w:rPr>
        <w:t xml:space="preserve">2 conventional </w:t>
      </w:r>
      <w:r w:rsidR="003A202A" w:rsidRPr="005539E0">
        <w:rPr>
          <w:lang w:val="en-GB"/>
        </w:rPr>
        <w:t>DMARD</w:t>
      </w:r>
      <w:r w:rsidR="008F5421" w:rsidRPr="00733124">
        <w:rPr>
          <w:lang w:val="en-GB"/>
        </w:rPr>
        <w:t>s</w:t>
      </w:r>
      <w:r w:rsidR="003A202A" w:rsidRPr="005539E0">
        <w:rPr>
          <w:lang w:val="en-GB"/>
        </w:rPr>
        <w:t xml:space="preserve">, </w:t>
      </w:r>
      <w:r w:rsidR="008F5421" w:rsidRPr="00733124">
        <w:rPr>
          <w:lang w:val="en-GB"/>
        </w:rPr>
        <w:t>there were 2 potential comparators:</w:t>
      </w:r>
      <w:r w:rsidR="003A202A" w:rsidRPr="005B364E">
        <w:rPr>
          <w:lang w:val="en-GB"/>
        </w:rPr>
        <w:t xml:space="preserve"> </w:t>
      </w:r>
      <w:r w:rsidR="00D92427" w:rsidRPr="005B364E">
        <w:rPr>
          <w:lang w:val="en-GB"/>
        </w:rPr>
        <w:t xml:space="preserve">further </w:t>
      </w:r>
      <w:r w:rsidR="003A202A" w:rsidRPr="005B364E">
        <w:rPr>
          <w:lang w:val="en-GB"/>
        </w:rPr>
        <w:t>c</w:t>
      </w:r>
      <w:r w:rsidR="00AE7CD0" w:rsidRPr="00733124">
        <w:rPr>
          <w:lang w:val="en-GB"/>
        </w:rPr>
        <w:t xml:space="preserve">onventional </w:t>
      </w:r>
      <w:r w:rsidR="003A202A" w:rsidRPr="005B364E">
        <w:rPr>
          <w:lang w:val="en-GB"/>
        </w:rPr>
        <w:t>DMARD</w:t>
      </w:r>
      <w:r w:rsidR="00D92427" w:rsidRPr="005B364E">
        <w:rPr>
          <w:lang w:val="en-GB"/>
        </w:rPr>
        <w:t xml:space="preserve"> treatment</w:t>
      </w:r>
      <w:r w:rsidR="003A202A" w:rsidRPr="005B364E">
        <w:rPr>
          <w:lang w:val="en-GB"/>
        </w:rPr>
        <w:t xml:space="preserve"> and best supportive care. </w:t>
      </w:r>
      <w:r w:rsidR="00F750C0" w:rsidRPr="005B364E">
        <w:rPr>
          <w:lang w:val="en-GB"/>
        </w:rPr>
        <w:t>The clinical expert explained that a</w:t>
      </w:r>
      <w:r w:rsidR="008F5421" w:rsidRPr="00733124">
        <w:rPr>
          <w:lang w:val="en-GB"/>
        </w:rPr>
        <w:t>t</w:t>
      </w:r>
      <w:r w:rsidR="008F5421" w:rsidRPr="00BF04A4">
        <w:rPr>
          <w:lang w:val="en-GB"/>
        </w:rPr>
        <w:t xml:space="preserve"> this position</w:t>
      </w:r>
      <w:r w:rsidR="00F750C0" w:rsidRPr="005B364E">
        <w:rPr>
          <w:lang w:val="en-GB"/>
        </w:rPr>
        <w:t xml:space="preserve">, further </w:t>
      </w:r>
      <w:r w:rsidR="008F5421" w:rsidRPr="00733124">
        <w:rPr>
          <w:lang w:val="en-GB"/>
        </w:rPr>
        <w:t xml:space="preserve">treatment with conventional </w:t>
      </w:r>
      <w:r w:rsidR="00F750C0" w:rsidRPr="005B364E">
        <w:rPr>
          <w:lang w:val="en-GB"/>
        </w:rPr>
        <w:t>DMARD</w:t>
      </w:r>
      <w:r w:rsidR="008F5421" w:rsidRPr="00733124">
        <w:rPr>
          <w:lang w:val="en-GB"/>
        </w:rPr>
        <w:t xml:space="preserve">s </w:t>
      </w:r>
      <w:r w:rsidR="00927F99">
        <w:rPr>
          <w:lang w:val="en-GB"/>
        </w:rPr>
        <w:t>wa</w:t>
      </w:r>
      <w:r w:rsidR="008F5421" w:rsidRPr="00733124">
        <w:rPr>
          <w:lang w:val="en-GB"/>
        </w:rPr>
        <w:t>s not expected</w:t>
      </w:r>
      <w:r w:rsidR="00F750C0" w:rsidRPr="005B364E">
        <w:rPr>
          <w:lang w:val="en-GB"/>
        </w:rPr>
        <w:t xml:space="preserve"> to </w:t>
      </w:r>
      <w:r w:rsidR="00381EA8">
        <w:rPr>
          <w:lang w:val="en-GB"/>
        </w:rPr>
        <w:t>give</w:t>
      </w:r>
      <w:r w:rsidR="00F750C0" w:rsidRPr="005B364E">
        <w:rPr>
          <w:lang w:val="en-GB"/>
        </w:rPr>
        <w:t xml:space="preserve"> a response</w:t>
      </w:r>
      <w:r w:rsidR="00A53AB2">
        <w:rPr>
          <w:lang w:val="en-GB"/>
        </w:rPr>
        <w:t>.</w:t>
      </w:r>
      <w:r w:rsidR="008F5421" w:rsidRPr="00733124">
        <w:rPr>
          <w:lang w:val="en-GB"/>
        </w:rPr>
        <w:t xml:space="preserve"> </w:t>
      </w:r>
      <w:r w:rsidR="00A53AB2">
        <w:rPr>
          <w:lang w:val="en-GB"/>
        </w:rPr>
        <w:t>D</w:t>
      </w:r>
      <w:r w:rsidR="008F5421" w:rsidRPr="00733124">
        <w:rPr>
          <w:lang w:val="en-GB"/>
        </w:rPr>
        <w:t>espite this</w:t>
      </w:r>
      <w:r w:rsidR="00A53AB2">
        <w:rPr>
          <w:lang w:val="en-GB"/>
        </w:rPr>
        <w:t>,</w:t>
      </w:r>
      <w:r w:rsidR="008F5421" w:rsidRPr="00733124">
        <w:rPr>
          <w:lang w:val="en-GB"/>
        </w:rPr>
        <w:t xml:space="preserve"> continued treatment </w:t>
      </w:r>
      <w:r w:rsidR="00DA14C6">
        <w:rPr>
          <w:lang w:val="en-GB"/>
        </w:rPr>
        <w:t>wa</w:t>
      </w:r>
      <w:r w:rsidR="008F5421" w:rsidRPr="00733124">
        <w:rPr>
          <w:lang w:val="en-GB"/>
        </w:rPr>
        <w:t>s usually given</w:t>
      </w:r>
      <w:r w:rsidR="0082538F">
        <w:rPr>
          <w:lang w:val="en-GB"/>
        </w:rPr>
        <w:t>, and</w:t>
      </w:r>
      <w:r w:rsidR="00E95414" w:rsidRPr="00BF04A4">
        <w:rPr>
          <w:lang w:val="en-GB"/>
        </w:rPr>
        <w:t xml:space="preserve"> corticosteroids </w:t>
      </w:r>
      <w:r w:rsidR="00830833">
        <w:rPr>
          <w:lang w:val="en-GB"/>
        </w:rPr>
        <w:t>we</w:t>
      </w:r>
      <w:r w:rsidR="00650FB9">
        <w:rPr>
          <w:lang w:val="en-GB"/>
        </w:rPr>
        <w:t xml:space="preserve">re </w:t>
      </w:r>
      <w:r w:rsidR="00E95414" w:rsidRPr="00BF04A4">
        <w:rPr>
          <w:lang w:val="en-GB"/>
        </w:rPr>
        <w:t>also a treatment option</w:t>
      </w:r>
      <w:r w:rsidR="008F5421" w:rsidRPr="00260064">
        <w:rPr>
          <w:lang w:val="en-GB"/>
        </w:rPr>
        <w:t xml:space="preserve">. </w:t>
      </w:r>
      <w:r w:rsidR="00E943F7">
        <w:rPr>
          <w:lang w:val="en-GB"/>
        </w:rPr>
        <w:t>The committee heard from the company that the</w:t>
      </w:r>
      <w:r w:rsidR="00AE7CD0" w:rsidRPr="0035762B">
        <w:rPr>
          <w:lang w:val="en-GB"/>
        </w:rPr>
        <w:t xml:space="preserve"> definition of best supportive</w:t>
      </w:r>
      <w:r w:rsidR="00AE7CD0" w:rsidRPr="00DD05BD">
        <w:rPr>
          <w:lang w:val="en-GB"/>
        </w:rPr>
        <w:t xml:space="preserve"> care </w:t>
      </w:r>
      <w:r w:rsidR="003A5E38">
        <w:rPr>
          <w:lang w:val="en-GB"/>
        </w:rPr>
        <w:t>after 2</w:t>
      </w:r>
      <w:r w:rsidR="00CB0AA9">
        <w:rPr>
          <w:lang w:val="en-GB"/>
        </w:rPr>
        <w:t> </w:t>
      </w:r>
      <w:r w:rsidR="003A5E38">
        <w:rPr>
          <w:lang w:val="en-GB"/>
        </w:rPr>
        <w:t>conventional DMARDs</w:t>
      </w:r>
      <w:r w:rsidR="00AE7CD0" w:rsidRPr="0035762B">
        <w:rPr>
          <w:lang w:val="en-GB"/>
        </w:rPr>
        <w:t xml:space="preserve"> </w:t>
      </w:r>
      <w:r w:rsidR="00E943F7">
        <w:rPr>
          <w:lang w:val="en-GB"/>
        </w:rPr>
        <w:t>included</w:t>
      </w:r>
      <w:r w:rsidR="00AE7CD0" w:rsidRPr="0035762B">
        <w:rPr>
          <w:lang w:val="en-GB"/>
        </w:rPr>
        <w:t xml:space="preserve"> some continued</w:t>
      </w:r>
      <w:r w:rsidR="00AE7CD0" w:rsidRPr="00DD05BD">
        <w:rPr>
          <w:lang w:val="en-GB"/>
        </w:rPr>
        <w:t xml:space="preserve"> </w:t>
      </w:r>
      <w:r w:rsidR="00AE7CD0" w:rsidRPr="00BE3BE7">
        <w:rPr>
          <w:lang w:val="en-GB"/>
        </w:rPr>
        <w:t>conventional DMARD treatment, particularly methotrexate. The c</w:t>
      </w:r>
      <w:r w:rsidR="00AE7CD0" w:rsidRPr="005B364E">
        <w:rPr>
          <w:lang w:val="en-GB"/>
        </w:rPr>
        <w:t xml:space="preserve">ommittee </w:t>
      </w:r>
      <w:r w:rsidR="00AE7CD0" w:rsidRPr="00733124">
        <w:rPr>
          <w:lang w:val="en-GB"/>
        </w:rPr>
        <w:t>concluded</w:t>
      </w:r>
      <w:r w:rsidR="00AE7CD0" w:rsidRPr="005B364E">
        <w:rPr>
          <w:lang w:val="en-GB"/>
        </w:rPr>
        <w:t xml:space="preserve"> that after </w:t>
      </w:r>
      <w:r w:rsidR="00AE7CD0" w:rsidRPr="00733124">
        <w:rPr>
          <w:lang w:val="en-GB"/>
        </w:rPr>
        <w:t>2</w:t>
      </w:r>
      <w:r w:rsidR="00D70CD9">
        <w:rPr>
          <w:lang w:val="en-GB"/>
        </w:rPr>
        <w:t> </w:t>
      </w:r>
      <w:r w:rsidR="00AE7CD0" w:rsidRPr="00733124">
        <w:rPr>
          <w:lang w:val="en-GB"/>
        </w:rPr>
        <w:t>conventional DMARDs,</w:t>
      </w:r>
      <w:r w:rsidR="00AE7CD0" w:rsidRPr="005B364E">
        <w:rPr>
          <w:lang w:val="en-GB"/>
        </w:rPr>
        <w:t xml:space="preserve"> </w:t>
      </w:r>
      <w:proofErr w:type="gramStart"/>
      <w:r w:rsidR="00E95414" w:rsidRPr="005B364E">
        <w:rPr>
          <w:lang w:val="en-GB"/>
        </w:rPr>
        <w:t>previously</w:t>
      </w:r>
      <w:r w:rsidR="00E35CC0">
        <w:rPr>
          <w:lang w:val="en-GB"/>
        </w:rPr>
        <w:t>-</w:t>
      </w:r>
      <w:r w:rsidR="00A24F14">
        <w:rPr>
          <w:lang w:val="en-GB"/>
        </w:rPr>
        <w:t>used</w:t>
      </w:r>
      <w:proofErr w:type="gramEnd"/>
      <w:r w:rsidR="00E95414" w:rsidRPr="005B364E">
        <w:rPr>
          <w:lang w:val="en-GB"/>
        </w:rPr>
        <w:t xml:space="preserve"> conventional DMARDs with optional corticosteroids would constitute </w:t>
      </w:r>
      <w:r w:rsidR="00AE7CD0" w:rsidRPr="005B364E">
        <w:rPr>
          <w:lang w:val="en-GB"/>
        </w:rPr>
        <w:t>best supportive care</w:t>
      </w:r>
      <w:r w:rsidR="00DE5AE0">
        <w:rPr>
          <w:lang w:val="en-GB"/>
        </w:rPr>
        <w:t>.</w:t>
      </w:r>
      <w:r w:rsidR="00AE7CD0" w:rsidRPr="005B364E">
        <w:rPr>
          <w:lang w:val="en-GB"/>
        </w:rPr>
        <w:t xml:space="preserve"> </w:t>
      </w:r>
      <w:r w:rsidR="00DE5AE0">
        <w:rPr>
          <w:lang w:val="en-GB"/>
        </w:rPr>
        <w:t>T</w:t>
      </w:r>
      <w:r w:rsidR="001828E2" w:rsidRPr="005B364E">
        <w:rPr>
          <w:lang w:val="en-GB"/>
        </w:rPr>
        <w:t xml:space="preserve">his </w:t>
      </w:r>
      <w:r w:rsidR="00AE7CD0" w:rsidRPr="005B364E">
        <w:rPr>
          <w:lang w:val="en-GB"/>
        </w:rPr>
        <w:t xml:space="preserve">was </w:t>
      </w:r>
      <w:r w:rsidR="00AE7CD0" w:rsidRPr="00733124">
        <w:rPr>
          <w:lang w:val="en-GB"/>
        </w:rPr>
        <w:t>the most</w:t>
      </w:r>
      <w:r w:rsidR="00AE7CD0" w:rsidRPr="005B364E">
        <w:rPr>
          <w:lang w:val="en-GB"/>
        </w:rPr>
        <w:t xml:space="preserve"> appropriate comparator</w:t>
      </w:r>
      <w:r w:rsidR="00AE7CD0" w:rsidRPr="00733124">
        <w:rPr>
          <w:lang w:val="en-GB"/>
        </w:rPr>
        <w:t xml:space="preserve"> to </w:t>
      </w:r>
      <w:proofErr w:type="spellStart"/>
      <w:r w:rsidR="00AE7CD0" w:rsidRPr="00733124">
        <w:rPr>
          <w:lang w:val="en-GB"/>
        </w:rPr>
        <w:t>upadacitinib</w:t>
      </w:r>
      <w:proofErr w:type="spellEnd"/>
      <w:r w:rsidR="00907CBD">
        <w:rPr>
          <w:lang w:val="en-GB"/>
        </w:rPr>
        <w:t xml:space="preserve"> because</w:t>
      </w:r>
      <w:r w:rsidR="00E95414" w:rsidRPr="00BF04A4">
        <w:rPr>
          <w:lang w:val="en-GB"/>
        </w:rPr>
        <w:t xml:space="preserve"> it reflected clinical practice</w:t>
      </w:r>
      <w:r w:rsidR="00AE7CD0" w:rsidRPr="00260064">
        <w:rPr>
          <w:lang w:val="en-GB"/>
        </w:rPr>
        <w:t>.</w:t>
      </w:r>
      <w:bookmarkEnd w:id="12"/>
      <w:r w:rsidR="00E95414" w:rsidRPr="0035762B">
        <w:rPr>
          <w:lang w:val="en-GB"/>
        </w:rPr>
        <w:t xml:space="preserve"> The committee also concluded that best supportive care </w:t>
      </w:r>
      <w:r w:rsidR="00472BA1">
        <w:rPr>
          <w:lang w:val="en-GB"/>
        </w:rPr>
        <w:t>was</w:t>
      </w:r>
      <w:r w:rsidR="00E95414" w:rsidRPr="00DD05BD">
        <w:rPr>
          <w:lang w:val="en-GB"/>
        </w:rPr>
        <w:t xml:space="preserve"> </w:t>
      </w:r>
      <w:r w:rsidR="000A4F29" w:rsidRPr="00BE3BE7">
        <w:rPr>
          <w:lang w:val="en-GB"/>
        </w:rPr>
        <w:t>unlik</w:t>
      </w:r>
      <w:r w:rsidR="00472BA1">
        <w:rPr>
          <w:lang w:val="en-GB"/>
        </w:rPr>
        <w:t>el</w:t>
      </w:r>
      <w:r w:rsidR="000A4F29" w:rsidRPr="00DD05BD">
        <w:rPr>
          <w:lang w:val="en-GB"/>
        </w:rPr>
        <w:t>y</w:t>
      </w:r>
      <w:r w:rsidR="00472BA1">
        <w:rPr>
          <w:lang w:val="en-GB"/>
        </w:rPr>
        <w:t xml:space="preserve"> to</w:t>
      </w:r>
      <w:r w:rsidR="00E95414" w:rsidRPr="0035762B">
        <w:rPr>
          <w:lang w:val="en-GB"/>
        </w:rPr>
        <w:t xml:space="preserve"> </w:t>
      </w:r>
      <w:r w:rsidR="00472BA1">
        <w:rPr>
          <w:lang w:val="en-GB"/>
        </w:rPr>
        <w:t>give</w:t>
      </w:r>
      <w:r w:rsidR="00E95414" w:rsidRPr="0035762B">
        <w:rPr>
          <w:lang w:val="en-GB"/>
        </w:rPr>
        <w:t xml:space="preserve"> a</w:t>
      </w:r>
      <w:r w:rsidR="007B32CB">
        <w:rPr>
          <w:lang w:val="en-GB"/>
        </w:rPr>
        <w:t>n</w:t>
      </w:r>
      <w:r w:rsidR="00E95414" w:rsidRPr="0035762B">
        <w:rPr>
          <w:lang w:val="en-GB"/>
        </w:rPr>
        <w:t xml:space="preserve"> EULAR response.</w:t>
      </w:r>
    </w:p>
    <w:p w14:paraId="3575AF64" w14:textId="0BE462D3" w:rsidR="00AE7CD0" w:rsidRPr="00DD05BD" w:rsidRDefault="00E95414" w:rsidP="002630A8">
      <w:pPr>
        <w:pStyle w:val="Heading3"/>
      </w:pPr>
      <w:r w:rsidRPr="00BF04A4">
        <w:t>Treatment sequences of dif</w:t>
      </w:r>
      <w:r w:rsidRPr="00260064">
        <w:t xml:space="preserve">ferent lengths </w:t>
      </w:r>
      <w:r w:rsidR="00467639">
        <w:t>may</w:t>
      </w:r>
      <w:r w:rsidR="00873FC9" w:rsidRPr="001D75FC">
        <w:t xml:space="preserve"> bias the cost-effectiveness </w:t>
      </w:r>
      <w:r w:rsidR="00467639">
        <w:t>estimates</w:t>
      </w:r>
    </w:p>
    <w:p w14:paraId="7ED66604" w14:textId="731D09C3" w:rsidR="00F750C0" w:rsidRPr="005B364E" w:rsidRDefault="00AE7CD0" w:rsidP="0062332C">
      <w:pPr>
        <w:pStyle w:val="Numberedlevel2text"/>
        <w:rPr>
          <w:lang w:val="en-GB"/>
        </w:rPr>
      </w:pPr>
      <w:bookmarkStart w:id="13" w:name="_Ref29457382"/>
      <w:r w:rsidRPr="00BE3BE7">
        <w:rPr>
          <w:lang w:val="en-GB"/>
        </w:rPr>
        <w:t xml:space="preserve">In the company’s analyses, the </w:t>
      </w:r>
      <w:proofErr w:type="spellStart"/>
      <w:r w:rsidRPr="00BE3BE7">
        <w:rPr>
          <w:lang w:val="en-GB"/>
        </w:rPr>
        <w:t>upadacitinib</w:t>
      </w:r>
      <w:proofErr w:type="spellEnd"/>
      <w:r w:rsidRPr="00BE3BE7">
        <w:rPr>
          <w:lang w:val="en-GB"/>
        </w:rPr>
        <w:t xml:space="preserve"> model arm had a longer overall treatment sequence length than the control arm. </w:t>
      </w:r>
      <w:r w:rsidR="00EA0795" w:rsidRPr="00BE3BE7">
        <w:rPr>
          <w:lang w:val="en-GB"/>
        </w:rPr>
        <w:t xml:space="preserve">The </w:t>
      </w:r>
      <w:r w:rsidR="00EA0795" w:rsidRPr="005B364E">
        <w:rPr>
          <w:lang w:val="en-GB"/>
        </w:rPr>
        <w:t xml:space="preserve">ERG </w:t>
      </w:r>
      <w:r w:rsidR="00EA0795" w:rsidRPr="00BF04A4">
        <w:rPr>
          <w:lang w:val="en-GB"/>
        </w:rPr>
        <w:t>advised</w:t>
      </w:r>
      <w:r w:rsidR="00EA0795" w:rsidRPr="005B364E">
        <w:rPr>
          <w:lang w:val="en-GB"/>
        </w:rPr>
        <w:t xml:space="preserve"> that </w:t>
      </w:r>
      <w:r w:rsidR="00EA0795" w:rsidRPr="00BF04A4">
        <w:rPr>
          <w:lang w:val="en-GB"/>
        </w:rPr>
        <w:t>having unequal sequence lengths means at some point, an active treatment in the longer sequence</w:t>
      </w:r>
      <w:r w:rsidR="00971118">
        <w:rPr>
          <w:lang w:val="en-GB"/>
        </w:rPr>
        <w:t xml:space="preserve"> is</w:t>
      </w:r>
      <w:r w:rsidR="00EA0795" w:rsidRPr="00BF04A4">
        <w:rPr>
          <w:lang w:val="en-GB"/>
        </w:rPr>
        <w:t xml:space="preserve"> at the same position as best supportive care in the shorter sequence. The relative effectiveness of the active treatment at this point may be overest</w:t>
      </w:r>
      <w:r w:rsidR="00EA0795" w:rsidRPr="00260064">
        <w:rPr>
          <w:lang w:val="en-GB"/>
        </w:rPr>
        <w:t>imated if best supportive care</w:t>
      </w:r>
      <w:r w:rsidR="001543EA" w:rsidRPr="0035762B">
        <w:rPr>
          <w:lang w:val="en-GB"/>
        </w:rPr>
        <w:t xml:space="preserve"> </w:t>
      </w:r>
      <w:r w:rsidR="00EA0795" w:rsidRPr="00BE3BE7">
        <w:rPr>
          <w:lang w:val="en-GB"/>
        </w:rPr>
        <w:t xml:space="preserve">has no response rate (see </w:t>
      </w:r>
      <w:r w:rsidR="008418C3">
        <w:rPr>
          <w:lang w:val="en-GB"/>
        </w:rPr>
        <w:t>s</w:t>
      </w:r>
      <w:r w:rsidR="00EA0795" w:rsidRPr="001D75FC">
        <w:rPr>
          <w:lang w:val="en-GB"/>
        </w:rPr>
        <w:t>ection</w:t>
      </w:r>
      <w:r w:rsidR="00D50878">
        <w:rPr>
          <w:lang w:val="en-GB"/>
        </w:rPr>
        <w:t> </w:t>
      </w:r>
      <w:r w:rsidR="00CF0808" w:rsidRPr="001D75FC">
        <w:rPr>
          <w:lang w:val="en-GB"/>
        </w:rPr>
        <w:t>3.</w:t>
      </w:r>
      <w:r w:rsidR="000452BF">
        <w:rPr>
          <w:lang w:val="en-GB"/>
        </w:rPr>
        <w:t>9</w:t>
      </w:r>
      <w:r w:rsidR="00EA0795" w:rsidRPr="00DD05BD">
        <w:rPr>
          <w:lang w:val="en-GB"/>
        </w:rPr>
        <w:t>)</w:t>
      </w:r>
      <w:r w:rsidR="009C2849">
        <w:rPr>
          <w:lang w:val="en-GB"/>
        </w:rPr>
        <w:t>.</w:t>
      </w:r>
      <w:r w:rsidR="00EA0795" w:rsidRPr="001D75FC">
        <w:rPr>
          <w:lang w:val="en-GB"/>
        </w:rPr>
        <w:t xml:space="preserve"> </w:t>
      </w:r>
      <w:r w:rsidR="00E943F7">
        <w:rPr>
          <w:lang w:val="en-GB"/>
        </w:rPr>
        <w:t>The ERG was concerned that t</w:t>
      </w:r>
      <w:r w:rsidR="009C2849">
        <w:rPr>
          <w:lang w:val="en-GB"/>
        </w:rPr>
        <w:t>his</w:t>
      </w:r>
      <w:r w:rsidR="00EA0795" w:rsidRPr="009C2849">
        <w:rPr>
          <w:lang w:val="en-GB"/>
        </w:rPr>
        <w:t xml:space="preserve"> would bias the model in </w:t>
      </w:r>
      <w:r w:rsidR="00EA0795" w:rsidRPr="005B364E">
        <w:rPr>
          <w:lang w:val="en-GB"/>
        </w:rPr>
        <w:t xml:space="preserve">favour of </w:t>
      </w:r>
      <w:r w:rsidR="00EA0795" w:rsidRPr="00BF04A4">
        <w:rPr>
          <w:lang w:val="en-GB"/>
        </w:rPr>
        <w:t>the longer sequence (</w:t>
      </w:r>
      <w:r w:rsidR="0074624C">
        <w:rPr>
          <w:lang w:val="en-GB"/>
        </w:rPr>
        <w:t>that is,</w:t>
      </w:r>
      <w:r w:rsidR="00EA0795" w:rsidRPr="00BF04A4">
        <w:rPr>
          <w:lang w:val="en-GB"/>
        </w:rPr>
        <w:t xml:space="preserve"> </w:t>
      </w:r>
      <w:proofErr w:type="spellStart"/>
      <w:r w:rsidR="00EA0795" w:rsidRPr="005B364E">
        <w:rPr>
          <w:lang w:val="en-GB"/>
        </w:rPr>
        <w:t>upadacitinib</w:t>
      </w:r>
      <w:proofErr w:type="spellEnd"/>
      <w:r w:rsidR="00EA0795" w:rsidRPr="00BF04A4">
        <w:rPr>
          <w:lang w:val="en-GB"/>
        </w:rPr>
        <w:t xml:space="preserve">). The clinical expert advised that </w:t>
      </w:r>
      <w:r w:rsidR="00CD6BD4">
        <w:rPr>
          <w:lang w:val="en-GB"/>
        </w:rPr>
        <w:t>in practice, any DMARD treatment would be expected to have a lower response rate the later it is used in the treatment pathway, compared with if it was used earlier</w:t>
      </w:r>
      <w:r w:rsidR="00EA0795" w:rsidRPr="00260064">
        <w:rPr>
          <w:lang w:val="en-GB"/>
        </w:rPr>
        <w:t>. This was not captured in the network meta-analysis, which assumes a constant effect of each treatment regardless of its pathway</w:t>
      </w:r>
      <w:r w:rsidR="009C0F31">
        <w:rPr>
          <w:lang w:val="en-GB"/>
        </w:rPr>
        <w:t xml:space="preserve"> position</w:t>
      </w:r>
      <w:r w:rsidR="00EA0795" w:rsidRPr="00260064">
        <w:rPr>
          <w:lang w:val="en-GB"/>
        </w:rPr>
        <w:t xml:space="preserve">. </w:t>
      </w:r>
      <w:r w:rsidR="00C770F4">
        <w:rPr>
          <w:lang w:val="en-GB"/>
        </w:rPr>
        <w:t>So, t</w:t>
      </w:r>
      <w:r w:rsidR="003A202A" w:rsidRPr="005B364E">
        <w:rPr>
          <w:lang w:val="en-GB"/>
        </w:rPr>
        <w:t xml:space="preserve">he ERG </w:t>
      </w:r>
      <w:r w:rsidR="008F5421" w:rsidRPr="00BF04A4">
        <w:rPr>
          <w:lang w:val="en-GB"/>
        </w:rPr>
        <w:t>explained</w:t>
      </w:r>
      <w:r w:rsidR="008F5421" w:rsidRPr="005B364E">
        <w:rPr>
          <w:lang w:val="en-GB"/>
        </w:rPr>
        <w:t xml:space="preserve"> </w:t>
      </w:r>
      <w:r w:rsidR="008A69C3" w:rsidRPr="00BF04A4">
        <w:rPr>
          <w:lang w:val="en-GB"/>
        </w:rPr>
        <w:t xml:space="preserve">it </w:t>
      </w:r>
      <w:r w:rsidR="0028645D">
        <w:rPr>
          <w:lang w:val="en-GB"/>
        </w:rPr>
        <w:t>wa</w:t>
      </w:r>
      <w:r w:rsidR="008A69C3" w:rsidRPr="00BF04A4">
        <w:rPr>
          <w:lang w:val="en-GB"/>
        </w:rPr>
        <w:t>s likely that the model overestimate</w:t>
      </w:r>
      <w:r w:rsidR="00C80216">
        <w:rPr>
          <w:lang w:val="en-GB"/>
        </w:rPr>
        <w:t>d</w:t>
      </w:r>
      <w:r w:rsidR="008A69C3" w:rsidRPr="00BF04A4">
        <w:rPr>
          <w:lang w:val="en-GB"/>
        </w:rPr>
        <w:t xml:space="preserve"> the response r</w:t>
      </w:r>
      <w:r w:rsidR="008A69C3" w:rsidRPr="00260064">
        <w:rPr>
          <w:lang w:val="en-GB"/>
        </w:rPr>
        <w:t xml:space="preserve">ate of </w:t>
      </w:r>
      <w:r w:rsidR="008A69C3" w:rsidRPr="00260064">
        <w:rPr>
          <w:lang w:val="en-GB"/>
        </w:rPr>
        <w:lastRenderedPageBreak/>
        <w:t>treatments at later lines in the pathway</w:t>
      </w:r>
      <w:r w:rsidR="00FC7CBA">
        <w:rPr>
          <w:lang w:val="en-GB"/>
        </w:rPr>
        <w:t>.</w:t>
      </w:r>
      <w:r w:rsidR="008A69C3" w:rsidRPr="00260064">
        <w:rPr>
          <w:lang w:val="en-GB"/>
        </w:rPr>
        <w:t xml:space="preserve"> </w:t>
      </w:r>
      <w:r w:rsidR="00FC7CBA">
        <w:rPr>
          <w:lang w:val="en-GB"/>
        </w:rPr>
        <w:t>This</w:t>
      </w:r>
      <w:r w:rsidR="008A69C3" w:rsidRPr="00260064">
        <w:rPr>
          <w:lang w:val="en-GB"/>
        </w:rPr>
        <w:t xml:space="preserve"> </w:t>
      </w:r>
      <w:r w:rsidR="00117A47">
        <w:rPr>
          <w:lang w:val="en-GB"/>
        </w:rPr>
        <w:t xml:space="preserve">means </w:t>
      </w:r>
      <w:r w:rsidR="003A202A" w:rsidRPr="005B364E">
        <w:rPr>
          <w:lang w:val="en-GB"/>
        </w:rPr>
        <w:t xml:space="preserve">the </w:t>
      </w:r>
      <w:r w:rsidR="008F5421" w:rsidRPr="00BF04A4">
        <w:rPr>
          <w:lang w:val="en-GB"/>
        </w:rPr>
        <w:t>cost-effectiveness model</w:t>
      </w:r>
      <w:r w:rsidR="003A202A" w:rsidRPr="005B364E">
        <w:rPr>
          <w:lang w:val="en-GB"/>
        </w:rPr>
        <w:t xml:space="preserve"> </w:t>
      </w:r>
      <w:r w:rsidR="00117A47">
        <w:rPr>
          <w:lang w:val="en-GB"/>
        </w:rPr>
        <w:t xml:space="preserve">is further biased </w:t>
      </w:r>
      <w:r w:rsidR="003A202A" w:rsidRPr="005B364E">
        <w:rPr>
          <w:lang w:val="en-GB"/>
        </w:rPr>
        <w:t xml:space="preserve">in favour of </w:t>
      </w:r>
      <w:r w:rsidR="008A69C3" w:rsidRPr="00BF04A4">
        <w:rPr>
          <w:lang w:val="en-GB"/>
        </w:rPr>
        <w:t xml:space="preserve">the arm with the </w:t>
      </w:r>
      <w:r w:rsidR="00EA0795" w:rsidRPr="00260064">
        <w:rPr>
          <w:lang w:val="en-GB"/>
        </w:rPr>
        <w:t>long</w:t>
      </w:r>
      <w:r w:rsidR="008A69C3" w:rsidRPr="0035762B">
        <w:rPr>
          <w:lang w:val="en-GB"/>
        </w:rPr>
        <w:t>est treatment</w:t>
      </w:r>
      <w:r w:rsidR="00EA0795" w:rsidRPr="001D75FC">
        <w:rPr>
          <w:lang w:val="en-GB"/>
        </w:rPr>
        <w:t xml:space="preserve"> sequence (</w:t>
      </w:r>
      <w:proofErr w:type="spellStart"/>
      <w:r w:rsidR="003A202A" w:rsidRPr="005B364E">
        <w:rPr>
          <w:lang w:val="en-GB"/>
        </w:rPr>
        <w:t>upadacitinib</w:t>
      </w:r>
      <w:proofErr w:type="spellEnd"/>
      <w:r w:rsidR="00EA0795" w:rsidRPr="00BF04A4">
        <w:rPr>
          <w:lang w:val="en-GB"/>
        </w:rPr>
        <w:t>)</w:t>
      </w:r>
      <w:r w:rsidR="003A202A" w:rsidRPr="005B364E">
        <w:rPr>
          <w:lang w:val="en-GB"/>
        </w:rPr>
        <w:t xml:space="preserve">. </w:t>
      </w:r>
      <w:r w:rsidR="008A69C3" w:rsidRPr="00260064">
        <w:rPr>
          <w:lang w:val="en-GB"/>
        </w:rPr>
        <w:t xml:space="preserve">The committee concluded </w:t>
      </w:r>
      <w:r w:rsidR="001543EA" w:rsidRPr="001D75FC">
        <w:rPr>
          <w:lang w:val="en-GB"/>
        </w:rPr>
        <w:t>that unequal treatment le</w:t>
      </w:r>
      <w:r w:rsidR="001543EA" w:rsidRPr="00DD05BD">
        <w:rPr>
          <w:lang w:val="en-GB"/>
        </w:rPr>
        <w:t>ngths may bias cost-effectiveness results.</w:t>
      </w:r>
      <w:bookmarkEnd w:id="13"/>
    </w:p>
    <w:p w14:paraId="0214ADBB" w14:textId="77777777" w:rsidR="00023EF2" w:rsidRPr="00260064" w:rsidRDefault="00023EF2" w:rsidP="00023EF2">
      <w:pPr>
        <w:pStyle w:val="Heading2"/>
      </w:pPr>
      <w:r w:rsidRPr="00BF04A4">
        <w:t>Best supportive care response rate</w:t>
      </w:r>
    </w:p>
    <w:p w14:paraId="6E597F3A" w14:textId="77777777" w:rsidR="00C30D11" w:rsidRPr="00BE3BE7" w:rsidRDefault="00D44439" w:rsidP="00C30D11">
      <w:pPr>
        <w:pStyle w:val="NICEnormal"/>
        <w:rPr>
          <w:b/>
          <w:bCs/>
        </w:rPr>
      </w:pPr>
      <w:r w:rsidRPr="00BE3BE7">
        <w:rPr>
          <w:b/>
          <w:bCs/>
        </w:rPr>
        <w:t xml:space="preserve">It is not appropriate to model both a 0% response rate for best supportive care and the full response rate from the clinical evidence for </w:t>
      </w:r>
      <w:proofErr w:type="spellStart"/>
      <w:r w:rsidRPr="00BE3BE7">
        <w:rPr>
          <w:b/>
          <w:bCs/>
        </w:rPr>
        <w:t>upadacitinib</w:t>
      </w:r>
      <w:proofErr w:type="spellEnd"/>
      <w:r w:rsidRPr="00BE3BE7">
        <w:rPr>
          <w:b/>
          <w:bCs/>
        </w:rPr>
        <w:t xml:space="preserve"> </w:t>
      </w:r>
    </w:p>
    <w:p w14:paraId="7A72B8EC" w14:textId="424FC283" w:rsidR="00011595" w:rsidRPr="005B364E" w:rsidRDefault="00011595" w:rsidP="0062332C">
      <w:pPr>
        <w:pStyle w:val="Numberedlevel2text"/>
        <w:rPr>
          <w:lang w:val="en-GB"/>
        </w:rPr>
      </w:pPr>
      <w:bookmarkStart w:id="14" w:name="_Ref29455628"/>
      <w:r w:rsidRPr="005B364E">
        <w:rPr>
          <w:lang w:val="en-GB"/>
        </w:rPr>
        <w:t xml:space="preserve">After </w:t>
      </w:r>
      <w:r w:rsidR="00D44439" w:rsidRPr="00BF04A4">
        <w:rPr>
          <w:lang w:val="en-GB"/>
        </w:rPr>
        <w:t>2</w:t>
      </w:r>
      <w:r w:rsidR="00D44439" w:rsidRPr="005B364E">
        <w:rPr>
          <w:lang w:val="en-GB"/>
        </w:rPr>
        <w:t xml:space="preserve"> </w:t>
      </w:r>
      <w:r w:rsidR="001B21DA" w:rsidRPr="005B364E">
        <w:rPr>
          <w:lang w:val="en-GB"/>
        </w:rPr>
        <w:t xml:space="preserve">or more </w:t>
      </w:r>
      <w:r w:rsidR="00D44439" w:rsidRPr="00BF04A4">
        <w:rPr>
          <w:lang w:val="en-GB"/>
        </w:rPr>
        <w:t>conventi</w:t>
      </w:r>
      <w:r w:rsidR="00D44439" w:rsidRPr="00260064">
        <w:rPr>
          <w:lang w:val="en-GB"/>
        </w:rPr>
        <w:t xml:space="preserve">onal </w:t>
      </w:r>
      <w:r w:rsidR="001B21DA" w:rsidRPr="005B364E">
        <w:rPr>
          <w:lang w:val="en-GB"/>
        </w:rPr>
        <w:t>DMARD</w:t>
      </w:r>
      <w:r w:rsidR="00D44439" w:rsidRPr="00BF04A4">
        <w:rPr>
          <w:lang w:val="en-GB"/>
        </w:rPr>
        <w:t>s</w:t>
      </w:r>
      <w:r w:rsidR="001B21DA" w:rsidRPr="005B364E">
        <w:rPr>
          <w:lang w:val="en-GB"/>
        </w:rPr>
        <w:t xml:space="preserve">, the company’s base case compared </w:t>
      </w:r>
      <w:proofErr w:type="spellStart"/>
      <w:r w:rsidR="001B21DA" w:rsidRPr="005B364E">
        <w:rPr>
          <w:lang w:val="en-GB"/>
        </w:rPr>
        <w:t>upadacitinib</w:t>
      </w:r>
      <w:proofErr w:type="spellEnd"/>
      <w:r w:rsidR="001B21DA" w:rsidRPr="005B364E">
        <w:rPr>
          <w:lang w:val="en-GB"/>
        </w:rPr>
        <w:t xml:space="preserve"> with best supportive care. In this analysis, best supportive care was assumed to </w:t>
      </w:r>
      <w:r w:rsidR="00C9041D">
        <w:rPr>
          <w:lang w:val="en-GB"/>
        </w:rPr>
        <w:t>give</w:t>
      </w:r>
      <w:r w:rsidR="001B21DA" w:rsidRPr="005B364E">
        <w:rPr>
          <w:lang w:val="en-GB"/>
        </w:rPr>
        <w:t xml:space="preserve"> no EULAR response</w:t>
      </w:r>
      <w:r w:rsidR="00D44439" w:rsidRPr="00BF04A4">
        <w:rPr>
          <w:lang w:val="en-GB"/>
        </w:rPr>
        <w:t xml:space="preserve"> (0% response rate)</w:t>
      </w:r>
      <w:r w:rsidR="001B21DA" w:rsidRPr="005B364E">
        <w:rPr>
          <w:lang w:val="en-GB"/>
        </w:rPr>
        <w:t xml:space="preserve">. The ERG </w:t>
      </w:r>
      <w:r w:rsidR="00D44439" w:rsidRPr="00BF04A4">
        <w:rPr>
          <w:lang w:val="en-GB"/>
        </w:rPr>
        <w:t>explained</w:t>
      </w:r>
      <w:r w:rsidR="00D44439" w:rsidRPr="005B364E">
        <w:rPr>
          <w:lang w:val="en-GB"/>
        </w:rPr>
        <w:t xml:space="preserve"> </w:t>
      </w:r>
      <w:r w:rsidR="001B21DA" w:rsidRPr="005B364E">
        <w:rPr>
          <w:lang w:val="en-GB"/>
        </w:rPr>
        <w:t>that t</w:t>
      </w:r>
      <w:r w:rsidR="00D44439" w:rsidRPr="00BF04A4">
        <w:rPr>
          <w:lang w:val="en-GB"/>
        </w:rPr>
        <w:t xml:space="preserve">he control arms of the </w:t>
      </w:r>
      <w:proofErr w:type="spellStart"/>
      <w:r w:rsidR="00D44439" w:rsidRPr="00BF04A4">
        <w:rPr>
          <w:lang w:val="en-GB"/>
        </w:rPr>
        <w:t>upadacitinib</w:t>
      </w:r>
      <w:proofErr w:type="spellEnd"/>
      <w:r w:rsidR="001543EA" w:rsidRPr="00260064">
        <w:rPr>
          <w:lang w:val="en-GB"/>
        </w:rPr>
        <w:t xml:space="preserve"> trials</w:t>
      </w:r>
      <w:r w:rsidR="00D44439" w:rsidRPr="0035762B">
        <w:rPr>
          <w:lang w:val="en-GB"/>
        </w:rPr>
        <w:t>, in</w:t>
      </w:r>
      <w:r w:rsidR="00D44439" w:rsidRPr="001D75FC">
        <w:rPr>
          <w:lang w:val="en-GB"/>
        </w:rPr>
        <w:t>cluding placebo controls, showed notable response rates</w:t>
      </w:r>
      <w:r w:rsidR="001B21DA" w:rsidRPr="005B364E">
        <w:rPr>
          <w:lang w:val="en-GB"/>
        </w:rPr>
        <w:t>.</w:t>
      </w:r>
      <w:r w:rsidR="00D44439" w:rsidRPr="00BF04A4">
        <w:rPr>
          <w:lang w:val="en-GB"/>
        </w:rPr>
        <w:t xml:space="preserve"> This is consistent with the placebo arms of other trials in rheumatoid arthritis.</w:t>
      </w:r>
      <w:r w:rsidR="001B21DA" w:rsidRPr="005B364E">
        <w:rPr>
          <w:lang w:val="en-GB"/>
        </w:rPr>
        <w:t xml:space="preserve"> The</w:t>
      </w:r>
      <w:r w:rsidR="00D44439" w:rsidRPr="00BF04A4">
        <w:rPr>
          <w:lang w:val="en-GB"/>
        </w:rPr>
        <w:t xml:space="preserve"> ERG advised</w:t>
      </w:r>
      <w:r w:rsidR="001B21DA" w:rsidRPr="005B364E">
        <w:rPr>
          <w:lang w:val="en-GB"/>
        </w:rPr>
        <w:t xml:space="preserve"> that </w:t>
      </w:r>
      <w:r w:rsidR="00D44439" w:rsidRPr="00BF04A4">
        <w:rPr>
          <w:lang w:val="en-GB"/>
        </w:rPr>
        <w:t xml:space="preserve">some proportion of the </w:t>
      </w:r>
      <w:proofErr w:type="spellStart"/>
      <w:r w:rsidR="00D44439" w:rsidRPr="005B364E">
        <w:rPr>
          <w:lang w:val="en-GB"/>
        </w:rPr>
        <w:t>upadacitinib</w:t>
      </w:r>
      <w:proofErr w:type="spellEnd"/>
      <w:r w:rsidR="00D44439" w:rsidRPr="005B364E">
        <w:rPr>
          <w:lang w:val="en-GB"/>
        </w:rPr>
        <w:t xml:space="preserve"> response </w:t>
      </w:r>
      <w:r w:rsidR="0085348A">
        <w:rPr>
          <w:lang w:val="en-GB"/>
        </w:rPr>
        <w:t>seen</w:t>
      </w:r>
      <w:r w:rsidR="00D44439" w:rsidRPr="00BF04A4">
        <w:rPr>
          <w:lang w:val="en-GB"/>
        </w:rPr>
        <w:t xml:space="preserve"> </w:t>
      </w:r>
      <w:r w:rsidR="00D44439" w:rsidRPr="005B364E">
        <w:rPr>
          <w:lang w:val="en-GB"/>
        </w:rPr>
        <w:t>in the clinical trials</w:t>
      </w:r>
      <w:r w:rsidR="00D44439" w:rsidRPr="00BF04A4">
        <w:rPr>
          <w:lang w:val="en-GB"/>
        </w:rPr>
        <w:t xml:space="preserve"> would be caused by </w:t>
      </w:r>
      <w:r w:rsidR="00D44439" w:rsidRPr="00260064">
        <w:rPr>
          <w:lang w:val="en-GB"/>
        </w:rPr>
        <w:t xml:space="preserve">the same </w:t>
      </w:r>
      <w:r w:rsidR="001B21DA" w:rsidRPr="005B364E">
        <w:rPr>
          <w:lang w:val="en-GB"/>
        </w:rPr>
        <w:t xml:space="preserve">placebo effect </w:t>
      </w:r>
      <w:r w:rsidR="00B82B4C">
        <w:rPr>
          <w:lang w:val="en-GB"/>
        </w:rPr>
        <w:t>seen</w:t>
      </w:r>
      <w:r w:rsidR="00D44439" w:rsidRPr="00BF04A4">
        <w:rPr>
          <w:lang w:val="en-GB"/>
        </w:rPr>
        <w:t xml:space="preserve"> </w:t>
      </w:r>
      <w:r w:rsidR="00B82B4C">
        <w:rPr>
          <w:lang w:val="en-GB"/>
        </w:rPr>
        <w:t>i</w:t>
      </w:r>
      <w:r w:rsidR="00D44439" w:rsidRPr="00BF04A4">
        <w:rPr>
          <w:lang w:val="en-GB"/>
        </w:rPr>
        <w:t>n the control arms</w:t>
      </w:r>
      <w:r w:rsidR="001B21DA" w:rsidRPr="005B364E">
        <w:rPr>
          <w:lang w:val="en-GB"/>
        </w:rPr>
        <w:t xml:space="preserve">. The ERG therefore </w:t>
      </w:r>
      <w:r w:rsidR="00D44439" w:rsidRPr="00BF04A4">
        <w:rPr>
          <w:lang w:val="en-GB"/>
        </w:rPr>
        <w:t>preferred to apply</w:t>
      </w:r>
      <w:r w:rsidR="00D44439" w:rsidRPr="005B364E">
        <w:rPr>
          <w:lang w:val="en-GB"/>
        </w:rPr>
        <w:t xml:space="preserve"> </w:t>
      </w:r>
      <w:r w:rsidR="001B21DA" w:rsidRPr="005B364E">
        <w:rPr>
          <w:lang w:val="en-GB"/>
        </w:rPr>
        <w:t xml:space="preserve">the placebo response from the </w:t>
      </w:r>
      <w:r w:rsidR="00D27023" w:rsidRPr="005B364E">
        <w:rPr>
          <w:lang w:val="en-GB"/>
        </w:rPr>
        <w:t>network</w:t>
      </w:r>
      <w:r w:rsidR="008D3A5A">
        <w:rPr>
          <w:lang w:val="en-GB"/>
        </w:rPr>
        <w:t xml:space="preserve"> </w:t>
      </w:r>
      <w:r w:rsidR="00D27023" w:rsidRPr="005B364E">
        <w:rPr>
          <w:lang w:val="en-GB"/>
        </w:rPr>
        <w:t>meta</w:t>
      </w:r>
      <w:r w:rsidR="008D3A5A">
        <w:rPr>
          <w:lang w:val="en-GB"/>
        </w:rPr>
        <w:t>-</w:t>
      </w:r>
      <w:r w:rsidR="00D27023" w:rsidRPr="005B364E">
        <w:rPr>
          <w:lang w:val="en-GB"/>
        </w:rPr>
        <w:t>analysis</w:t>
      </w:r>
      <w:r w:rsidR="00DA655E" w:rsidRPr="005B364E">
        <w:rPr>
          <w:lang w:val="en-GB"/>
        </w:rPr>
        <w:t xml:space="preserve"> to best supportive care when it was compared </w:t>
      </w:r>
      <w:r w:rsidR="00D35297">
        <w:rPr>
          <w:lang w:val="en-GB"/>
        </w:rPr>
        <w:t>with</w:t>
      </w:r>
      <w:r w:rsidR="00DA655E" w:rsidRPr="005B364E">
        <w:rPr>
          <w:lang w:val="en-GB"/>
        </w:rPr>
        <w:t xml:space="preserve"> </w:t>
      </w:r>
      <w:proofErr w:type="spellStart"/>
      <w:r w:rsidR="00DA655E" w:rsidRPr="005B364E">
        <w:rPr>
          <w:lang w:val="en-GB"/>
        </w:rPr>
        <w:t>upadacitinib</w:t>
      </w:r>
      <w:proofErr w:type="spellEnd"/>
      <w:r w:rsidR="00DA655E" w:rsidRPr="005B364E">
        <w:rPr>
          <w:lang w:val="en-GB"/>
        </w:rPr>
        <w:t xml:space="preserve">. </w:t>
      </w:r>
      <w:r w:rsidR="00D44439" w:rsidRPr="00BF04A4">
        <w:rPr>
          <w:lang w:val="en-GB"/>
        </w:rPr>
        <w:t>The c</w:t>
      </w:r>
      <w:r w:rsidR="00DA655E" w:rsidRPr="005B364E">
        <w:rPr>
          <w:lang w:val="en-GB"/>
        </w:rPr>
        <w:t xml:space="preserve">ommittee </w:t>
      </w:r>
      <w:r w:rsidR="00D44439" w:rsidRPr="00BF04A4">
        <w:rPr>
          <w:lang w:val="en-GB"/>
        </w:rPr>
        <w:t xml:space="preserve">recalled that the clinical expert would not expect best supportive care to </w:t>
      </w:r>
      <w:r w:rsidR="00572D42">
        <w:rPr>
          <w:lang w:val="en-GB"/>
        </w:rPr>
        <w:t>give</w:t>
      </w:r>
      <w:r w:rsidR="00D44439" w:rsidRPr="00BF04A4">
        <w:rPr>
          <w:lang w:val="en-GB"/>
        </w:rPr>
        <w:t xml:space="preserve"> a treatment response at this position. However, it agreed that the placebo effect will be </w:t>
      </w:r>
      <w:r w:rsidR="00D44439" w:rsidRPr="00260064">
        <w:rPr>
          <w:lang w:val="en-GB"/>
        </w:rPr>
        <w:t xml:space="preserve">present in the </w:t>
      </w:r>
      <w:proofErr w:type="spellStart"/>
      <w:r w:rsidR="00D44439" w:rsidRPr="00260064">
        <w:rPr>
          <w:lang w:val="en-GB"/>
        </w:rPr>
        <w:t>upadacitinib</w:t>
      </w:r>
      <w:proofErr w:type="spellEnd"/>
      <w:r w:rsidR="00D44439" w:rsidRPr="00260064">
        <w:rPr>
          <w:lang w:val="en-GB"/>
        </w:rPr>
        <w:t xml:space="preserve"> response rates</w:t>
      </w:r>
      <w:r w:rsidR="00E74693">
        <w:rPr>
          <w:lang w:val="en-GB"/>
        </w:rPr>
        <w:t>.</w:t>
      </w:r>
      <w:r w:rsidR="00D44439" w:rsidRPr="00260064">
        <w:rPr>
          <w:lang w:val="en-GB"/>
        </w:rPr>
        <w:t xml:space="preserve"> </w:t>
      </w:r>
      <w:r w:rsidR="00E74693">
        <w:rPr>
          <w:lang w:val="en-GB"/>
        </w:rPr>
        <w:t>T</w:t>
      </w:r>
      <w:r w:rsidR="00D44439" w:rsidRPr="00260064">
        <w:rPr>
          <w:lang w:val="en-GB"/>
        </w:rPr>
        <w:t>herefore</w:t>
      </w:r>
      <w:r w:rsidR="00E74693">
        <w:rPr>
          <w:lang w:val="en-GB"/>
        </w:rPr>
        <w:t>,</w:t>
      </w:r>
      <w:r w:rsidR="00D44439" w:rsidRPr="00260064">
        <w:rPr>
          <w:lang w:val="en-GB"/>
        </w:rPr>
        <w:t xml:space="preserve"> comparing this with a 0% response rate would overestimate the effectiveness of </w:t>
      </w:r>
      <w:proofErr w:type="spellStart"/>
      <w:r w:rsidR="00D44439" w:rsidRPr="00260064">
        <w:rPr>
          <w:lang w:val="en-GB"/>
        </w:rPr>
        <w:t>upadacitinib</w:t>
      </w:r>
      <w:proofErr w:type="spellEnd"/>
      <w:r w:rsidR="00D44439" w:rsidRPr="00260064">
        <w:rPr>
          <w:lang w:val="en-GB"/>
        </w:rPr>
        <w:t xml:space="preserve"> relative to best supportive care. The committee concluded that </w:t>
      </w:r>
      <w:r w:rsidR="00C559F9" w:rsidRPr="0035762B">
        <w:rPr>
          <w:lang w:val="en-GB"/>
        </w:rPr>
        <w:t xml:space="preserve">it </w:t>
      </w:r>
      <w:r w:rsidR="00934685">
        <w:rPr>
          <w:lang w:val="en-GB"/>
        </w:rPr>
        <w:t>wa</w:t>
      </w:r>
      <w:r w:rsidR="00C559F9" w:rsidRPr="001D75FC">
        <w:rPr>
          <w:lang w:val="en-GB"/>
        </w:rPr>
        <w:t>s not appropriate to apply a 0% res</w:t>
      </w:r>
      <w:r w:rsidR="00C559F9" w:rsidRPr="00BE3BE7">
        <w:rPr>
          <w:lang w:val="en-GB"/>
        </w:rPr>
        <w:t xml:space="preserve">ponse rate for best supportive care while also applying the full, observed response rate for </w:t>
      </w:r>
      <w:proofErr w:type="spellStart"/>
      <w:r w:rsidR="00C559F9" w:rsidRPr="00BE3BE7">
        <w:rPr>
          <w:lang w:val="en-GB"/>
        </w:rPr>
        <w:t>upadacitinib</w:t>
      </w:r>
      <w:proofErr w:type="spellEnd"/>
      <w:r w:rsidR="00C559F9" w:rsidRPr="00BE3BE7">
        <w:rPr>
          <w:lang w:val="en-GB"/>
        </w:rPr>
        <w:t>. It also agreed that th</w:t>
      </w:r>
      <w:r w:rsidR="00BE318E">
        <w:rPr>
          <w:lang w:val="en-GB"/>
        </w:rPr>
        <w:t>is also</w:t>
      </w:r>
      <w:r w:rsidR="00C559F9" w:rsidRPr="00DD05BD">
        <w:rPr>
          <w:lang w:val="en-GB"/>
        </w:rPr>
        <w:t xml:space="preserve"> </w:t>
      </w:r>
      <w:r w:rsidR="00C559F9" w:rsidRPr="00BE3BE7">
        <w:rPr>
          <w:lang w:val="en-GB"/>
        </w:rPr>
        <w:t>applies whe</w:t>
      </w:r>
      <w:r w:rsidR="00FC6700">
        <w:rPr>
          <w:lang w:val="en-GB"/>
        </w:rPr>
        <w:t>n</w:t>
      </w:r>
      <w:r w:rsidR="00C559F9" w:rsidRPr="001D75FC">
        <w:rPr>
          <w:lang w:val="en-GB"/>
        </w:rPr>
        <w:t xml:space="preserve"> best supportive care </w:t>
      </w:r>
      <w:r w:rsidR="00F0041E">
        <w:rPr>
          <w:lang w:val="en-GB"/>
        </w:rPr>
        <w:t>wa</w:t>
      </w:r>
      <w:r w:rsidR="00C559F9" w:rsidRPr="001D75FC">
        <w:rPr>
          <w:lang w:val="en-GB"/>
        </w:rPr>
        <w:t>s at the same position as any active treatment in comparative treatment seq</w:t>
      </w:r>
      <w:r w:rsidR="00C559F9" w:rsidRPr="00DD05BD">
        <w:rPr>
          <w:lang w:val="en-GB"/>
        </w:rPr>
        <w:t xml:space="preserve">uences (see </w:t>
      </w:r>
      <w:r w:rsidR="00342696">
        <w:rPr>
          <w:lang w:val="en-GB"/>
        </w:rPr>
        <w:t>s</w:t>
      </w:r>
      <w:r w:rsidR="00C559F9" w:rsidRPr="001D75FC">
        <w:rPr>
          <w:lang w:val="en-GB"/>
        </w:rPr>
        <w:t>ection</w:t>
      </w:r>
      <w:r w:rsidR="00FA0A5D">
        <w:rPr>
          <w:lang w:val="en-GB"/>
        </w:rPr>
        <w:t> </w:t>
      </w:r>
      <w:r w:rsidR="00CF0808" w:rsidRPr="001D75FC">
        <w:rPr>
          <w:lang w:val="en-GB"/>
        </w:rPr>
        <w:t>3.1</w:t>
      </w:r>
      <w:r w:rsidR="000452BF">
        <w:rPr>
          <w:lang w:val="en-GB"/>
        </w:rPr>
        <w:t>0</w:t>
      </w:r>
      <w:r w:rsidR="00C559F9" w:rsidRPr="00DD05BD">
        <w:rPr>
          <w:lang w:val="en-GB"/>
        </w:rPr>
        <w:t>).</w:t>
      </w:r>
      <w:bookmarkEnd w:id="14"/>
    </w:p>
    <w:p w14:paraId="1E2D3963" w14:textId="2DC71B58" w:rsidR="00C30D11" w:rsidRPr="0035762B" w:rsidRDefault="00C30D11" w:rsidP="00C30D11">
      <w:pPr>
        <w:pStyle w:val="Heading3"/>
      </w:pPr>
      <w:r w:rsidRPr="00BF04A4">
        <w:lastRenderedPageBreak/>
        <w:t xml:space="preserve">The company’s </w:t>
      </w:r>
      <w:r w:rsidR="00D73A46">
        <w:t>‘</w:t>
      </w:r>
      <w:r w:rsidRPr="00BF04A4">
        <w:t>net treatment effect</w:t>
      </w:r>
      <w:r w:rsidR="00D73A46">
        <w:t>’</w:t>
      </w:r>
      <w:r w:rsidRPr="00BF04A4">
        <w:t xml:space="preserve"> analysis </w:t>
      </w:r>
      <w:r w:rsidR="004362C3" w:rsidRPr="00260064">
        <w:t>may be</w:t>
      </w:r>
      <w:r w:rsidRPr="0035762B">
        <w:t xml:space="preserve"> </w:t>
      </w:r>
      <w:r w:rsidR="00E21483" w:rsidRPr="001D75FC">
        <w:t>appropriate</w:t>
      </w:r>
      <w:r w:rsidR="00E112B6">
        <w:t xml:space="preserve"> to</w:t>
      </w:r>
      <w:r w:rsidR="00E21483" w:rsidRPr="001D75FC">
        <w:t xml:space="preserve"> model</w:t>
      </w:r>
      <w:r w:rsidR="00E21483" w:rsidRPr="00BE3BE7">
        <w:t xml:space="preserve"> effectiveness of </w:t>
      </w:r>
      <w:proofErr w:type="spellStart"/>
      <w:r w:rsidR="00E21483" w:rsidRPr="00BE3BE7">
        <w:t>upadacitinib</w:t>
      </w:r>
      <w:proofErr w:type="spellEnd"/>
      <w:r w:rsidR="00E21483" w:rsidRPr="00BE3BE7">
        <w:t xml:space="preserve"> relative to best s</w:t>
      </w:r>
      <w:r w:rsidR="00E21483" w:rsidRPr="00E112B6">
        <w:t>upportive care, but not the relative costs</w:t>
      </w:r>
    </w:p>
    <w:p w14:paraId="47FF43FC" w14:textId="5ECCD572" w:rsidR="00D27023" w:rsidRPr="005B364E" w:rsidRDefault="004362C3" w:rsidP="0062332C">
      <w:pPr>
        <w:pStyle w:val="Numberedlevel2text"/>
        <w:rPr>
          <w:lang w:val="en-GB"/>
        </w:rPr>
      </w:pPr>
      <w:bookmarkStart w:id="15" w:name="_Ref29462042"/>
      <w:r w:rsidRPr="001D75FC">
        <w:rPr>
          <w:lang w:val="en-GB"/>
        </w:rPr>
        <w:t>In its response to technical engagement, the</w:t>
      </w:r>
      <w:r w:rsidRPr="005B364E">
        <w:rPr>
          <w:lang w:val="en-GB"/>
        </w:rPr>
        <w:t xml:space="preserve"> </w:t>
      </w:r>
      <w:r w:rsidR="00D27023" w:rsidRPr="005B364E">
        <w:rPr>
          <w:lang w:val="en-GB"/>
        </w:rPr>
        <w:t xml:space="preserve">company provided a scenario analysis which </w:t>
      </w:r>
      <w:r w:rsidRPr="00BF04A4">
        <w:rPr>
          <w:lang w:val="en-GB"/>
        </w:rPr>
        <w:t xml:space="preserve">estimated the </w:t>
      </w:r>
      <w:r w:rsidR="00A83ABD">
        <w:rPr>
          <w:lang w:val="en-GB"/>
        </w:rPr>
        <w:t>‘</w:t>
      </w:r>
      <w:r w:rsidRPr="00BF04A4">
        <w:rPr>
          <w:lang w:val="en-GB"/>
        </w:rPr>
        <w:t>net treatment effect</w:t>
      </w:r>
      <w:r w:rsidR="00A83ABD">
        <w:rPr>
          <w:lang w:val="en-GB"/>
        </w:rPr>
        <w:t>’</w:t>
      </w:r>
      <w:r w:rsidRPr="00BF04A4">
        <w:rPr>
          <w:lang w:val="en-GB"/>
        </w:rPr>
        <w:t xml:space="preserve"> of </w:t>
      </w:r>
      <w:proofErr w:type="spellStart"/>
      <w:r w:rsidRPr="00BF04A4">
        <w:rPr>
          <w:lang w:val="en-GB"/>
        </w:rPr>
        <w:t>upadacitinib</w:t>
      </w:r>
      <w:proofErr w:type="spellEnd"/>
      <w:r w:rsidRPr="00BF04A4">
        <w:rPr>
          <w:lang w:val="en-GB"/>
        </w:rPr>
        <w:t xml:space="preserve"> relative to the trial control arms. This decreased the </w:t>
      </w:r>
      <w:proofErr w:type="spellStart"/>
      <w:r w:rsidRPr="00BF04A4">
        <w:rPr>
          <w:lang w:val="en-GB"/>
        </w:rPr>
        <w:t>upadacitinib</w:t>
      </w:r>
      <w:proofErr w:type="spellEnd"/>
      <w:r w:rsidRPr="00BF04A4">
        <w:rPr>
          <w:lang w:val="en-GB"/>
        </w:rPr>
        <w:t xml:space="preserve"> response rate to reflect that some of the overall response </w:t>
      </w:r>
      <w:r w:rsidR="0035762B">
        <w:rPr>
          <w:lang w:val="en-GB"/>
        </w:rPr>
        <w:t xml:space="preserve">could </w:t>
      </w:r>
      <w:r w:rsidRPr="00BF04A4">
        <w:rPr>
          <w:lang w:val="en-GB"/>
        </w:rPr>
        <w:t xml:space="preserve">be </w:t>
      </w:r>
      <w:r w:rsidR="0035762B">
        <w:rPr>
          <w:lang w:val="en-GB"/>
        </w:rPr>
        <w:t>because of</w:t>
      </w:r>
      <w:r w:rsidRPr="00BF04A4">
        <w:rPr>
          <w:lang w:val="en-GB"/>
        </w:rPr>
        <w:t xml:space="preserve"> a trial or placebo effect. In</w:t>
      </w:r>
      <w:r w:rsidRPr="00260064">
        <w:rPr>
          <w:lang w:val="en-GB"/>
        </w:rPr>
        <w:t xml:space="preserve"> this analysis, the company used the resulting, lower </w:t>
      </w:r>
      <w:r w:rsidR="00D27023" w:rsidRPr="005B364E">
        <w:rPr>
          <w:lang w:val="en-GB"/>
        </w:rPr>
        <w:t xml:space="preserve">response rate </w:t>
      </w:r>
      <w:r w:rsidR="0050257D">
        <w:rPr>
          <w:lang w:val="en-GB"/>
        </w:rPr>
        <w:t>for</w:t>
      </w:r>
      <w:r w:rsidRPr="00BF04A4">
        <w:rPr>
          <w:lang w:val="en-GB"/>
        </w:rPr>
        <w:t xml:space="preserve"> the </w:t>
      </w:r>
      <w:proofErr w:type="spellStart"/>
      <w:r w:rsidRPr="00BF04A4">
        <w:rPr>
          <w:lang w:val="en-GB"/>
        </w:rPr>
        <w:t>upadacitinib</w:t>
      </w:r>
      <w:proofErr w:type="spellEnd"/>
      <w:r w:rsidRPr="00BF04A4">
        <w:rPr>
          <w:lang w:val="en-GB"/>
        </w:rPr>
        <w:t xml:space="preserve"> model arm, </w:t>
      </w:r>
      <w:r w:rsidR="00D27023" w:rsidRPr="005B364E">
        <w:rPr>
          <w:lang w:val="en-GB"/>
        </w:rPr>
        <w:t xml:space="preserve">compared with a </w:t>
      </w:r>
      <w:r w:rsidRPr="00BF04A4">
        <w:rPr>
          <w:lang w:val="en-GB"/>
        </w:rPr>
        <w:t xml:space="preserve">0% </w:t>
      </w:r>
      <w:r w:rsidR="008E529E" w:rsidRPr="005B364E">
        <w:rPr>
          <w:lang w:val="en-GB"/>
        </w:rPr>
        <w:t>response</w:t>
      </w:r>
      <w:r w:rsidR="00D27023" w:rsidRPr="005B364E">
        <w:rPr>
          <w:lang w:val="en-GB"/>
        </w:rPr>
        <w:t xml:space="preserve"> rate </w:t>
      </w:r>
      <w:r w:rsidR="00216F13">
        <w:rPr>
          <w:lang w:val="en-GB"/>
        </w:rPr>
        <w:t>for</w:t>
      </w:r>
      <w:r w:rsidRPr="00BF04A4">
        <w:rPr>
          <w:lang w:val="en-GB"/>
        </w:rPr>
        <w:t xml:space="preserve"> the</w:t>
      </w:r>
      <w:r w:rsidRPr="005B364E">
        <w:rPr>
          <w:lang w:val="en-GB"/>
        </w:rPr>
        <w:t xml:space="preserve"> </w:t>
      </w:r>
      <w:r w:rsidR="00D27023" w:rsidRPr="005B364E">
        <w:rPr>
          <w:lang w:val="en-GB"/>
        </w:rPr>
        <w:t>best supportive care</w:t>
      </w:r>
      <w:r w:rsidRPr="00BF04A4">
        <w:rPr>
          <w:lang w:val="en-GB"/>
        </w:rPr>
        <w:t xml:space="preserve"> arm</w:t>
      </w:r>
      <w:r w:rsidR="00D27023" w:rsidRPr="005B364E">
        <w:rPr>
          <w:lang w:val="en-GB"/>
        </w:rPr>
        <w:t>. The ERG ex</w:t>
      </w:r>
      <w:r w:rsidR="004D17CF" w:rsidRPr="005B364E">
        <w:rPr>
          <w:lang w:val="en-GB"/>
        </w:rPr>
        <w:t xml:space="preserve">plained that reducing the response rate for </w:t>
      </w:r>
      <w:proofErr w:type="spellStart"/>
      <w:r w:rsidR="004D17CF" w:rsidRPr="005B364E">
        <w:rPr>
          <w:lang w:val="en-GB"/>
        </w:rPr>
        <w:t>upadacitinib</w:t>
      </w:r>
      <w:proofErr w:type="spellEnd"/>
      <w:r w:rsidR="004D17CF" w:rsidRPr="005B364E">
        <w:rPr>
          <w:lang w:val="en-GB"/>
        </w:rPr>
        <w:t xml:space="preserve"> </w:t>
      </w:r>
      <w:r w:rsidRPr="00BF04A4">
        <w:rPr>
          <w:lang w:val="en-GB"/>
        </w:rPr>
        <w:t>may underestimate the tr</w:t>
      </w:r>
      <w:r w:rsidRPr="00260064">
        <w:rPr>
          <w:lang w:val="en-GB"/>
        </w:rPr>
        <w:t xml:space="preserve">eatment </w:t>
      </w:r>
      <w:r w:rsidR="004D17CF" w:rsidRPr="005B364E">
        <w:rPr>
          <w:lang w:val="en-GB"/>
        </w:rPr>
        <w:t>cost in the model</w:t>
      </w:r>
      <w:r w:rsidRPr="00BF04A4">
        <w:rPr>
          <w:lang w:val="en-GB"/>
        </w:rPr>
        <w:t>,</w:t>
      </w:r>
      <w:r w:rsidR="004D17CF" w:rsidRPr="005B364E">
        <w:rPr>
          <w:lang w:val="en-GB"/>
        </w:rPr>
        <w:t xml:space="preserve"> </w:t>
      </w:r>
      <w:r w:rsidRPr="00BF04A4">
        <w:rPr>
          <w:lang w:val="en-GB"/>
        </w:rPr>
        <w:t>compared with what</w:t>
      </w:r>
      <w:r w:rsidRPr="005B364E">
        <w:rPr>
          <w:lang w:val="en-GB"/>
        </w:rPr>
        <w:t xml:space="preserve"> </w:t>
      </w:r>
      <w:r w:rsidR="004D17CF" w:rsidRPr="005B364E">
        <w:rPr>
          <w:lang w:val="en-GB"/>
        </w:rPr>
        <w:t xml:space="preserve">would be expected in clinical practice. This </w:t>
      </w:r>
      <w:r w:rsidR="004F5184">
        <w:rPr>
          <w:lang w:val="en-GB"/>
        </w:rPr>
        <w:t>wa</w:t>
      </w:r>
      <w:r w:rsidR="00E21483" w:rsidRPr="00BF04A4">
        <w:rPr>
          <w:lang w:val="en-GB"/>
        </w:rPr>
        <w:t>s</w:t>
      </w:r>
      <w:r w:rsidR="00E21483" w:rsidRPr="005B364E">
        <w:rPr>
          <w:lang w:val="en-GB"/>
        </w:rPr>
        <w:t xml:space="preserve"> </w:t>
      </w:r>
      <w:r w:rsidR="004D17CF" w:rsidRPr="005B364E">
        <w:rPr>
          <w:lang w:val="en-GB"/>
        </w:rPr>
        <w:t xml:space="preserve">because </w:t>
      </w:r>
      <w:r w:rsidR="008E529E" w:rsidRPr="005B364E">
        <w:rPr>
          <w:lang w:val="en-GB"/>
        </w:rPr>
        <w:t xml:space="preserve">fewer people </w:t>
      </w:r>
      <w:r w:rsidR="00004A68">
        <w:rPr>
          <w:lang w:val="en-GB"/>
        </w:rPr>
        <w:t>we</w:t>
      </w:r>
      <w:r w:rsidR="008E529E" w:rsidRPr="005B364E">
        <w:rPr>
          <w:lang w:val="en-GB"/>
        </w:rPr>
        <w:t xml:space="preserve">re assumed to </w:t>
      </w:r>
      <w:r w:rsidR="008A4FB6">
        <w:rPr>
          <w:lang w:val="en-GB"/>
        </w:rPr>
        <w:t xml:space="preserve">have their disease </w:t>
      </w:r>
      <w:r w:rsidR="008E529E" w:rsidRPr="005B364E">
        <w:rPr>
          <w:lang w:val="en-GB"/>
        </w:rPr>
        <w:t xml:space="preserve">respond to </w:t>
      </w:r>
      <w:proofErr w:type="spellStart"/>
      <w:proofErr w:type="gramStart"/>
      <w:r w:rsidR="008E529E" w:rsidRPr="005B364E">
        <w:rPr>
          <w:lang w:val="en-GB"/>
        </w:rPr>
        <w:t>upadacitinib</w:t>
      </w:r>
      <w:proofErr w:type="spellEnd"/>
      <w:r w:rsidR="008E529E" w:rsidRPr="005B364E">
        <w:rPr>
          <w:lang w:val="en-GB"/>
        </w:rPr>
        <w:t>, and</w:t>
      </w:r>
      <w:proofErr w:type="gramEnd"/>
      <w:r w:rsidR="008E529E" w:rsidRPr="005B364E">
        <w:rPr>
          <w:lang w:val="en-GB"/>
        </w:rPr>
        <w:t xml:space="preserve"> </w:t>
      </w:r>
      <w:r w:rsidR="006E1399">
        <w:rPr>
          <w:lang w:val="en-GB"/>
        </w:rPr>
        <w:t>incur</w:t>
      </w:r>
      <w:r w:rsidR="008E529E" w:rsidRPr="005B364E">
        <w:rPr>
          <w:lang w:val="en-GB"/>
        </w:rPr>
        <w:t xml:space="preserve"> the costs</w:t>
      </w:r>
      <w:r w:rsidR="008E4106" w:rsidRPr="005B364E">
        <w:rPr>
          <w:lang w:val="en-GB"/>
        </w:rPr>
        <w:t xml:space="preserve"> of</w:t>
      </w:r>
      <w:r w:rsidR="00E21483" w:rsidRPr="00BF04A4">
        <w:rPr>
          <w:lang w:val="en-GB"/>
        </w:rPr>
        <w:t xml:space="preserve"> ongoing</w:t>
      </w:r>
      <w:r w:rsidR="008E529E" w:rsidRPr="005B364E">
        <w:rPr>
          <w:lang w:val="en-GB"/>
        </w:rPr>
        <w:t xml:space="preserve"> </w:t>
      </w:r>
      <w:proofErr w:type="spellStart"/>
      <w:r w:rsidR="00467639">
        <w:rPr>
          <w:lang w:val="en-GB"/>
        </w:rPr>
        <w:t>upadacitinib</w:t>
      </w:r>
      <w:proofErr w:type="spellEnd"/>
      <w:r w:rsidR="00467639">
        <w:rPr>
          <w:lang w:val="en-GB"/>
        </w:rPr>
        <w:t xml:space="preserve"> </w:t>
      </w:r>
      <w:r w:rsidR="008E529E" w:rsidRPr="005B364E">
        <w:rPr>
          <w:lang w:val="en-GB"/>
        </w:rPr>
        <w:t>treatment</w:t>
      </w:r>
      <w:r w:rsidR="0029188C">
        <w:rPr>
          <w:lang w:val="en-GB"/>
        </w:rPr>
        <w:t>.</w:t>
      </w:r>
      <w:r w:rsidR="00E21483" w:rsidRPr="00BF04A4">
        <w:rPr>
          <w:lang w:val="en-GB"/>
        </w:rPr>
        <w:t xml:space="preserve"> </w:t>
      </w:r>
      <w:r w:rsidR="0029188C">
        <w:rPr>
          <w:lang w:val="en-GB"/>
        </w:rPr>
        <w:t>I</w:t>
      </w:r>
      <w:r w:rsidR="00E21483" w:rsidRPr="00BF04A4">
        <w:rPr>
          <w:lang w:val="en-GB"/>
        </w:rPr>
        <w:t>n practice,</w:t>
      </w:r>
      <w:r w:rsidR="00E21483" w:rsidRPr="005B364E">
        <w:rPr>
          <w:lang w:val="en-GB"/>
        </w:rPr>
        <w:t xml:space="preserve"> </w:t>
      </w:r>
      <w:r w:rsidR="00E21483" w:rsidRPr="00BF04A4">
        <w:rPr>
          <w:lang w:val="en-GB"/>
        </w:rPr>
        <w:t>the</w:t>
      </w:r>
      <w:r w:rsidR="001D75FC">
        <w:rPr>
          <w:lang w:val="en-GB"/>
        </w:rPr>
        <w:t>re would still be a</w:t>
      </w:r>
      <w:r w:rsidR="00E21483" w:rsidRPr="00BF04A4">
        <w:rPr>
          <w:lang w:val="en-GB"/>
        </w:rPr>
        <w:t xml:space="preserve"> proportion of the </w:t>
      </w:r>
      <w:proofErr w:type="spellStart"/>
      <w:r w:rsidR="00E21483" w:rsidRPr="00BF04A4">
        <w:rPr>
          <w:lang w:val="en-GB"/>
        </w:rPr>
        <w:t>upadacitinib</w:t>
      </w:r>
      <w:proofErr w:type="spellEnd"/>
      <w:r w:rsidR="00E21483" w:rsidRPr="00BF04A4">
        <w:rPr>
          <w:lang w:val="en-GB"/>
        </w:rPr>
        <w:t xml:space="preserve"> res</w:t>
      </w:r>
      <w:r w:rsidR="00E21483" w:rsidRPr="00260064">
        <w:rPr>
          <w:lang w:val="en-GB"/>
        </w:rPr>
        <w:t>ponse rate attributable to the placebo effect</w:t>
      </w:r>
      <w:r w:rsidR="008E4106" w:rsidRPr="005B364E">
        <w:rPr>
          <w:lang w:val="en-GB"/>
        </w:rPr>
        <w:t xml:space="preserve">. The committee </w:t>
      </w:r>
      <w:r w:rsidR="00E21483" w:rsidRPr="00BF04A4">
        <w:rPr>
          <w:lang w:val="en-GB"/>
        </w:rPr>
        <w:t xml:space="preserve">concluded that this analysis may be the most appropriate way </w:t>
      </w:r>
      <w:r w:rsidR="00B4062A">
        <w:rPr>
          <w:lang w:val="en-GB"/>
        </w:rPr>
        <w:t>to</w:t>
      </w:r>
      <w:r w:rsidR="00E21483" w:rsidRPr="00BF04A4">
        <w:rPr>
          <w:lang w:val="en-GB"/>
        </w:rPr>
        <w:t xml:space="preserve"> model the clinical effectiveness of </w:t>
      </w:r>
      <w:proofErr w:type="spellStart"/>
      <w:r w:rsidR="00E21483" w:rsidRPr="00BF04A4">
        <w:rPr>
          <w:lang w:val="en-GB"/>
        </w:rPr>
        <w:t>upadacitinib</w:t>
      </w:r>
      <w:proofErr w:type="spellEnd"/>
      <w:r w:rsidR="00E21483" w:rsidRPr="00BF04A4">
        <w:rPr>
          <w:lang w:val="en-GB"/>
        </w:rPr>
        <w:t xml:space="preserve"> relative to a 0% response rate for best supportive care. However, this approach may underestimate </w:t>
      </w:r>
      <w:r w:rsidR="004739BA" w:rsidRPr="00260064">
        <w:rPr>
          <w:lang w:val="en-GB"/>
        </w:rPr>
        <w:t xml:space="preserve">both </w:t>
      </w:r>
      <w:r w:rsidR="00E21483" w:rsidRPr="0035762B">
        <w:rPr>
          <w:lang w:val="en-GB"/>
        </w:rPr>
        <w:t xml:space="preserve">the ongoing treatment costs associated with </w:t>
      </w:r>
      <w:proofErr w:type="spellStart"/>
      <w:r w:rsidR="00E21483" w:rsidRPr="0035762B">
        <w:rPr>
          <w:lang w:val="en-GB"/>
        </w:rPr>
        <w:t>upadacitinib</w:t>
      </w:r>
      <w:proofErr w:type="spellEnd"/>
      <w:r w:rsidR="00E21483" w:rsidRPr="0035762B">
        <w:rPr>
          <w:lang w:val="en-GB"/>
        </w:rPr>
        <w:t xml:space="preserve"> that would </w:t>
      </w:r>
      <w:r w:rsidR="00274376">
        <w:rPr>
          <w:lang w:val="en-GB"/>
        </w:rPr>
        <w:t>happen</w:t>
      </w:r>
      <w:r w:rsidR="00E21483" w:rsidRPr="0035762B">
        <w:rPr>
          <w:lang w:val="en-GB"/>
        </w:rPr>
        <w:t xml:space="preserve"> in practic</w:t>
      </w:r>
      <w:r w:rsidR="004739BA" w:rsidRPr="001D75FC">
        <w:rPr>
          <w:lang w:val="en-GB"/>
        </w:rPr>
        <w:t xml:space="preserve">e and the cost-effectiveness estimates for </w:t>
      </w:r>
      <w:proofErr w:type="spellStart"/>
      <w:r w:rsidR="004739BA" w:rsidRPr="001D75FC">
        <w:rPr>
          <w:lang w:val="en-GB"/>
        </w:rPr>
        <w:t>upadacitinib</w:t>
      </w:r>
      <w:proofErr w:type="spellEnd"/>
      <w:r w:rsidR="00E21483" w:rsidRPr="00DD05BD">
        <w:rPr>
          <w:lang w:val="en-GB"/>
        </w:rPr>
        <w:t>.</w:t>
      </w:r>
      <w:bookmarkEnd w:id="15"/>
    </w:p>
    <w:p w14:paraId="26DFFD28" w14:textId="796069DB" w:rsidR="00C30D11" w:rsidRPr="00BE3BE7" w:rsidRDefault="00C30D11" w:rsidP="00C30D11">
      <w:pPr>
        <w:pStyle w:val="Heading3"/>
      </w:pPr>
      <w:r w:rsidRPr="00BF04A4">
        <w:t xml:space="preserve">The company’s approach for </w:t>
      </w:r>
      <w:r w:rsidR="00E75676" w:rsidRPr="00260064">
        <w:t xml:space="preserve">modelling the long-term </w:t>
      </w:r>
      <w:r w:rsidR="004E47C4">
        <w:t>health assessment questionnaire (</w:t>
      </w:r>
      <w:r w:rsidRPr="0035762B">
        <w:t>HAQ</w:t>
      </w:r>
      <w:r w:rsidR="004E47C4">
        <w:t>)</w:t>
      </w:r>
      <w:r w:rsidRPr="0035762B">
        <w:t xml:space="preserve"> of </w:t>
      </w:r>
      <w:r w:rsidR="00715F5C">
        <w:t>people who</w:t>
      </w:r>
      <w:r w:rsidR="00266A74">
        <w:t>se disease</w:t>
      </w:r>
      <w:r w:rsidR="00715F5C">
        <w:t xml:space="preserve"> responded to </w:t>
      </w:r>
      <w:r w:rsidRPr="0035762B">
        <w:t xml:space="preserve">placebo is </w:t>
      </w:r>
      <w:r w:rsidR="00E75676" w:rsidRPr="001D75FC">
        <w:t>acceptable</w:t>
      </w:r>
    </w:p>
    <w:p w14:paraId="79FF9C81" w14:textId="7BE2C667" w:rsidR="00DA655E" w:rsidRPr="001460D5" w:rsidRDefault="008E529E" w:rsidP="0062332C">
      <w:pPr>
        <w:pStyle w:val="Numberedlevel2text"/>
        <w:rPr>
          <w:lang w:val="en-GB"/>
        </w:rPr>
      </w:pPr>
      <w:bookmarkStart w:id="16" w:name="_Ref29462242"/>
      <w:r w:rsidRPr="00AB1865">
        <w:rPr>
          <w:lang w:val="en-GB"/>
        </w:rPr>
        <w:t>In the ERG</w:t>
      </w:r>
      <w:r w:rsidR="00E75676" w:rsidRPr="00BF04A4">
        <w:rPr>
          <w:lang w:val="en-GB"/>
        </w:rPr>
        <w:t>’s preferred</w:t>
      </w:r>
      <w:r w:rsidRPr="00AB1865">
        <w:rPr>
          <w:lang w:val="en-GB"/>
        </w:rPr>
        <w:t xml:space="preserve"> base</w:t>
      </w:r>
      <w:r w:rsidR="00E75676" w:rsidRPr="00BF04A4">
        <w:rPr>
          <w:lang w:val="en-GB"/>
        </w:rPr>
        <w:t>-c</w:t>
      </w:r>
      <w:r w:rsidRPr="00AB1865">
        <w:rPr>
          <w:lang w:val="en-GB"/>
        </w:rPr>
        <w:t>ase</w:t>
      </w:r>
      <w:r w:rsidR="00E75676" w:rsidRPr="00BF04A4">
        <w:rPr>
          <w:lang w:val="en-GB"/>
        </w:rPr>
        <w:t xml:space="preserve"> analysis</w:t>
      </w:r>
      <w:r w:rsidRPr="00AB1865">
        <w:rPr>
          <w:lang w:val="en-GB"/>
        </w:rPr>
        <w:t xml:space="preserve">, </w:t>
      </w:r>
      <w:r w:rsidR="00CD01F2">
        <w:rPr>
          <w:lang w:val="en-GB"/>
        </w:rPr>
        <w:t>people who</w:t>
      </w:r>
      <w:r w:rsidR="00855124">
        <w:rPr>
          <w:lang w:val="en-GB"/>
        </w:rPr>
        <w:t>se disease</w:t>
      </w:r>
      <w:r w:rsidR="00CD01F2">
        <w:rPr>
          <w:lang w:val="en-GB"/>
        </w:rPr>
        <w:t xml:space="preserve"> </w:t>
      </w:r>
      <w:r w:rsidRPr="00AB1865">
        <w:rPr>
          <w:lang w:val="en-GB"/>
        </w:rPr>
        <w:t>responde</w:t>
      </w:r>
      <w:r w:rsidR="00CD01F2">
        <w:rPr>
          <w:lang w:val="en-GB"/>
        </w:rPr>
        <w:t>d</w:t>
      </w:r>
      <w:r w:rsidRPr="00AB1865">
        <w:rPr>
          <w:lang w:val="en-GB"/>
        </w:rPr>
        <w:t xml:space="preserve"> </w:t>
      </w:r>
      <w:r w:rsidR="00E75676" w:rsidRPr="00BF04A4">
        <w:rPr>
          <w:lang w:val="en-GB"/>
        </w:rPr>
        <w:t xml:space="preserve">to best supportive care </w:t>
      </w:r>
      <w:r w:rsidRPr="00AB1865">
        <w:rPr>
          <w:lang w:val="en-GB"/>
        </w:rPr>
        <w:t xml:space="preserve">were assumed to have the same </w:t>
      </w:r>
      <w:r w:rsidR="00E75676" w:rsidRPr="00BF04A4">
        <w:rPr>
          <w:lang w:val="en-GB"/>
        </w:rPr>
        <w:t xml:space="preserve">long-term </w:t>
      </w:r>
      <w:r w:rsidRPr="00AB1865">
        <w:rPr>
          <w:lang w:val="en-GB"/>
        </w:rPr>
        <w:t>HAQ trajectory as</w:t>
      </w:r>
      <w:r w:rsidR="00715F5C">
        <w:rPr>
          <w:lang w:val="en-GB"/>
        </w:rPr>
        <w:t xml:space="preserve"> those who</w:t>
      </w:r>
      <w:r w:rsidR="000A1DEB">
        <w:rPr>
          <w:lang w:val="en-GB"/>
        </w:rPr>
        <w:t>se disease</w:t>
      </w:r>
      <w:r w:rsidR="00715F5C">
        <w:rPr>
          <w:lang w:val="en-GB"/>
        </w:rPr>
        <w:t xml:space="preserve"> responded to</w:t>
      </w:r>
      <w:r w:rsidRPr="00AB1865">
        <w:rPr>
          <w:lang w:val="en-GB"/>
        </w:rPr>
        <w:t xml:space="preserve"> biological DMARD</w:t>
      </w:r>
      <w:r w:rsidR="00715F5C">
        <w:rPr>
          <w:lang w:val="en-GB"/>
        </w:rPr>
        <w:t>s</w:t>
      </w:r>
      <w:r w:rsidRPr="00AB1865">
        <w:rPr>
          <w:lang w:val="en-GB"/>
        </w:rPr>
        <w:t>.</w:t>
      </w:r>
      <w:r w:rsidR="008E4106" w:rsidRPr="00AB1865">
        <w:rPr>
          <w:lang w:val="en-GB"/>
        </w:rPr>
        <w:t xml:space="preserve"> </w:t>
      </w:r>
      <w:r w:rsidR="00E75676" w:rsidRPr="00AB1865">
        <w:rPr>
          <w:lang w:val="en-GB"/>
        </w:rPr>
        <w:t xml:space="preserve">The ERG </w:t>
      </w:r>
      <w:r w:rsidR="00E75676" w:rsidRPr="00BF04A4">
        <w:rPr>
          <w:lang w:val="en-GB"/>
        </w:rPr>
        <w:t>explained</w:t>
      </w:r>
      <w:r w:rsidR="00E75676" w:rsidRPr="00AB1865">
        <w:rPr>
          <w:lang w:val="en-GB"/>
        </w:rPr>
        <w:t xml:space="preserve"> that the </w:t>
      </w:r>
      <w:proofErr w:type="spellStart"/>
      <w:r w:rsidR="00E75676" w:rsidRPr="00AB1865">
        <w:rPr>
          <w:lang w:val="en-GB"/>
        </w:rPr>
        <w:t>upadacitinib</w:t>
      </w:r>
      <w:proofErr w:type="spellEnd"/>
      <w:r w:rsidR="00E75676" w:rsidRPr="00AB1865">
        <w:rPr>
          <w:lang w:val="en-GB"/>
        </w:rPr>
        <w:t xml:space="preserve"> response rate </w:t>
      </w:r>
      <w:r w:rsidR="0036431A">
        <w:rPr>
          <w:lang w:val="en-GB"/>
        </w:rPr>
        <w:t>wa</w:t>
      </w:r>
      <w:r w:rsidR="00E75676" w:rsidRPr="00BF04A4">
        <w:rPr>
          <w:lang w:val="en-GB"/>
        </w:rPr>
        <w:t xml:space="preserve">s likely to include a relatively large </w:t>
      </w:r>
      <w:r w:rsidR="00FB3344">
        <w:rPr>
          <w:lang w:val="en-GB"/>
        </w:rPr>
        <w:t>part</w:t>
      </w:r>
      <w:r w:rsidR="00E75676" w:rsidRPr="00BF04A4">
        <w:rPr>
          <w:lang w:val="en-GB"/>
        </w:rPr>
        <w:t xml:space="preserve"> caused by a</w:t>
      </w:r>
      <w:r w:rsidR="00E75676" w:rsidRPr="00AB1865">
        <w:rPr>
          <w:lang w:val="en-GB"/>
        </w:rPr>
        <w:t xml:space="preserve"> placebo </w:t>
      </w:r>
      <w:r w:rsidR="00E75676" w:rsidRPr="00BF04A4">
        <w:rPr>
          <w:lang w:val="en-GB"/>
        </w:rPr>
        <w:t>effect</w:t>
      </w:r>
      <w:r w:rsidR="00FB3344">
        <w:rPr>
          <w:lang w:val="en-GB"/>
        </w:rPr>
        <w:t>.</w:t>
      </w:r>
      <w:r w:rsidR="00E75676" w:rsidRPr="00BF04A4">
        <w:rPr>
          <w:lang w:val="en-GB"/>
        </w:rPr>
        <w:t xml:space="preserve"> </w:t>
      </w:r>
      <w:r w:rsidR="00FB3344">
        <w:rPr>
          <w:lang w:val="en-GB"/>
        </w:rPr>
        <w:t>This</w:t>
      </w:r>
      <w:r w:rsidR="00E75676" w:rsidRPr="00BF04A4">
        <w:rPr>
          <w:lang w:val="en-GB"/>
        </w:rPr>
        <w:t xml:space="preserve"> </w:t>
      </w:r>
      <w:r w:rsidR="000C569C">
        <w:rPr>
          <w:lang w:val="en-GB"/>
        </w:rPr>
        <w:t>wa</w:t>
      </w:r>
      <w:r w:rsidR="00E75676" w:rsidRPr="00BF04A4">
        <w:rPr>
          <w:lang w:val="en-GB"/>
        </w:rPr>
        <w:t xml:space="preserve">s also present </w:t>
      </w:r>
      <w:r w:rsidR="0070605E">
        <w:rPr>
          <w:lang w:val="en-GB"/>
        </w:rPr>
        <w:t>i</w:t>
      </w:r>
      <w:r w:rsidR="00E75676" w:rsidRPr="00BF04A4">
        <w:rPr>
          <w:lang w:val="en-GB"/>
        </w:rPr>
        <w:t>n the trial control arms</w:t>
      </w:r>
      <w:r w:rsidR="00E75676" w:rsidRPr="00AB1865">
        <w:rPr>
          <w:lang w:val="en-GB"/>
        </w:rPr>
        <w:t>,</w:t>
      </w:r>
      <w:r w:rsidR="00E75676" w:rsidRPr="00BF04A4">
        <w:rPr>
          <w:lang w:val="en-GB"/>
        </w:rPr>
        <w:t xml:space="preserve"> </w:t>
      </w:r>
      <w:r w:rsidR="00205910">
        <w:rPr>
          <w:lang w:val="en-GB"/>
        </w:rPr>
        <w:t xml:space="preserve">and so </w:t>
      </w:r>
      <w:r w:rsidR="00E75676" w:rsidRPr="00AB1865">
        <w:rPr>
          <w:lang w:val="en-GB"/>
        </w:rPr>
        <w:t xml:space="preserve">it may be inappropriate to </w:t>
      </w:r>
      <w:r w:rsidR="00E75676" w:rsidRPr="00BF04A4">
        <w:rPr>
          <w:lang w:val="en-GB"/>
        </w:rPr>
        <w:t>make</w:t>
      </w:r>
      <w:r w:rsidR="00E75676" w:rsidRPr="00AB1865">
        <w:rPr>
          <w:lang w:val="en-GB"/>
        </w:rPr>
        <w:t xml:space="preserve"> different</w:t>
      </w:r>
      <w:r w:rsidR="00E75676" w:rsidRPr="00BF04A4">
        <w:rPr>
          <w:lang w:val="en-GB"/>
        </w:rPr>
        <w:t xml:space="preserve"> assumptions </w:t>
      </w:r>
      <w:r w:rsidR="00E75676" w:rsidRPr="00260064">
        <w:rPr>
          <w:lang w:val="en-GB"/>
        </w:rPr>
        <w:t xml:space="preserve">about </w:t>
      </w:r>
      <w:r w:rsidR="00E75676" w:rsidRPr="00BF04A4">
        <w:rPr>
          <w:lang w:val="en-GB"/>
        </w:rPr>
        <w:t xml:space="preserve">long-term </w:t>
      </w:r>
      <w:r w:rsidR="00E75676" w:rsidRPr="00AB1865">
        <w:rPr>
          <w:lang w:val="en-GB"/>
        </w:rPr>
        <w:t xml:space="preserve">HAQ trajectories in the </w:t>
      </w:r>
      <w:r w:rsidR="00E75676" w:rsidRPr="00AB1865">
        <w:rPr>
          <w:lang w:val="en-GB"/>
        </w:rPr>
        <w:lastRenderedPageBreak/>
        <w:t>model.</w:t>
      </w:r>
      <w:r w:rsidR="00E75676" w:rsidRPr="00BF04A4">
        <w:rPr>
          <w:lang w:val="en-GB"/>
        </w:rPr>
        <w:t xml:space="preserve"> </w:t>
      </w:r>
      <w:r w:rsidR="000F5F3A" w:rsidRPr="00260064">
        <w:rPr>
          <w:lang w:val="en-GB"/>
        </w:rPr>
        <w:t xml:space="preserve">In response to technical engagement, </w:t>
      </w:r>
      <w:r w:rsidR="000F5F3A" w:rsidRPr="00AB1865">
        <w:rPr>
          <w:lang w:val="en-GB"/>
        </w:rPr>
        <w:t>t</w:t>
      </w:r>
      <w:r w:rsidRPr="00AB1865">
        <w:rPr>
          <w:lang w:val="en-GB"/>
        </w:rPr>
        <w:t xml:space="preserve">he company provided an alternative </w:t>
      </w:r>
      <w:r w:rsidR="008E4106" w:rsidRPr="00AB1865">
        <w:rPr>
          <w:lang w:val="en-GB"/>
        </w:rPr>
        <w:t>scenario analysis</w:t>
      </w:r>
      <w:r w:rsidR="00AC34A6">
        <w:rPr>
          <w:lang w:val="en-GB"/>
        </w:rPr>
        <w:t>. In this, people who</w:t>
      </w:r>
      <w:r w:rsidR="00A26327">
        <w:rPr>
          <w:lang w:val="en-GB"/>
        </w:rPr>
        <w:t>se disease</w:t>
      </w:r>
      <w:r w:rsidR="00AC34A6">
        <w:rPr>
          <w:lang w:val="en-GB"/>
        </w:rPr>
        <w:t xml:space="preserve"> responded to</w:t>
      </w:r>
      <w:r w:rsidRPr="00AB1865">
        <w:rPr>
          <w:lang w:val="en-GB"/>
        </w:rPr>
        <w:t xml:space="preserve"> </w:t>
      </w:r>
      <w:r w:rsidR="00E75676" w:rsidRPr="00BF04A4">
        <w:rPr>
          <w:lang w:val="en-GB"/>
        </w:rPr>
        <w:t>best supportive care</w:t>
      </w:r>
      <w:r w:rsidRPr="00AB1865">
        <w:rPr>
          <w:lang w:val="en-GB"/>
        </w:rPr>
        <w:t xml:space="preserve"> were assumed </w:t>
      </w:r>
      <w:r w:rsidR="008E4106" w:rsidRPr="00AB1865">
        <w:rPr>
          <w:lang w:val="en-GB"/>
        </w:rPr>
        <w:t xml:space="preserve">to have the same HAQ trajectory as </w:t>
      </w:r>
      <w:r w:rsidR="002B72E1">
        <w:rPr>
          <w:lang w:val="en-GB"/>
        </w:rPr>
        <w:t>those who</w:t>
      </w:r>
      <w:r w:rsidR="00AC4C77">
        <w:rPr>
          <w:lang w:val="en-GB"/>
        </w:rPr>
        <w:t>se disease</w:t>
      </w:r>
      <w:r w:rsidR="002B72E1">
        <w:rPr>
          <w:lang w:val="en-GB"/>
        </w:rPr>
        <w:t xml:space="preserve"> responded to </w:t>
      </w:r>
      <w:r w:rsidR="00E75676" w:rsidRPr="00BF04A4">
        <w:rPr>
          <w:lang w:val="en-GB"/>
        </w:rPr>
        <w:t xml:space="preserve">conventional </w:t>
      </w:r>
      <w:r w:rsidR="008E4106" w:rsidRPr="00AB1865">
        <w:rPr>
          <w:lang w:val="en-GB"/>
        </w:rPr>
        <w:t>DMARD</w:t>
      </w:r>
      <w:r w:rsidR="002B72E1">
        <w:rPr>
          <w:lang w:val="en-GB"/>
        </w:rPr>
        <w:t>s</w:t>
      </w:r>
      <w:r w:rsidR="008E4106" w:rsidRPr="00AB1865">
        <w:rPr>
          <w:lang w:val="en-GB"/>
        </w:rPr>
        <w:t xml:space="preserve">. </w:t>
      </w:r>
      <w:r w:rsidR="006B487D" w:rsidRPr="00AB1865">
        <w:rPr>
          <w:lang w:val="en-GB"/>
        </w:rPr>
        <w:t xml:space="preserve">The </w:t>
      </w:r>
      <w:r w:rsidR="00AA56E0" w:rsidRPr="00BF04A4">
        <w:rPr>
          <w:lang w:val="en-GB"/>
        </w:rPr>
        <w:t>c</w:t>
      </w:r>
      <w:r w:rsidR="006B487D" w:rsidRPr="00AB1865">
        <w:rPr>
          <w:lang w:val="en-GB"/>
        </w:rPr>
        <w:t xml:space="preserve">linical and patient experts </w:t>
      </w:r>
      <w:r w:rsidR="00AA56E0" w:rsidRPr="00BF04A4">
        <w:rPr>
          <w:lang w:val="en-GB"/>
        </w:rPr>
        <w:t>advised</w:t>
      </w:r>
      <w:r w:rsidR="00AA56E0" w:rsidRPr="00AB1865">
        <w:rPr>
          <w:lang w:val="en-GB"/>
        </w:rPr>
        <w:t xml:space="preserve"> </w:t>
      </w:r>
      <w:r w:rsidR="006B487D" w:rsidRPr="00AB1865">
        <w:rPr>
          <w:lang w:val="en-GB"/>
        </w:rPr>
        <w:t xml:space="preserve">that natural recovery </w:t>
      </w:r>
      <w:r w:rsidR="00770F80">
        <w:rPr>
          <w:lang w:val="en-GB"/>
        </w:rPr>
        <w:t>from</w:t>
      </w:r>
      <w:r w:rsidR="00AA56E0" w:rsidRPr="00BF04A4">
        <w:rPr>
          <w:lang w:val="en-GB"/>
        </w:rPr>
        <w:t xml:space="preserve"> symptoms </w:t>
      </w:r>
      <w:r w:rsidR="00906B8B">
        <w:rPr>
          <w:lang w:val="en-GB"/>
        </w:rPr>
        <w:t>happened</w:t>
      </w:r>
      <w:r w:rsidR="00AA56E0" w:rsidRPr="00BF04A4">
        <w:rPr>
          <w:lang w:val="en-GB"/>
        </w:rPr>
        <w:t xml:space="preserve"> </w:t>
      </w:r>
      <w:r w:rsidR="006B487D" w:rsidRPr="00AB1865">
        <w:rPr>
          <w:lang w:val="en-GB"/>
        </w:rPr>
        <w:t xml:space="preserve">rarely </w:t>
      </w:r>
      <w:r w:rsidR="00673449" w:rsidRPr="00AB1865">
        <w:rPr>
          <w:lang w:val="en-GB"/>
        </w:rPr>
        <w:t>in clinical practice</w:t>
      </w:r>
      <w:r w:rsidR="00AA56E0" w:rsidRPr="00BF04A4">
        <w:rPr>
          <w:lang w:val="en-GB"/>
        </w:rPr>
        <w:t>,</w:t>
      </w:r>
      <w:r w:rsidR="00673449" w:rsidRPr="00AB1865">
        <w:rPr>
          <w:lang w:val="en-GB"/>
        </w:rPr>
        <w:t xml:space="preserve"> </w:t>
      </w:r>
      <w:r w:rsidR="006B487D" w:rsidRPr="00AB1865">
        <w:rPr>
          <w:lang w:val="en-GB"/>
        </w:rPr>
        <w:t>and</w:t>
      </w:r>
      <w:r w:rsidR="00190E77">
        <w:rPr>
          <w:lang w:val="en-GB"/>
        </w:rPr>
        <w:t xml:space="preserve"> this</w:t>
      </w:r>
      <w:r w:rsidR="006B487D" w:rsidRPr="00AB1865">
        <w:rPr>
          <w:lang w:val="en-GB"/>
        </w:rPr>
        <w:t xml:space="preserve"> </w:t>
      </w:r>
      <w:r w:rsidR="006F123C">
        <w:rPr>
          <w:lang w:val="en-GB"/>
        </w:rPr>
        <w:t>wa</w:t>
      </w:r>
      <w:r w:rsidR="00AA56E0" w:rsidRPr="00BF04A4">
        <w:rPr>
          <w:lang w:val="en-GB"/>
        </w:rPr>
        <w:t>s not usually</w:t>
      </w:r>
      <w:r w:rsidR="00673449" w:rsidRPr="00AB1865">
        <w:rPr>
          <w:lang w:val="en-GB"/>
        </w:rPr>
        <w:t xml:space="preserve"> sustained for </w:t>
      </w:r>
      <w:r w:rsidR="006F123C">
        <w:rPr>
          <w:lang w:val="en-GB"/>
        </w:rPr>
        <w:t xml:space="preserve">a </w:t>
      </w:r>
      <w:r w:rsidR="00673449" w:rsidRPr="00AB1865">
        <w:rPr>
          <w:lang w:val="en-GB"/>
        </w:rPr>
        <w:t>long</w:t>
      </w:r>
      <w:r w:rsidR="006F123C">
        <w:rPr>
          <w:lang w:val="en-GB"/>
        </w:rPr>
        <w:t xml:space="preserve"> time</w:t>
      </w:r>
      <w:r w:rsidR="006B487D" w:rsidRPr="00AB1865">
        <w:rPr>
          <w:lang w:val="en-GB"/>
        </w:rPr>
        <w:t xml:space="preserve">. </w:t>
      </w:r>
      <w:r w:rsidR="00A40BA3">
        <w:rPr>
          <w:lang w:val="en-GB"/>
        </w:rPr>
        <w:t>So, t</w:t>
      </w:r>
      <w:r w:rsidR="00DE2084" w:rsidRPr="00AB1865">
        <w:rPr>
          <w:lang w:val="en-GB"/>
        </w:rPr>
        <w:t>he committee</w:t>
      </w:r>
      <w:r w:rsidR="00AA56E0" w:rsidRPr="00BF04A4">
        <w:rPr>
          <w:lang w:val="en-GB"/>
        </w:rPr>
        <w:t xml:space="preserve"> agreed</w:t>
      </w:r>
      <w:r w:rsidR="00DE2084" w:rsidRPr="00AB1865">
        <w:rPr>
          <w:lang w:val="en-GB"/>
        </w:rPr>
        <w:t xml:space="preserve"> that applying a </w:t>
      </w:r>
      <w:r w:rsidR="00AA56E0" w:rsidRPr="00AB1865">
        <w:rPr>
          <w:lang w:val="en-GB"/>
        </w:rPr>
        <w:t xml:space="preserve">HAQ trajectory </w:t>
      </w:r>
      <w:r w:rsidR="00AA56E0" w:rsidRPr="00BF04A4">
        <w:rPr>
          <w:lang w:val="en-GB"/>
        </w:rPr>
        <w:t xml:space="preserve">associated with </w:t>
      </w:r>
      <w:r w:rsidR="00DE2084" w:rsidRPr="00AB1865">
        <w:rPr>
          <w:lang w:val="en-GB"/>
        </w:rPr>
        <w:t>biological DMARD</w:t>
      </w:r>
      <w:r w:rsidR="00AA56E0" w:rsidRPr="00BF04A4">
        <w:rPr>
          <w:lang w:val="en-GB"/>
        </w:rPr>
        <w:t xml:space="preserve"> treatment</w:t>
      </w:r>
      <w:r w:rsidR="00DE2084" w:rsidRPr="00AB1865">
        <w:rPr>
          <w:lang w:val="en-GB"/>
        </w:rPr>
        <w:t xml:space="preserve"> </w:t>
      </w:r>
      <w:r w:rsidR="00272D79">
        <w:rPr>
          <w:lang w:val="en-GB"/>
        </w:rPr>
        <w:t>wa</w:t>
      </w:r>
      <w:r w:rsidR="00DE2084" w:rsidRPr="00AB1865">
        <w:rPr>
          <w:lang w:val="en-GB"/>
        </w:rPr>
        <w:t xml:space="preserve">s likely to be </w:t>
      </w:r>
      <w:r w:rsidR="00AA56E0" w:rsidRPr="00BF04A4">
        <w:rPr>
          <w:lang w:val="en-GB"/>
        </w:rPr>
        <w:t>an overly</w:t>
      </w:r>
      <w:r w:rsidR="00AA56E0" w:rsidRPr="00AB1865">
        <w:rPr>
          <w:lang w:val="en-GB"/>
        </w:rPr>
        <w:t xml:space="preserve"> </w:t>
      </w:r>
      <w:r w:rsidR="00DE2084" w:rsidRPr="00AB1865">
        <w:rPr>
          <w:lang w:val="en-GB"/>
        </w:rPr>
        <w:t>optimistic</w:t>
      </w:r>
      <w:r w:rsidR="00AA56E0" w:rsidRPr="00BF04A4">
        <w:rPr>
          <w:lang w:val="en-GB"/>
        </w:rPr>
        <w:t xml:space="preserve"> assumption about best supportive care</w:t>
      </w:r>
      <w:r w:rsidR="006B487D" w:rsidRPr="00AB1865">
        <w:rPr>
          <w:lang w:val="en-GB"/>
        </w:rPr>
        <w:t>. It concluded</w:t>
      </w:r>
      <w:r w:rsidR="00DE2084" w:rsidRPr="00AB1865">
        <w:rPr>
          <w:lang w:val="en-GB"/>
        </w:rPr>
        <w:t xml:space="preserve"> </w:t>
      </w:r>
      <w:r w:rsidR="006B487D" w:rsidRPr="00AB1865">
        <w:rPr>
          <w:lang w:val="en-GB"/>
        </w:rPr>
        <w:t xml:space="preserve">that </w:t>
      </w:r>
      <w:r w:rsidR="00AA56E0" w:rsidRPr="00BF04A4">
        <w:rPr>
          <w:lang w:val="en-GB"/>
        </w:rPr>
        <w:t xml:space="preserve">it </w:t>
      </w:r>
      <w:r w:rsidR="00F53086">
        <w:rPr>
          <w:lang w:val="en-GB"/>
        </w:rPr>
        <w:t>wa</w:t>
      </w:r>
      <w:r w:rsidR="00AA56E0" w:rsidRPr="00BF04A4">
        <w:rPr>
          <w:lang w:val="en-GB"/>
        </w:rPr>
        <w:t>s more appropriate to assume that people who</w:t>
      </w:r>
      <w:r w:rsidR="00125C40">
        <w:rPr>
          <w:lang w:val="en-GB"/>
        </w:rPr>
        <w:t>se disease</w:t>
      </w:r>
      <w:r w:rsidR="00AA56E0" w:rsidRPr="00BF04A4">
        <w:rPr>
          <w:lang w:val="en-GB"/>
        </w:rPr>
        <w:t xml:space="preserve"> respond</w:t>
      </w:r>
      <w:r w:rsidR="00125C40">
        <w:rPr>
          <w:lang w:val="en-GB"/>
        </w:rPr>
        <w:t>ed</w:t>
      </w:r>
      <w:r w:rsidR="00AA56E0" w:rsidRPr="00BF04A4">
        <w:rPr>
          <w:lang w:val="en-GB"/>
        </w:rPr>
        <w:t xml:space="preserve"> to best supportive care ha</w:t>
      </w:r>
      <w:r w:rsidR="00751F43">
        <w:rPr>
          <w:lang w:val="en-GB"/>
        </w:rPr>
        <w:t>d</w:t>
      </w:r>
      <w:r w:rsidR="00AA56E0" w:rsidRPr="00BF04A4">
        <w:rPr>
          <w:lang w:val="en-GB"/>
        </w:rPr>
        <w:t xml:space="preserve"> the same, decreasing long-term </w:t>
      </w:r>
      <w:r w:rsidR="00DE2084" w:rsidRPr="00AB1865">
        <w:rPr>
          <w:lang w:val="en-GB"/>
        </w:rPr>
        <w:t>HAQ trajectory</w:t>
      </w:r>
      <w:r w:rsidR="006B487D" w:rsidRPr="00AB1865">
        <w:rPr>
          <w:lang w:val="en-GB"/>
        </w:rPr>
        <w:t xml:space="preserve"> as </w:t>
      </w:r>
      <w:r w:rsidR="00AA56E0" w:rsidRPr="00BF04A4">
        <w:rPr>
          <w:lang w:val="en-GB"/>
        </w:rPr>
        <w:t>people</w:t>
      </w:r>
      <w:r w:rsidR="00AA56E0" w:rsidRPr="00AB1865">
        <w:rPr>
          <w:lang w:val="en-GB"/>
        </w:rPr>
        <w:t xml:space="preserve"> </w:t>
      </w:r>
      <w:r w:rsidR="006B487D" w:rsidRPr="00AB1865">
        <w:rPr>
          <w:lang w:val="en-GB"/>
        </w:rPr>
        <w:t>who</w:t>
      </w:r>
      <w:r w:rsidR="006A0773">
        <w:rPr>
          <w:lang w:val="en-GB"/>
        </w:rPr>
        <w:t>se</w:t>
      </w:r>
      <w:r w:rsidR="006B487D" w:rsidRPr="00AB1865">
        <w:rPr>
          <w:lang w:val="en-GB"/>
        </w:rPr>
        <w:t xml:space="preserve"> </w:t>
      </w:r>
      <w:r w:rsidR="006A0773">
        <w:rPr>
          <w:lang w:val="en-GB"/>
        </w:rPr>
        <w:t xml:space="preserve">disease </w:t>
      </w:r>
      <w:r w:rsidR="006B487D" w:rsidRPr="001460D5">
        <w:rPr>
          <w:lang w:val="en-GB"/>
        </w:rPr>
        <w:t>respond</w:t>
      </w:r>
      <w:r w:rsidR="006A0773">
        <w:rPr>
          <w:lang w:val="en-GB"/>
        </w:rPr>
        <w:t>ed</w:t>
      </w:r>
      <w:r w:rsidR="006B487D" w:rsidRPr="001460D5">
        <w:rPr>
          <w:lang w:val="en-GB"/>
        </w:rPr>
        <w:t xml:space="preserve"> to c</w:t>
      </w:r>
      <w:r w:rsidR="00AA56E0" w:rsidRPr="00BF04A4">
        <w:rPr>
          <w:lang w:val="en-GB"/>
        </w:rPr>
        <w:t xml:space="preserve">onventional </w:t>
      </w:r>
      <w:r w:rsidR="006B487D" w:rsidRPr="001460D5">
        <w:rPr>
          <w:lang w:val="en-GB"/>
        </w:rPr>
        <w:t>DMARD</w:t>
      </w:r>
      <w:r w:rsidR="00EE6895">
        <w:rPr>
          <w:lang w:val="en-GB"/>
        </w:rPr>
        <w:t>s. T</w:t>
      </w:r>
      <w:r w:rsidR="001543EA" w:rsidRPr="001460D5">
        <w:rPr>
          <w:lang w:val="en-GB"/>
        </w:rPr>
        <w:t xml:space="preserve">his was consistent with previous </w:t>
      </w:r>
      <w:r w:rsidR="00052C4C" w:rsidRPr="001460D5">
        <w:rPr>
          <w:lang w:val="en-GB"/>
        </w:rPr>
        <w:t>NICE technology appraisals in rheumatoid arthritis</w:t>
      </w:r>
      <w:r w:rsidR="006B487D" w:rsidRPr="001460D5">
        <w:rPr>
          <w:lang w:val="en-GB"/>
        </w:rPr>
        <w:t>.</w:t>
      </w:r>
      <w:bookmarkEnd w:id="16"/>
    </w:p>
    <w:p w14:paraId="5E23EACF" w14:textId="77777777" w:rsidR="00023EF2" w:rsidRPr="0035762B" w:rsidRDefault="00023EF2" w:rsidP="00023EF2">
      <w:pPr>
        <w:pStyle w:val="Heading2"/>
      </w:pPr>
      <w:r w:rsidRPr="00BF04A4">
        <w:t>Economic model inputs</w:t>
      </w:r>
      <w:r w:rsidR="00E37CAC" w:rsidRPr="00260064">
        <w:t xml:space="preserve"> and assumptions</w:t>
      </w:r>
    </w:p>
    <w:p w14:paraId="22F40169" w14:textId="0B53393C" w:rsidR="002F38E7" w:rsidRPr="00BE3BE7" w:rsidRDefault="002F38E7" w:rsidP="002F38E7">
      <w:pPr>
        <w:pStyle w:val="Heading3"/>
      </w:pPr>
      <w:bookmarkStart w:id="17" w:name="_Hlk29375983"/>
      <w:r w:rsidRPr="00DD05BD">
        <w:t xml:space="preserve">The model </w:t>
      </w:r>
      <w:bookmarkStart w:id="18" w:name="_Hlk29401906"/>
      <w:r w:rsidRPr="00DD05BD">
        <w:t xml:space="preserve">underestimates </w:t>
      </w:r>
      <w:r w:rsidR="00554F15">
        <w:t xml:space="preserve">how many </w:t>
      </w:r>
      <w:r w:rsidRPr="00DD05BD">
        <w:t>patients</w:t>
      </w:r>
      <w:r w:rsidR="006C7126">
        <w:t>’ disease</w:t>
      </w:r>
      <w:r w:rsidRPr="00DD05BD">
        <w:t xml:space="preserve"> progress</w:t>
      </w:r>
      <w:r w:rsidR="006C7126">
        <w:t>es</w:t>
      </w:r>
      <w:r w:rsidRPr="00DD05BD">
        <w:t xml:space="preserve"> from </w:t>
      </w:r>
      <w:r w:rsidRPr="00BE3BE7">
        <w:t>moderate to severe</w:t>
      </w:r>
      <w:bookmarkEnd w:id="17"/>
      <w:r w:rsidR="00D963C1" w:rsidRPr="00BE3BE7">
        <w:t xml:space="preserve">, </w:t>
      </w:r>
      <w:bookmarkEnd w:id="18"/>
      <w:r w:rsidR="00F11FE7">
        <w:t>making its results less robust</w:t>
      </w:r>
    </w:p>
    <w:p w14:paraId="05E6D671" w14:textId="2CE060A2" w:rsidR="008E4106" w:rsidRPr="009C5DCB" w:rsidRDefault="008E4106" w:rsidP="0062332C">
      <w:pPr>
        <w:pStyle w:val="Numberedlevel2text"/>
        <w:rPr>
          <w:lang w:val="en-GB"/>
        </w:rPr>
      </w:pPr>
      <w:bookmarkStart w:id="19" w:name="_Ref29462652"/>
      <w:r w:rsidRPr="001460D5">
        <w:rPr>
          <w:lang w:val="en-GB"/>
        </w:rPr>
        <w:t xml:space="preserve">The company’s model included the possibility of </w:t>
      </w:r>
      <w:r w:rsidR="00A25AD6" w:rsidRPr="001460D5">
        <w:rPr>
          <w:lang w:val="en-GB"/>
        </w:rPr>
        <w:t>treat</w:t>
      </w:r>
      <w:r w:rsidR="00634795">
        <w:rPr>
          <w:lang w:val="en-GB"/>
        </w:rPr>
        <w:t>ment</w:t>
      </w:r>
      <w:r w:rsidR="00A25AD6" w:rsidRPr="001460D5">
        <w:rPr>
          <w:lang w:val="en-GB"/>
        </w:rPr>
        <w:t xml:space="preserve"> for moderate disease progress</w:t>
      </w:r>
      <w:r w:rsidR="00214407">
        <w:rPr>
          <w:lang w:val="en-GB"/>
        </w:rPr>
        <w:t>ing</w:t>
      </w:r>
      <w:r w:rsidR="00A25AD6" w:rsidRPr="001460D5">
        <w:rPr>
          <w:lang w:val="en-GB"/>
        </w:rPr>
        <w:t xml:space="preserve"> to treatment for severe disease. </w:t>
      </w:r>
      <w:r w:rsidR="000C617C">
        <w:rPr>
          <w:lang w:val="en-GB"/>
        </w:rPr>
        <w:t>T</w:t>
      </w:r>
      <w:r w:rsidR="00A25AD6" w:rsidRPr="001460D5">
        <w:rPr>
          <w:lang w:val="en-GB"/>
        </w:rPr>
        <w:t>his progression</w:t>
      </w:r>
      <w:r w:rsidR="00BD5CEF" w:rsidRPr="00BF04A4">
        <w:rPr>
          <w:lang w:val="en-GB"/>
        </w:rPr>
        <w:t xml:space="preserve"> </w:t>
      </w:r>
      <w:r w:rsidR="004A66DF">
        <w:rPr>
          <w:lang w:val="en-GB"/>
        </w:rPr>
        <w:t>was</w:t>
      </w:r>
      <w:r w:rsidR="00BD5CEF" w:rsidRPr="00260064">
        <w:rPr>
          <w:lang w:val="en-GB"/>
        </w:rPr>
        <w:t xml:space="preserve"> not modelled in </w:t>
      </w:r>
      <w:bookmarkStart w:id="20" w:name="_Hlk29394618"/>
      <w:r w:rsidR="00A25AD6" w:rsidRPr="001460D5">
        <w:rPr>
          <w:lang w:val="en-GB"/>
        </w:rPr>
        <w:t xml:space="preserve">previous </w:t>
      </w:r>
      <w:hyperlink r:id="rId25" w:history="1">
        <w:r w:rsidR="00A25AD6" w:rsidRPr="001460D5">
          <w:rPr>
            <w:rStyle w:val="Hyperlink"/>
            <w:lang w:val="en-GB"/>
          </w:rPr>
          <w:t xml:space="preserve">NICE technology appraisal guidance on </w:t>
        </w:r>
        <w:r w:rsidR="00A25AD6" w:rsidRPr="001460D5">
          <w:rPr>
            <w:rStyle w:val="Hyperlink"/>
          </w:rPr>
          <w:t>adalimumab, etanercept, infliximab, certolizumab pegol, golimumab, tocilizumab and abatacept for rheumatoid arthritis</w:t>
        </w:r>
        <w:bookmarkEnd w:id="20"/>
      </w:hyperlink>
      <w:r w:rsidR="00BD5CEF" w:rsidRPr="00260064">
        <w:rPr>
          <w:lang w:val="en-GB"/>
        </w:rPr>
        <w:t>. Howev</w:t>
      </w:r>
      <w:r w:rsidR="00BD5CEF" w:rsidRPr="001D75FC">
        <w:rPr>
          <w:lang w:val="en-GB"/>
        </w:rPr>
        <w:t xml:space="preserve">er, </w:t>
      </w:r>
      <w:r w:rsidR="00391BCE">
        <w:rPr>
          <w:lang w:val="en-GB"/>
        </w:rPr>
        <w:t>the committee</w:t>
      </w:r>
      <w:r w:rsidR="00BD5CEF" w:rsidRPr="001D75FC">
        <w:rPr>
          <w:lang w:val="en-GB"/>
        </w:rPr>
        <w:t xml:space="preserve"> agreed that the progression</w:t>
      </w:r>
      <w:r w:rsidR="00DE2084" w:rsidRPr="001460D5">
        <w:rPr>
          <w:lang w:val="en-GB"/>
        </w:rPr>
        <w:t xml:space="preserve"> reflec</w:t>
      </w:r>
      <w:r w:rsidR="00BD5CEF" w:rsidRPr="00BF04A4">
        <w:rPr>
          <w:lang w:val="en-GB"/>
        </w:rPr>
        <w:t>ts what happens in</w:t>
      </w:r>
      <w:r w:rsidR="00DE2084" w:rsidRPr="001460D5">
        <w:rPr>
          <w:lang w:val="en-GB"/>
        </w:rPr>
        <w:t xml:space="preserve"> clinical </w:t>
      </w:r>
      <w:r w:rsidR="00F81650" w:rsidRPr="001460D5">
        <w:rPr>
          <w:lang w:val="en-GB"/>
        </w:rPr>
        <w:t>practice</w:t>
      </w:r>
      <w:r w:rsidR="006B487D" w:rsidRPr="001460D5">
        <w:rPr>
          <w:lang w:val="en-GB"/>
        </w:rPr>
        <w:t xml:space="preserve"> and </w:t>
      </w:r>
      <w:r w:rsidR="00BD5CEF" w:rsidRPr="00BF04A4">
        <w:rPr>
          <w:lang w:val="en-GB"/>
        </w:rPr>
        <w:t xml:space="preserve">noted that it </w:t>
      </w:r>
      <w:r w:rsidR="006B487D" w:rsidRPr="001460D5">
        <w:rPr>
          <w:lang w:val="en-GB"/>
        </w:rPr>
        <w:t xml:space="preserve">had been modelled in </w:t>
      </w:r>
      <w:r w:rsidR="00BD5CEF" w:rsidRPr="00BF04A4">
        <w:rPr>
          <w:lang w:val="en-GB"/>
        </w:rPr>
        <w:t xml:space="preserve">the </w:t>
      </w:r>
      <w:r w:rsidR="00661F7F" w:rsidRPr="001460D5">
        <w:rPr>
          <w:lang w:val="en-GB"/>
        </w:rPr>
        <w:t xml:space="preserve">previous </w:t>
      </w:r>
      <w:hyperlink r:id="rId26" w:history="1">
        <w:r w:rsidR="005C4FE0" w:rsidRPr="005C4FE0">
          <w:rPr>
            <w:rStyle w:val="Hyperlink"/>
            <w:lang w:val="en-GB"/>
          </w:rPr>
          <w:t xml:space="preserve">NICE technology </w:t>
        </w:r>
        <w:r w:rsidR="00661F7F" w:rsidRPr="001460D5">
          <w:rPr>
            <w:rStyle w:val="Hyperlink"/>
            <w:lang w:val="en-GB"/>
          </w:rPr>
          <w:t xml:space="preserve">appraisal </w:t>
        </w:r>
        <w:r w:rsidR="00BD5CEF" w:rsidRPr="005C4FE0">
          <w:rPr>
            <w:rStyle w:val="Hyperlink"/>
            <w:lang w:val="en-GB"/>
          </w:rPr>
          <w:t>o</w:t>
        </w:r>
        <w:r w:rsidR="003C002E">
          <w:rPr>
            <w:rStyle w:val="Hyperlink"/>
            <w:lang w:val="en-GB"/>
          </w:rPr>
          <w:t>n</w:t>
        </w:r>
        <w:r w:rsidR="00BD5CEF" w:rsidRPr="001460D5">
          <w:rPr>
            <w:rStyle w:val="Hyperlink"/>
            <w:lang w:val="en-GB"/>
          </w:rPr>
          <w:t xml:space="preserve"> </w:t>
        </w:r>
        <w:proofErr w:type="spellStart"/>
        <w:r w:rsidR="00661F7F" w:rsidRPr="001460D5">
          <w:rPr>
            <w:rStyle w:val="Hyperlink"/>
            <w:lang w:val="en-GB"/>
          </w:rPr>
          <w:t>sarilumab</w:t>
        </w:r>
        <w:proofErr w:type="spellEnd"/>
      </w:hyperlink>
      <w:r w:rsidR="005C4FE0">
        <w:rPr>
          <w:lang w:val="en-GB"/>
        </w:rPr>
        <w:t>.</w:t>
      </w:r>
      <w:r w:rsidR="00816645" w:rsidRPr="001460D5">
        <w:rPr>
          <w:lang w:val="en-GB"/>
        </w:rPr>
        <w:t xml:space="preserve"> </w:t>
      </w:r>
      <w:r w:rsidR="005C4FE0">
        <w:rPr>
          <w:lang w:val="en-GB"/>
        </w:rPr>
        <w:t xml:space="preserve">This transition was modelled </w:t>
      </w:r>
      <w:r w:rsidR="00C07985" w:rsidRPr="001460D5">
        <w:rPr>
          <w:lang w:val="en-GB"/>
        </w:rPr>
        <w:t xml:space="preserve">by estimating the </w:t>
      </w:r>
      <w:r w:rsidR="00BD5CEF" w:rsidRPr="00BF04A4">
        <w:rPr>
          <w:lang w:val="en-GB"/>
        </w:rPr>
        <w:t xml:space="preserve">relationship between </w:t>
      </w:r>
      <w:r w:rsidR="002E6599" w:rsidRPr="001460D5">
        <w:rPr>
          <w:lang w:val="en-GB"/>
        </w:rPr>
        <w:t>DAS28</w:t>
      </w:r>
      <w:r w:rsidR="005C007A">
        <w:rPr>
          <w:lang w:val="en-GB"/>
        </w:rPr>
        <w:t>,</w:t>
      </w:r>
      <w:r w:rsidR="00BD5CEF" w:rsidRPr="00BF04A4">
        <w:rPr>
          <w:lang w:val="en-GB"/>
        </w:rPr>
        <w:t xml:space="preserve"> which defines disease severity</w:t>
      </w:r>
      <w:r w:rsidR="005C007A">
        <w:rPr>
          <w:lang w:val="en-GB"/>
        </w:rPr>
        <w:t>,</w:t>
      </w:r>
      <w:r w:rsidR="00BD5CEF" w:rsidRPr="00BF04A4">
        <w:rPr>
          <w:lang w:val="en-GB"/>
        </w:rPr>
        <w:t xml:space="preserve"> and HAQ</w:t>
      </w:r>
      <w:r w:rsidR="002E6599" w:rsidRPr="00467639">
        <w:rPr>
          <w:lang w:val="en-GB"/>
        </w:rPr>
        <w:t xml:space="preserve"> from the SELECT trials. The ERG noted that the company d</w:t>
      </w:r>
      <w:r w:rsidR="00BD5CEF" w:rsidRPr="00BF04A4">
        <w:rPr>
          <w:lang w:val="en-GB"/>
        </w:rPr>
        <w:t>id</w:t>
      </w:r>
      <w:r w:rsidR="002E6599" w:rsidRPr="00467639">
        <w:rPr>
          <w:lang w:val="en-GB"/>
        </w:rPr>
        <w:t xml:space="preserve"> not apply the intercept term from </w:t>
      </w:r>
      <w:r w:rsidR="00BD5CEF" w:rsidRPr="00BF04A4">
        <w:rPr>
          <w:lang w:val="en-GB"/>
        </w:rPr>
        <w:t xml:space="preserve">its estimate relationship, </w:t>
      </w:r>
      <w:r w:rsidR="007B60F5" w:rsidRPr="00467639">
        <w:rPr>
          <w:lang w:val="en-GB"/>
        </w:rPr>
        <w:t xml:space="preserve">and that </w:t>
      </w:r>
      <w:r w:rsidR="001460D5">
        <w:rPr>
          <w:lang w:val="en-GB"/>
        </w:rPr>
        <w:t xml:space="preserve">applying the intercept term </w:t>
      </w:r>
      <w:r w:rsidR="005568ED">
        <w:rPr>
          <w:lang w:val="en-GB"/>
        </w:rPr>
        <w:t>r</w:t>
      </w:r>
      <w:proofErr w:type="spellStart"/>
      <w:r w:rsidR="007B60F5" w:rsidRPr="001460D5">
        <w:t>esults</w:t>
      </w:r>
      <w:proofErr w:type="spellEnd"/>
      <w:r w:rsidR="007B60F5" w:rsidRPr="001460D5">
        <w:t xml:space="preserve"> in no </w:t>
      </w:r>
      <w:r w:rsidR="004511EF" w:rsidRPr="001460D5">
        <w:t>patients</w:t>
      </w:r>
      <w:r w:rsidR="002C339C">
        <w:rPr>
          <w:lang w:val="en-US"/>
        </w:rPr>
        <w:t>’ disease</w:t>
      </w:r>
      <w:r w:rsidR="004511EF" w:rsidRPr="001460D5">
        <w:t xml:space="preserve"> progressing</w:t>
      </w:r>
      <w:r w:rsidR="007B60F5" w:rsidRPr="001460D5">
        <w:t xml:space="preserve"> from moderate to severe in the model.</w:t>
      </w:r>
      <w:r w:rsidR="002E6599" w:rsidRPr="001460D5">
        <w:t xml:space="preserve"> </w:t>
      </w:r>
      <w:r w:rsidR="00BD5CEF" w:rsidRPr="00BF04A4">
        <w:rPr>
          <w:lang w:val="en-GB"/>
        </w:rPr>
        <w:t>In response to technical engagement, the</w:t>
      </w:r>
      <w:r w:rsidR="00BD5CEF" w:rsidRPr="001460D5">
        <w:rPr>
          <w:lang w:val="en-GB"/>
        </w:rPr>
        <w:t xml:space="preserve"> </w:t>
      </w:r>
      <w:r w:rsidR="00EC2295" w:rsidRPr="001460D5">
        <w:rPr>
          <w:lang w:val="en-GB"/>
        </w:rPr>
        <w:t xml:space="preserve">company provided </w:t>
      </w:r>
      <w:r w:rsidR="00BD5CEF" w:rsidRPr="00BF04A4">
        <w:rPr>
          <w:lang w:val="en-GB"/>
        </w:rPr>
        <w:t xml:space="preserve">an </w:t>
      </w:r>
      <w:r w:rsidR="00EC2295" w:rsidRPr="001460D5">
        <w:rPr>
          <w:lang w:val="en-GB"/>
        </w:rPr>
        <w:t>analysis s</w:t>
      </w:r>
      <w:r w:rsidR="002E6599" w:rsidRPr="001460D5">
        <w:rPr>
          <w:lang w:val="en-GB"/>
        </w:rPr>
        <w:t>how</w:t>
      </w:r>
      <w:r w:rsidR="00A67102">
        <w:rPr>
          <w:lang w:val="en-GB"/>
        </w:rPr>
        <w:t>ing</w:t>
      </w:r>
      <w:r w:rsidR="00EC2295" w:rsidRPr="001460D5">
        <w:rPr>
          <w:lang w:val="en-GB"/>
        </w:rPr>
        <w:t xml:space="preserve"> that </w:t>
      </w:r>
      <w:r w:rsidR="00EC2295" w:rsidRPr="001460D5">
        <w:rPr>
          <w:lang w:val="en-GB"/>
        </w:rPr>
        <w:lastRenderedPageBreak/>
        <w:t>7</w:t>
      </w:r>
      <w:r w:rsidR="00D963C1" w:rsidRPr="00BF04A4">
        <w:rPr>
          <w:lang w:val="en-GB"/>
        </w:rPr>
        <w:t xml:space="preserve">% </w:t>
      </w:r>
      <w:r w:rsidR="00EC2295" w:rsidRPr="001460D5">
        <w:rPr>
          <w:lang w:val="en-GB"/>
        </w:rPr>
        <w:t xml:space="preserve">of people with moderate </w:t>
      </w:r>
      <w:r w:rsidR="00C07985" w:rsidRPr="001460D5">
        <w:rPr>
          <w:lang w:val="en-GB"/>
        </w:rPr>
        <w:t xml:space="preserve">disease </w:t>
      </w:r>
      <w:r w:rsidR="00B71A51">
        <w:rPr>
          <w:lang w:val="en-GB"/>
        </w:rPr>
        <w:t xml:space="preserve">have their disease </w:t>
      </w:r>
      <w:r w:rsidR="00C07985" w:rsidRPr="001460D5">
        <w:rPr>
          <w:lang w:val="en-GB"/>
        </w:rPr>
        <w:t>progress to severe after 2</w:t>
      </w:r>
      <w:r w:rsidR="00B71A51">
        <w:rPr>
          <w:lang w:val="en-GB"/>
        </w:rPr>
        <w:t> </w:t>
      </w:r>
      <w:r w:rsidR="00C07985" w:rsidRPr="001460D5">
        <w:rPr>
          <w:lang w:val="en-GB"/>
        </w:rPr>
        <w:t>years</w:t>
      </w:r>
      <w:r w:rsidR="007B60F5" w:rsidRPr="001460D5">
        <w:rPr>
          <w:lang w:val="en-GB"/>
        </w:rPr>
        <w:t xml:space="preserve"> in the model. The ERG </w:t>
      </w:r>
      <w:r w:rsidR="00BD5CEF" w:rsidRPr="00BF04A4">
        <w:rPr>
          <w:lang w:val="en-GB"/>
        </w:rPr>
        <w:t>advised</w:t>
      </w:r>
      <w:r w:rsidR="00BD5CEF" w:rsidRPr="001460D5">
        <w:rPr>
          <w:lang w:val="en-GB"/>
        </w:rPr>
        <w:t xml:space="preserve"> </w:t>
      </w:r>
      <w:r w:rsidR="007B60F5" w:rsidRPr="001460D5">
        <w:rPr>
          <w:lang w:val="en-GB"/>
        </w:rPr>
        <w:t>that this estimate was for patients</w:t>
      </w:r>
      <w:r w:rsidR="004E3A7B">
        <w:rPr>
          <w:lang w:val="en-GB"/>
        </w:rPr>
        <w:t xml:space="preserve"> who have not had treatment</w:t>
      </w:r>
      <w:r w:rsidR="00BD5CEF" w:rsidRPr="00BF04A4">
        <w:rPr>
          <w:lang w:val="en-GB"/>
        </w:rPr>
        <w:t xml:space="preserve">, </w:t>
      </w:r>
      <w:r w:rsidR="007B60F5" w:rsidRPr="001460D5">
        <w:rPr>
          <w:lang w:val="en-GB"/>
        </w:rPr>
        <w:t xml:space="preserve">and that a more accurate estimation </w:t>
      </w:r>
      <w:r w:rsidR="00BD5CEF" w:rsidRPr="00BF04A4">
        <w:rPr>
          <w:lang w:val="en-GB"/>
        </w:rPr>
        <w:t xml:space="preserve">including patients </w:t>
      </w:r>
      <w:r w:rsidR="004E3A7B">
        <w:rPr>
          <w:lang w:val="en-GB"/>
        </w:rPr>
        <w:t xml:space="preserve">who have had treatment </w:t>
      </w:r>
      <w:r w:rsidR="007B60F5" w:rsidRPr="001460D5">
        <w:rPr>
          <w:lang w:val="en-GB"/>
        </w:rPr>
        <w:t>was 1</w:t>
      </w:r>
      <w:r w:rsidR="00D963C1" w:rsidRPr="00BF04A4">
        <w:rPr>
          <w:lang w:val="en-GB"/>
        </w:rPr>
        <w:t>%</w:t>
      </w:r>
      <w:r w:rsidR="007B60F5" w:rsidRPr="001460D5">
        <w:rPr>
          <w:lang w:val="en-GB"/>
        </w:rPr>
        <w:t xml:space="preserve"> to 3</w:t>
      </w:r>
      <w:r w:rsidR="00D963C1" w:rsidRPr="00BF04A4">
        <w:rPr>
          <w:lang w:val="en-GB"/>
        </w:rPr>
        <w:t>%</w:t>
      </w:r>
      <w:r w:rsidR="007B60F5" w:rsidRPr="001460D5">
        <w:rPr>
          <w:lang w:val="en-GB"/>
        </w:rPr>
        <w:t>. Th</w:t>
      </w:r>
      <w:r w:rsidR="00D963C1" w:rsidRPr="00BF04A4">
        <w:rPr>
          <w:lang w:val="en-GB"/>
        </w:rPr>
        <w:t>e ERG explained that this</w:t>
      </w:r>
      <w:r w:rsidR="007B60F5" w:rsidRPr="001460D5">
        <w:rPr>
          <w:lang w:val="en-GB"/>
        </w:rPr>
        <w:t xml:space="preserve"> </w:t>
      </w:r>
      <w:r w:rsidR="00D963C1" w:rsidRPr="00BF04A4">
        <w:rPr>
          <w:lang w:val="en-GB"/>
        </w:rPr>
        <w:t>figure</w:t>
      </w:r>
      <w:r w:rsidR="00D963C1" w:rsidRPr="001460D5">
        <w:rPr>
          <w:lang w:val="en-GB"/>
        </w:rPr>
        <w:t xml:space="preserve"> </w:t>
      </w:r>
      <w:r w:rsidR="007B60F5" w:rsidRPr="001460D5">
        <w:rPr>
          <w:lang w:val="en-GB"/>
        </w:rPr>
        <w:t xml:space="preserve">was significantly lower than the </w:t>
      </w:r>
      <w:r w:rsidR="00D963C1" w:rsidRPr="00BF04A4">
        <w:rPr>
          <w:lang w:val="en-GB"/>
        </w:rPr>
        <w:t>figure</w:t>
      </w:r>
      <w:r w:rsidR="00D963C1" w:rsidRPr="001460D5">
        <w:rPr>
          <w:lang w:val="en-GB"/>
        </w:rPr>
        <w:t xml:space="preserve"> </w:t>
      </w:r>
      <w:r w:rsidR="007B60F5" w:rsidRPr="001460D5">
        <w:rPr>
          <w:lang w:val="en-GB"/>
        </w:rPr>
        <w:t>predicted by the</w:t>
      </w:r>
      <w:r w:rsidR="005C19DB" w:rsidRPr="001460D5">
        <w:rPr>
          <w:lang w:val="en-GB"/>
        </w:rPr>
        <w:t xml:space="preserve"> UK Early Rheumatoid Arthritis Network database (19</w:t>
      </w:r>
      <w:r w:rsidR="00D963C1" w:rsidRPr="00BF04A4">
        <w:rPr>
          <w:lang w:val="en-GB"/>
        </w:rPr>
        <w:t>%</w:t>
      </w:r>
      <w:r w:rsidR="005C19DB" w:rsidRPr="001460D5">
        <w:rPr>
          <w:lang w:val="en-GB"/>
        </w:rPr>
        <w:t>).</w:t>
      </w:r>
      <w:r w:rsidR="00620020" w:rsidRPr="001460D5">
        <w:rPr>
          <w:lang w:val="en-GB"/>
        </w:rPr>
        <w:t xml:space="preserve"> </w:t>
      </w:r>
      <w:r w:rsidR="004A54B6" w:rsidRPr="001460D5">
        <w:rPr>
          <w:lang w:val="en-GB"/>
        </w:rPr>
        <w:t xml:space="preserve">The committee </w:t>
      </w:r>
      <w:r w:rsidR="00D963C1" w:rsidRPr="00BF04A4">
        <w:rPr>
          <w:lang w:val="en-GB"/>
        </w:rPr>
        <w:t>agreed that the model appear</w:t>
      </w:r>
      <w:r w:rsidR="00CC120C">
        <w:rPr>
          <w:lang w:val="en-GB"/>
        </w:rPr>
        <w:t>ed</w:t>
      </w:r>
      <w:r w:rsidR="00D963C1" w:rsidRPr="00BF04A4">
        <w:rPr>
          <w:lang w:val="en-GB"/>
        </w:rPr>
        <w:t xml:space="preserve"> to underestimate the number of patients with moderate disease who</w:t>
      </w:r>
      <w:r w:rsidR="00B023B9">
        <w:rPr>
          <w:lang w:val="en-GB"/>
        </w:rPr>
        <w:t>se disease</w:t>
      </w:r>
      <w:r w:rsidR="00D963C1" w:rsidRPr="00BF04A4">
        <w:rPr>
          <w:lang w:val="en-GB"/>
        </w:rPr>
        <w:t xml:space="preserve"> progress</w:t>
      </w:r>
      <w:r w:rsidR="00B023B9">
        <w:rPr>
          <w:lang w:val="en-GB"/>
        </w:rPr>
        <w:t>e</w:t>
      </w:r>
      <w:r w:rsidR="00D84EDF">
        <w:rPr>
          <w:lang w:val="en-GB"/>
        </w:rPr>
        <w:t>d</w:t>
      </w:r>
      <w:r w:rsidR="00D963C1" w:rsidRPr="00BF04A4">
        <w:rPr>
          <w:lang w:val="en-GB"/>
        </w:rPr>
        <w:t xml:space="preserve"> to severe</w:t>
      </w:r>
      <w:r w:rsidR="007751DB">
        <w:rPr>
          <w:lang w:val="en-GB"/>
        </w:rPr>
        <w:t>,</w:t>
      </w:r>
      <w:r w:rsidR="00D963C1" w:rsidRPr="00BF04A4">
        <w:rPr>
          <w:lang w:val="en-GB"/>
        </w:rPr>
        <w:t xml:space="preserve"> and </w:t>
      </w:r>
      <w:r w:rsidR="007751DB">
        <w:rPr>
          <w:lang w:val="en-GB"/>
        </w:rPr>
        <w:t>who ha</w:t>
      </w:r>
      <w:r w:rsidR="00775036">
        <w:rPr>
          <w:lang w:val="en-GB"/>
        </w:rPr>
        <w:t>d</w:t>
      </w:r>
      <w:r w:rsidR="00D963C1" w:rsidRPr="00BF04A4">
        <w:rPr>
          <w:lang w:val="en-GB"/>
        </w:rPr>
        <w:t xml:space="preserve"> the associated biological treatments rather than</w:t>
      </w:r>
      <w:r w:rsidR="00334693">
        <w:rPr>
          <w:lang w:val="en-GB"/>
        </w:rPr>
        <w:t xml:space="preserve"> carry on</w:t>
      </w:r>
      <w:r w:rsidR="00C931B6">
        <w:rPr>
          <w:lang w:val="en-GB"/>
        </w:rPr>
        <w:t xml:space="preserve"> having</w:t>
      </w:r>
      <w:r w:rsidR="00D963C1" w:rsidRPr="00BF04A4">
        <w:rPr>
          <w:lang w:val="en-GB"/>
        </w:rPr>
        <w:t xml:space="preserve"> best supportive care. The committee concluded that </w:t>
      </w:r>
      <w:r w:rsidR="00D963C1" w:rsidRPr="00260064">
        <w:rPr>
          <w:lang w:val="en-GB"/>
        </w:rPr>
        <w:t xml:space="preserve">this substantially </w:t>
      </w:r>
      <w:r w:rsidR="00E40F47">
        <w:rPr>
          <w:lang w:val="en-GB"/>
        </w:rPr>
        <w:t xml:space="preserve">reduces </w:t>
      </w:r>
      <w:r w:rsidR="00467639">
        <w:rPr>
          <w:lang w:val="en-GB"/>
        </w:rPr>
        <w:t>the robustness</w:t>
      </w:r>
      <w:r w:rsidR="00D963C1" w:rsidRPr="00260064">
        <w:rPr>
          <w:lang w:val="en-GB"/>
        </w:rPr>
        <w:t xml:space="preserve"> </w:t>
      </w:r>
      <w:r w:rsidR="000F32D5">
        <w:rPr>
          <w:lang w:val="en-GB"/>
        </w:rPr>
        <w:t>of</w:t>
      </w:r>
      <w:r w:rsidR="00D963C1" w:rsidRPr="00260064">
        <w:rPr>
          <w:lang w:val="en-GB"/>
        </w:rPr>
        <w:t xml:space="preserve"> the cost-effectiveness estimates of </w:t>
      </w:r>
      <w:proofErr w:type="spellStart"/>
      <w:r w:rsidR="00D963C1" w:rsidRPr="00260064">
        <w:rPr>
          <w:lang w:val="en-GB"/>
        </w:rPr>
        <w:t>upadacitinib</w:t>
      </w:r>
      <w:proofErr w:type="spellEnd"/>
      <w:r w:rsidR="00D963C1" w:rsidRPr="00260064">
        <w:rPr>
          <w:lang w:val="en-GB"/>
        </w:rPr>
        <w:t xml:space="preserve"> for treating moderate disease. </w:t>
      </w:r>
      <w:bookmarkEnd w:id="19"/>
    </w:p>
    <w:p w14:paraId="03BD507F" w14:textId="1DD8E664" w:rsidR="002F38E7" w:rsidRPr="00DD05BD" w:rsidRDefault="002F38E7" w:rsidP="00BD52FB">
      <w:pPr>
        <w:pStyle w:val="Heading3"/>
      </w:pPr>
      <w:r w:rsidRPr="00BF04A4">
        <w:t xml:space="preserve">The </w:t>
      </w:r>
      <w:r w:rsidR="0070335A" w:rsidRPr="00260064">
        <w:t>mapping algorithm to link HAQ and pain scores that was used in</w:t>
      </w:r>
      <w:r w:rsidR="00893417">
        <w:t xml:space="preserve"> </w:t>
      </w:r>
      <w:r w:rsidR="00F11FE7">
        <w:t>the</w:t>
      </w:r>
      <w:r w:rsidR="00893417">
        <w:t xml:space="preserve"> previous NICE</w:t>
      </w:r>
      <w:r w:rsidR="00F11FE7">
        <w:t xml:space="preserve"> </w:t>
      </w:r>
      <w:r w:rsidR="00893417">
        <w:t>technology appraisal</w:t>
      </w:r>
      <w:r w:rsidR="0070335A" w:rsidRPr="00260064">
        <w:t xml:space="preserve"> should be used to estimate </w:t>
      </w:r>
      <w:r w:rsidRPr="001D75FC">
        <w:t>utilities</w:t>
      </w:r>
    </w:p>
    <w:p w14:paraId="10C5C865" w14:textId="36E7FCCC" w:rsidR="001901BB" w:rsidRPr="009C5DCB" w:rsidRDefault="00B251B2" w:rsidP="006C41A8">
      <w:pPr>
        <w:pStyle w:val="Numberedlevel2text"/>
        <w:rPr>
          <w:lang w:val="en-GB"/>
        </w:rPr>
      </w:pPr>
      <w:r w:rsidRPr="009C5DCB">
        <w:rPr>
          <w:lang w:val="en-GB"/>
        </w:rPr>
        <w:t xml:space="preserve">In the company’s base case, health-related quality of life data </w:t>
      </w:r>
      <w:r w:rsidR="00A015CA">
        <w:rPr>
          <w:lang w:val="en-GB"/>
        </w:rPr>
        <w:t>wa</w:t>
      </w:r>
      <w:r w:rsidRPr="009C5DCB">
        <w:rPr>
          <w:lang w:val="en-GB"/>
        </w:rPr>
        <w:t xml:space="preserve">s calculated using a </w:t>
      </w:r>
      <w:r w:rsidR="007E5ACB" w:rsidRPr="009C5DCB">
        <w:rPr>
          <w:lang w:val="en-GB"/>
        </w:rPr>
        <w:t xml:space="preserve">mapping function </w:t>
      </w:r>
      <w:r w:rsidR="007E5ACB" w:rsidRPr="00BF04A4">
        <w:rPr>
          <w:lang w:val="en-GB"/>
        </w:rPr>
        <w:t xml:space="preserve">to </w:t>
      </w:r>
      <w:r w:rsidR="0026674E">
        <w:rPr>
          <w:lang w:val="en-GB"/>
        </w:rPr>
        <w:t>work out</w:t>
      </w:r>
      <w:r w:rsidR="007E5ACB" w:rsidRPr="00BF04A4">
        <w:rPr>
          <w:lang w:val="en-GB"/>
        </w:rPr>
        <w:t xml:space="preserve"> a person’s pain score from their </w:t>
      </w:r>
      <w:r w:rsidRPr="009C5DCB">
        <w:rPr>
          <w:lang w:val="en-GB"/>
        </w:rPr>
        <w:t xml:space="preserve">HAQ </w:t>
      </w:r>
      <w:r w:rsidR="007E5ACB" w:rsidRPr="00BF04A4">
        <w:rPr>
          <w:lang w:val="en-GB"/>
        </w:rPr>
        <w:t>score</w:t>
      </w:r>
      <w:r w:rsidR="00A430A8">
        <w:rPr>
          <w:lang w:val="en-GB"/>
        </w:rPr>
        <w:t>.</w:t>
      </w:r>
      <w:r w:rsidR="007E5ACB" w:rsidRPr="00BF04A4">
        <w:rPr>
          <w:lang w:val="en-GB"/>
        </w:rPr>
        <w:t xml:space="preserve"> </w:t>
      </w:r>
      <w:r w:rsidR="00A430A8">
        <w:rPr>
          <w:lang w:val="en-GB"/>
        </w:rPr>
        <w:t xml:space="preserve">This </w:t>
      </w:r>
      <w:r w:rsidR="007E5ACB" w:rsidRPr="00BF04A4">
        <w:rPr>
          <w:lang w:val="en-GB"/>
        </w:rPr>
        <w:t>us</w:t>
      </w:r>
      <w:r w:rsidR="00A430A8">
        <w:rPr>
          <w:lang w:val="en-GB"/>
        </w:rPr>
        <w:t>ed</w:t>
      </w:r>
      <w:r w:rsidRPr="009C5DCB">
        <w:rPr>
          <w:lang w:val="en-GB"/>
        </w:rPr>
        <w:t xml:space="preserve"> SELECT trial data</w:t>
      </w:r>
      <w:r w:rsidR="007E5ACB" w:rsidRPr="00BF04A4">
        <w:rPr>
          <w:lang w:val="en-GB"/>
        </w:rPr>
        <w:t>,</w:t>
      </w:r>
      <w:r w:rsidR="00045AA9" w:rsidRPr="009C5DCB">
        <w:rPr>
          <w:lang w:val="en-GB"/>
        </w:rPr>
        <w:t xml:space="preserve"> </w:t>
      </w:r>
      <w:r w:rsidR="007E5ACB" w:rsidRPr="00BF04A4">
        <w:rPr>
          <w:lang w:val="en-GB"/>
        </w:rPr>
        <w:t xml:space="preserve">to </w:t>
      </w:r>
      <w:r w:rsidR="00004F8A" w:rsidRPr="009C5DCB">
        <w:rPr>
          <w:lang w:val="en-GB"/>
        </w:rPr>
        <w:t>estimate</w:t>
      </w:r>
      <w:r w:rsidR="00EC2295" w:rsidRPr="009C5DCB">
        <w:rPr>
          <w:lang w:val="en-GB"/>
        </w:rPr>
        <w:t xml:space="preserve"> EQ-5D values</w:t>
      </w:r>
      <w:r w:rsidRPr="009C5DCB">
        <w:rPr>
          <w:lang w:val="en-GB"/>
        </w:rPr>
        <w:t xml:space="preserve">. The ERG noted that </w:t>
      </w:r>
      <w:r w:rsidR="007E5ACB" w:rsidRPr="00BF04A4">
        <w:rPr>
          <w:lang w:val="en-GB"/>
        </w:rPr>
        <w:t xml:space="preserve">a </w:t>
      </w:r>
      <w:r w:rsidR="00045AA9" w:rsidRPr="009C5DCB">
        <w:rPr>
          <w:lang w:val="en-GB"/>
        </w:rPr>
        <w:t>previous NICE</w:t>
      </w:r>
      <w:r w:rsidR="00F11FE7">
        <w:rPr>
          <w:lang w:val="en-GB"/>
        </w:rPr>
        <w:t xml:space="preserve"> </w:t>
      </w:r>
      <w:r w:rsidR="00045AA9" w:rsidRPr="009C5DCB">
        <w:rPr>
          <w:lang w:val="en-GB"/>
        </w:rPr>
        <w:t xml:space="preserve">technology appraisal </w:t>
      </w:r>
      <w:r w:rsidR="007E5ACB" w:rsidRPr="00BF04A4">
        <w:rPr>
          <w:lang w:val="en-GB"/>
        </w:rPr>
        <w:t>(</w:t>
      </w:r>
      <w:hyperlink r:id="rId27" w:history="1">
        <w:r w:rsidR="004C3C45" w:rsidRPr="004C3C45">
          <w:rPr>
            <w:rStyle w:val="Hyperlink"/>
            <w:lang w:val="en-GB"/>
          </w:rPr>
          <w:t>adalimumab, etanercept, infliximab, certolizumab pegol, golimumab, tocilizumab and abatacept for rheumatoid arthritis not previously treated with DMARDs or after conventional DMARDs only have failed</w:t>
        </w:r>
      </w:hyperlink>
      <w:r w:rsidR="007E5ACB" w:rsidRPr="00BF04A4">
        <w:rPr>
          <w:lang w:val="en-GB"/>
        </w:rPr>
        <w:t xml:space="preserve">) </w:t>
      </w:r>
      <w:r w:rsidR="00045AA9" w:rsidRPr="001E2101">
        <w:rPr>
          <w:lang w:val="en-GB"/>
        </w:rPr>
        <w:t xml:space="preserve">used data from the National Databank for Rheumatic Diseases dataset to </w:t>
      </w:r>
      <w:r w:rsidR="007E5ACB" w:rsidRPr="00BF04A4">
        <w:rPr>
          <w:lang w:val="en-GB"/>
        </w:rPr>
        <w:t>map from</w:t>
      </w:r>
      <w:r w:rsidR="007E5ACB" w:rsidRPr="001E2101">
        <w:rPr>
          <w:lang w:val="en-GB"/>
        </w:rPr>
        <w:t xml:space="preserve"> </w:t>
      </w:r>
      <w:r w:rsidR="00045AA9" w:rsidRPr="001E2101">
        <w:rPr>
          <w:lang w:val="en-GB"/>
        </w:rPr>
        <w:t>HAQ</w:t>
      </w:r>
      <w:r w:rsidR="008D3A5A">
        <w:rPr>
          <w:lang w:val="en-GB"/>
        </w:rPr>
        <w:t>-</w:t>
      </w:r>
      <w:r w:rsidR="00045AA9" w:rsidRPr="001E2101">
        <w:rPr>
          <w:lang w:val="en-GB"/>
        </w:rPr>
        <w:t>to</w:t>
      </w:r>
      <w:r w:rsidR="008D3A5A">
        <w:rPr>
          <w:lang w:val="en-GB"/>
        </w:rPr>
        <w:t>-</w:t>
      </w:r>
      <w:r w:rsidR="00045AA9" w:rsidRPr="009C5DCB">
        <w:rPr>
          <w:lang w:val="en-GB"/>
        </w:rPr>
        <w:t xml:space="preserve">pain score. The ERG explained that while the company’s approach may be acceptable, </w:t>
      </w:r>
      <w:r w:rsidR="00BD606E">
        <w:rPr>
          <w:lang w:val="en-GB"/>
        </w:rPr>
        <w:t xml:space="preserve">the ERG </w:t>
      </w:r>
      <w:r w:rsidR="00045AA9" w:rsidRPr="009C5DCB">
        <w:rPr>
          <w:lang w:val="en-GB"/>
        </w:rPr>
        <w:t>prefer</w:t>
      </w:r>
      <w:r w:rsidR="00BD606E">
        <w:rPr>
          <w:lang w:val="en-GB"/>
        </w:rPr>
        <w:t>red</w:t>
      </w:r>
      <w:r w:rsidR="00045AA9" w:rsidRPr="009C5DCB">
        <w:rPr>
          <w:lang w:val="en-GB"/>
        </w:rPr>
        <w:t xml:space="preserve"> </w:t>
      </w:r>
      <w:r w:rsidR="001156C2" w:rsidRPr="009C5DCB">
        <w:rPr>
          <w:lang w:val="en-GB"/>
        </w:rPr>
        <w:t>the</w:t>
      </w:r>
      <w:r w:rsidR="0070335A" w:rsidRPr="00BF04A4">
        <w:rPr>
          <w:lang w:val="en-GB"/>
        </w:rPr>
        <w:t xml:space="preserve"> mappi</w:t>
      </w:r>
      <w:r w:rsidR="0070335A" w:rsidRPr="00260064">
        <w:rPr>
          <w:lang w:val="en-GB"/>
        </w:rPr>
        <w:t>ng based on the</w:t>
      </w:r>
      <w:r w:rsidR="001156C2" w:rsidRPr="009C5DCB">
        <w:rPr>
          <w:lang w:val="en-GB"/>
        </w:rPr>
        <w:t xml:space="preserve"> </w:t>
      </w:r>
      <w:r w:rsidR="00EC2295" w:rsidRPr="009C5DCB">
        <w:rPr>
          <w:lang w:val="en-GB"/>
        </w:rPr>
        <w:t>National Databank for Rheumatic Diseases dataset</w:t>
      </w:r>
      <w:r w:rsidR="00A47716">
        <w:rPr>
          <w:lang w:val="en-GB"/>
        </w:rPr>
        <w:t>. This was because</w:t>
      </w:r>
      <w:r w:rsidR="00EC2295" w:rsidRPr="009C5DCB">
        <w:rPr>
          <w:lang w:val="en-GB"/>
        </w:rPr>
        <w:t xml:space="preserve"> </w:t>
      </w:r>
      <w:r w:rsidR="0070335A" w:rsidRPr="00BF04A4">
        <w:rPr>
          <w:lang w:val="en-GB"/>
        </w:rPr>
        <w:t xml:space="preserve">the dataset contained </w:t>
      </w:r>
      <w:r w:rsidR="00467639">
        <w:rPr>
          <w:lang w:val="en-GB"/>
        </w:rPr>
        <w:t xml:space="preserve">over 100,000 </w:t>
      </w:r>
      <w:r w:rsidR="00EC2295" w:rsidRPr="009C5DCB">
        <w:rPr>
          <w:lang w:val="en-GB"/>
        </w:rPr>
        <w:t xml:space="preserve">observations. </w:t>
      </w:r>
      <w:r w:rsidR="0070335A" w:rsidRPr="00BF04A4">
        <w:rPr>
          <w:lang w:val="en-GB"/>
        </w:rPr>
        <w:t>The c</w:t>
      </w:r>
      <w:r w:rsidR="00EC2295" w:rsidRPr="009C5DCB">
        <w:rPr>
          <w:lang w:val="en-GB"/>
        </w:rPr>
        <w:t>ommittee agreed with the ERG</w:t>
      </w:r>
      <w:r w:rsidR="0070335A" w:rsidRPr="00BF04A4">
        <w:rPr>
          <w:lang w:val="en-GB"/>
        </w:rPr>
        <w:t>’s preferred</w:t>
      </w:r>
      <w:r w:rsidR="00EC2295" w:rsidRPr="009C5DCB">
        <w:rPr>
          <w:lang w:val="en-GB"/>
        </w:rPr>
        <w:t xml:space="preserve"> </w:t>
      </w:r>
      <w:r w:rsidR="00AA2D5A" w:rsidRPr="009C5DCB">
        <w:rPr>
          <w:lang w:val="en-GB"/>
        </w:rPr>
        <w:t>approach</w:t>
      </w:r>
      <w:r w:rsidR="0070335A" w:rsidRPr="00BF04A4">
        <w:rPr>
          <w:lang w:val="en-GB"/>
        </w:rPr>
        <w:t xml:space="preserve">. It concluded that </w:t>
      </w:r>
      <w:r w:rsidR="00467639">
        <w:rPr>
          <w:lang w:val="en-GB"/>
        </w:rPr>
        <w:t xml:space="preserve">the company’s approach may be valid, </w:t>
      </w:r>
      <w:r w:rsidR="005438FE">
        <w:rPr>
          <w:lang w:val="en-GB"/>
        </w:rPr>
        <w:t>but</w:t>
      </w:r>
      <w:r w:rsidR="00F11FE7">
        <w:rPr>
          <w:lang w:val="en-GB"/>
        </w:rPr>
        <w:t xml:space="preserve"> it preferred to use </w:t>
      </w:r>
      <w:r w:rsidR="0070335A" w:rsidRPr="00BF04A4">
        <w:rPr>
          <w:lang w:val="en-GB"/>
        </w:rPr>
        <w:t>utilities calculated using the HAQ-to-pain ma</w:t>
      </w:r>
      <w:r w:rsidR="0070335A" w:rsidRPr="00260064">
        <w:rPr>
          <w:lang w:val="en-GB"/>
        </w:rPr>
        <w:t xml:space="preserve">pping function used in </w:t>
      </w:r>
      <w:r w:rsidR="00717BC5">
        <w:rPr>
          <w:lang w:val="en-GB"/>
        </w:rPr>
        <w:t>the previous NICE</w:t>
      </w:r>
      <w:r w:rsidR="00A87718">
        <w:rPr>
          <w:lang w:val="en-GB"/>
        </w:rPr>
        <w:t xml:space="preserve"> </w:t>
      </w:r>
      <w:r w:rsidR="00717BC5">
        <w:rPr>
          <w:lang w:val="en-GB"/>
        </w:rPr>
        <w:t>technology appraisal</w:t>
      </w:r>
      <w:r w:rsidR="00F11FE7">
        <w:rPr>
          <w:lang w:val="en-GB"/>
        </w:rPr>
        <w:t>, which was based on a much larger dataset</w:t>
      </w:r>
      <w:r w:rsidR="0070335A" w:rsidRPr="00260064">
        <w:rPr>
          <w:lang w:val="en-GB"/>
        </w:rPr>
        <w:t>.</w:t>
      </w:r>
      <w:r w:rsidR="00AA2D5A" w:rsidRPr="009C5DCB">
        <w:rPr>
          <w:lang w:val="en-GB"/>
        </w:rPr>
        <w:t xml:space="preserve"> </w:t>
      </w:r>
    </w:p>
    <w:p w14:paraId="0EA57D45" w14:textId="65244D98" w:rsidR="00023EF2" w:rsidRPr="00260064" w:rsidRDefault="00023EF2" w:rsidP="00023EF2">
      <w:pPr>
        <w:pStyle w:val="Heading2"/>
      </w:pPr>
      <w:r w:rsidRPr="00BF04A4">
        <w:lastRenderedPageBreak/>
        <w:t>Economic model validation</w:t>
      </w:r>
    </w:p>
    <w:p w14:paraId="7DC38AD7" w14:textId="7106A90F" w:rsidR="001F28F2" w:rsidRPr="00BE3BE7" w:rsidRDefault="00F11FE7" w:rsidP="001F28F2">
      <w:pPr>
        <w:pStyle w:val="Heading3"/>
      </w:pPr>
      <w:r>
        <w:t>It is</w:t>
      </w:r>
      <w:r w:rsidR="00467639" w:rsidRPr="00467639">
        <w:t xml:space="preserve"> uncertain how </w:t>
      </w:r>
      <w:r>
        <w:t>closely</w:t>
      </w:r>
      <w:r w:rsidR="00467639" w:rsidRPr="00467639">
        <w:t xml:space="preserve"> the company’s model </w:t>
      </w:r>
      <w:r>
        <w:t>is</w:t>
      </w:r>
      <w:r w:rsidR="00467639" w:rsidRPr="00467639">
        <w:t xml:space="preserve"> consistent with the model used in the previous technology appraisal</w:t>
      </w:r>
    </w:p>
    <w:p w14:paraId="51B264F2" w14:textId="7CD9DEB2" w:rsidR="003A202A" w:rsidRPr="002A0FC3" w:rsidRDefault="003A202A" w:rsidP="0062332C">
      <w:pPr>
        <w:pStyle w:val="Numberedlevel2text"/>
        <w:rPr>
          <w:lang w:val="en-GB"/>
        </w:rPr>
      </w:pPr>
      <w:r w:rsidRPr="009C5DCB">
        <w:rPr>
          <w:lang w:val="en-GB"/>
        </w:rPr>
        <w:t>The company based its mode</w:t>
      </w:r>
      <w:r w:rsidR="00D92427" w:rsidRPr="009C5DCB">
        <w:rPr>
          <w:lang w:val="en-GB"/>
        </w:rPr>
        <w:t xml:space="preserve">l on the </w:t>
      </w:r>
      <w:r w:rsidR="006B487D" w:rsidRPr="009C5DCB">
        <w:rPr>
          <w:lang w:val="en-GB"/>
        </w:rPr>
        <w:t>model</w:t>
      </w:r>
      <w:r w:rsidR="00D92427" w:rsidRPr="009C5DCB">
        <w:rPr>
          <w:lang w:val="en-GB"/>
        </w:rPr>
        <w:t xml:space="preserve"> developed by the assessment group </w:t>
      </w:r>
      <w:r w:rsidR="00B52D7A">
        <w:rPr>
          <w:lang w:val="en-GB"/>
        </w:rPr>
        <w:t>for the NICE technology appraisal on</w:t>
      </w:r>
      <w:r w:rsidR="00D92427" w:rsidRPr="009C5DCB">
        <w:rPr>
          <w:lang w:val="en-GB"/>
        </w:rPr>
        <w:t xml:space="preserve"> </w:t>
      </w:r>
      <w:hyperlink r:id="rId28" w:history="1">
        <w:r w:rsidR="00B52D7A" w:rsidRPr="00801E24">
          <w:rPr>
            <w:rStyle w:val="Hyperlink"/>
            <w:lang w:val="en-GB"/>
          </w:rPr>
          <w:t>adalimumab, etanercept, infliximab, certolizumab pegol, golimumab, tocilizumab and abatacept</w:t>
        </w:r>
      </w:hyperlink>
      <w:r w:rsidR="00D92427" w:rsidRPr="009C5DCB">
        <w:rPr>
          <w:lang w:val="en-GB"/>
        </w:rPr>
        <w:t>. The company provided</w:t>
      </w:r>
      <w:r w:rsidR="00DA1246" w:rsidRPr="00BF04A4">
        <w:rPr>
          <w:lang w:val="en-GB"/>
        </w:rPr>
        <w:t xml:space="preserve"> a</w:t>
      </w:r>
      <w:r w:rsidR="006B487D" w:rsidRPr="009C5DCB">
        <w:rPr>
          <w:lang w:val="en-GB"/>
        </w:rPr>
        <w:t xml:space="preserve"> validation</w:t>
      </w:r>
      <w:r w:rsidR="00D92427" w:rsidRPr="009C5DCB">
        <w:rPr>
          <w:lang w:val="en-GB"/>
        </w:rPr>
        <w:t xml:space="preserve"> analysis compar</w:t>
      </w:r>
      <w:r w:rsidR="00204E8E">
        <w:rPr>
          <w:lang w:val="en-GB"/>
        </w:rPr>
        <w:t>ing</w:t>
      </w:r>
      <w:r w:rsidR="00D92427" w:rsidRPr="009C5DCB">
        <w:rPr>
          <w:lang w:val="en-GB"/>
        </w:rPr>
        <w:t xml:space="preserve"> the outputs of its model with those </w:t>
      </w:r>
      <w:r w:rsidR="007631C8">
        <w:rPr>
          <w:lang w:val="en-GB"/>
        </w:rPr>
        <w:t>from</w:t>
      </w:r>
      <w:r w:rsidR="00D92427" w:rsidRPr="009C5DCB">
        <w:rPr>
          <w:lang w:val="en-GB"/>
        </w:rPr>
        <w:t xml:space="preserve"> the model used in </w:t>
      </w:r>
      <w:r w:rsidR="007631C8">
        <w:rPr>
          <w:lang w:val="en-GB"/>
        </w:rPr>
        <w:t>the previous NICE technology appraisal</w:t>
      </w:r>
      <w:r w:rsidR="00D92427" w:rsidRPr="009C5DCB">
        <w:rPr>
          <w:lang w:val="en-GB"/>
        </w:rPr>
        <w:t xml:space="preserve"> for </w:t>
      </w:r>
      <w:r w:rsidR="004D17CF" w:rsidRPr="009C5DCB">
        <w:rPr>
          <w:lang w:val="en-GB"/>
        </w:rPr>
        <w:t>several</w:t>
      </w:r>
      <w:r w:rsidR="00D92427" w:rsidRPr="009C5DCB">
        <w:rPr>
          <w:lang w:val="en-GB"/>
        </w:rPr>
        <w:t xml:space="preserve"> treatment sequences. </w:t>
      </w:r>
      <w:r w:rsidR="004D17CF" w:rsidRPr="009C5DCB">
        <w:rPr>
          <w:lang w:val="en-GB"/>
        </w:rPr>
        <w:t xml:space="preserve">The ERG </w:t>
      </w:r>
      <w:r w:rsidR="00DA1246" w:rsidRPr="00BF04A4">
        <w:rPr>
          <w:lang w:val="en-GB"/>
        </w:rPr>
        <w:t>suggested</w:t>
      </w:r>
      <w:r w:rsidR="00DA1246" w:rsidRPr="009C5DCB">
        <w:rPr>
          <w:lang w:val="en-GB"/>
        </w:rPr>
        <w:t xml:space="preserve"> </w:t>
      </w:r>
      <w:r w:rsidR="004D17CF" w:rsidRPr="009C5DCB">
        <w:rPr>
          <w:lang w:val="en-GB"/>
        </w:rPr>
        <w:t xml:space="preserve">that the results of this </w:t>
      </w:r>
      <w:r w:rsidR="00DA1246" w:rsidRPr="00BF04A4">
        <w:rPr>
          <w:lang w:val="en-GB"/>
        </w:rPr>
        <w:t>analysis</w:t>
      </w:r>
      <w:r w:rsidR="00DA1246" w:rsidRPr="009C5DCB">
        <w:rPr>
          <w:lang w:val="en-GB"/>
        </w:rPr>
        <w:t xml:space="preserve"> </w:t>
      </w:r>
      <w:r w:rsidR="004D17CF" w:rsidRPr="009C5DCB">
        <w:rPr>
          <w:lang w:val="en-GB"/>
        </w:rPr>
        <w:t xml:space="preserve">appeared to show that the company’s model </w:t>
      </w:r>
      <w:r w:rsidR="006B487D" w:rsidRPr="009C5DCB">
        <w:rPr>
          <w:lang w:val="en-GB"/>
        </w:rPr>
        <w:t>overestimated QALY gains for biologic</w:t>
      </w:r>
      <w:r w:rsidR="00D61C5E">
        <w:rPr>
          <w:lang w:val="en-GB"/>
        </w:rPr>
        <w:t>al</w:t>
      </w:r>
      <w:r w:rsidR="006B487D" w:rsidRPr="009C5DCB">
        <w:rPr>
          <w:lang w:val="en-GB"/>
        </w:rPr>
        <w:t xml:space="preserve"> DMARDs </w:t>
      </w:r>
      <w:r w:rsidR="002D0241">
        <w:rPr>
          <w:lang w:val="en-GB"/>
        </w:rPr>
        <w:t>compared with</w:t>
      </w:r>
      <w:r w:rsidR="006B487D" w:rsidRPr="009C5DCB">
        <w:rPr>
          <w:lang w:val="en-GB"/>
        </w:rPr>
        <w:t xml:space="preserve"> c</w:t>
      </w:r>
      <w:r w:rsidR="00DA1246" w:rsidRPr="00BF04A4">
        <w:rPr>
          <w:lang w:val="en-GB"/>
        </w:rPr>
        <w:t xml:space="preserve">onventional </w:t>
      </w:r>
      <w:r w:rsidR="006B487D" w:rsidRPr="009C5DCB">
        <w:rPr>
          <w:lang w:val="en-GB"/>
        </w:rPr>
        <w:t>DMARDs</w:t>
      </w:r>
      <w:r w:rsidR="00D12323">
        <w:rPr>
          <w:lang w:val="en-GB"/>
        </w:rPr>
        <w:t>.</w:t>
      </w:r>
      <w:r w:rsidR="00DA1246" w:rsidRPr="00BF04A4">
        <w:rPr>
          <w:lang w:val="en-GB"/>
        </w:rPr>
        <w:t xml:space="preserve"> </w:t>
      </w:r>
      <w:r w:rsidR="00D12323">
        <w:rPr>
          <w:lang w:val="en-GB"/>
        </w:rPr>
        <w:t>It</w:t>
      </w:r>
      <w:r w:rsidR="00DA1246" w:rsidRPr="00BF04A4">
        <w:rPr>
          <w:lang w:val="en-GB"/>
        </w:rPr>
        <w:t xml:space="preserve"> </w:t>
      </w:r>
      <w:r w:rsidR="006B487D" w:rsidRPr="009C5DCB">
        <w:rPr>
          <w:lang w:val="en-GB"/>
        </w:rPr>
        <w:t xml:space="preserve">explained that this primarily impacts the cost-effectiveness analysis </w:t>
      </w:r>
      <w:r w:rsidR="00CC5212">
        <w:rPr>
          <w:lang w:val="en-GB"/>
        </w:rPr>
        <w:t>for</w:t>
      </w:r>
      <w:r w:rsidR="006B487D" w:rsidRPr="009C5DCB">
        <w:rPr>
          <w:lang w:val="en-GB"/>
        </w:rPr>
        <w:t xml:space="preserve"> moderate disease, whe</w:t>
      </w:r>
      <w:r w:rsidR="00245282">
        <w:rPr>
          <w:lang w:val="en-GB"/>
        </w:rPr>
        <w:t>n</w:t>
      </w:r>
      <w:r w:rsidR="006B487D" w:rsidRPr="009C5DCB">
        <w:rPr>
          <w:lang w:val="en-GB"/>
        </w:rPr>
        <w:t xml:space="preserve"> </w:t>
      </w:r>
      <w:proofErr w:type="spellStart"/>
      <w:r w:rsidR="006B487D" w:rsidRPr="009C5DCB">
        <w:rPr>
          <w:lang w:val="en-GB"/>
        </w:rPr>
        <w:t>up</w:t>
      </w:r>
      <w:r w:rsidR="00EE7E3E" w:rsidRPr="00BF04A4">
        <w:rPr>
          <w:lang w:val="en-GB"/>
        </w:rPr>
        <w:t>a</w:t>
      </w:r>
      <w:r w:rsidR="006B487D" w:rsidRPr="002A0FC3">
        <w:rPr>
          <w:lang w:val="en-GB"/>
        </w:rPr>
        <w:t>dacitinib</w:t>
      </w:r>
      <w:proofErr w:type="spellEnd"/>
      <w:r w:rsidR="006B487D" w:rsidRPr="002A0FC3">
        <w:rPr>
          <w:lang w:val="en-GB"/>
        </w:rPr>
        <w:t xml:space="preserve"> is compared with c</w:t>
      </w:r>
      <w:r w:rsidR="00AD3381">
        <w:rPr>
          <w:lang w:val="en-GB"/>
        </w:rPr>
        <w:t xml:space="preserve">onventional </w:t>
      </w:r>
      <w:r w:rsidR="006B487D" w:rsidRPr="002A0FC3">
        <w:rPr>
          <w:lang w:val="en-GB"/>
        </w:rPr>
        <w:t xml:space="preserve">DMARDs. </w:t>
      </w:r>
      <w:r w:rsidR="00DA1246" w:rsidRPr="00BF04A4">
        <w:rPr>
          <w:lang w:val="en-GB"/>
        </w:rPr>
        <w:t xml:space="preserve">At the committee meeting, the company advised that it had </w:t>
      </w:r>
      <w:r w:rsidR="002B5090">
        <w:rPr>
          <w:lang w:val="en-GB"/>
        </w:rPr>
        <w:t>found</w:t>
      </w:r>
      <w:r w:rsidR="00DA1246" w:rsidRPr="00BF04A4">
        <w:rPr>
          <w:lang w:val="en-GB"/>
        </w:rPr>
        <w:t xml:space="preserve"> e</w:t>
      </w:r>
      <w:r w:rsidR="00DA1246" w:rsidRPr="00260064">
        <w:rPr>
          <w:lang w:val="en-GB"/>
        </w:rPr>
        <w:t>rrors in the ERG’s validation analysis and that its</w:t>
      </w:r>
      <w:r w:rsidR="000203B2">
        <w:rPr>
          <w:lang w:val="en-GB"/>
        </w:rPr>
        <w:t xml:space="preserve"> own</w:t>
      </w:r>
      <w:r w:rsidR="00DA1246" w:rsidRPr="00260064">
        <w:rPr>
          <w:lang w:val="en-GB"/>
        </w:rPr>
        <w:t xml:space="preserve"> model produced similar results to the model</w:t>
      </w:r>
      <w:r w:rsidR="006908B9">
        <w:rPr>
          <w:lang w:val="en-GB"/>
        </w:rPr>
        <w:t xml:space="preserve"> from the previous technology appraisal</w:t>
      </w:r>
      <w:r w:rsidR="00DA1246" w:rsidRPr="00260064">
        <w:rPr>
          <w:lang w:val="en-GB"/>
        </w:rPr>
        <w:t>.</w:t>
      </w:r>
      <w:r w:rsidR="00083E8C" w:rsidRPr="001D75FC">
        <w:rPr>
          <w:lang w:val="en-GB"/>
        </w:rPr>
        <w:t xml:space="preserve"> The committee </w:t>
      </w:r>
      <w:r w:rsidR="00F11FE7">
        <w:rPr>
          <w:lang w:val="en-GB"/>
        </w:rPr>
        <w:t>concluded</w:t>
      </w:r>
      <w:r w:rsidR="00F11FE7" w:rsidRPr="00DD05BD">
        <w:rPr>
          <w:lang w:val="en-GB"/>
        </w:rPr>
        <w:t xml:space="preserve"> </w:t>
      </w:r>
      <w:r w:rsidR="00083E8C" w:rsidRPr="00DD05BD">
        <w:rPr>
          <w:lang w:val="en-GB"/>
        </w:rPr>
        <w:t xml:space="preserve">that </w:t>
      </w:r>
      <w:r w:rsidR="00A242EA">
        <w:rPr>
          <w:lang w:val="en-GB"/>
        </w:rPr>
        <w:t xml:space="preserve">it </w:t>
      </w:r>
      <w:r w:rsidR="006B7F87">
        <w:rPr>
          <w:lang w:val="en-GB"/>
        </w:rPr>
        <w:t>wa</w:t>
      </w:r>
      <w:r w:rsidR="00A242EA">
        <w:rPr>
          <w:lang w:val="en-GB"/>
        </w:rPr>
        <w:t xml:space="preserve">s uncertain how </w:t>
      </w:r>
      <w:r w:rsidR="00F11FE7">
        <w:rPr>
          <w:lang w:val="en-GB"/>
        </w:rPr>
        <w:t>closely</w:t>
      </w:r>
      <w:r w:rsidR="00F11FE7" w:rsidRPr="00DD05BD">
        <w:rPr>
          <w:lang w:val="en-GB"/>
        </w:rPr>
        <w:t xml:space="preserve"> </w:t>
      </w:r>
      <w:r w:rsidR="00083E8C" w:rsidRPr="00DD05BD">
        <w:rPr>
          <w:lang w:val="en-GB"/>
        </w:rPr>
        <w:t xml:space="preserve">the </w:t>
      </w:r>
      <w:r w:rsidR="00A242EA">
        <w:rPr>
          <w:lang w:val="en-GB"/>
        </w:rPr>
        <w:t xml:space="preserve">company’s </w:t>
      </w:r>
      <w:r w:rsidR="00083E8C" w:rsidRPr="00DD05BD">
        <w:rPr>
          <w:lang w:val="en-GB"/>
        </w:rPr>
        <w:t>model</w:t>
      </w:r>
      <w:r w:rsidR="009E3D61">
        <w:rPr>
          <w:lang w:val="en-GB"/>
        </w:rPr>
        <w:t xml:space="preserve"> wa</w:t>
      </w:r>
      <w:r w:rsidR="00083E8C" w:rsidRPr="00DD05BD">
        <w:rPr>
          <w:lang w:val="en-GB"/>
        </w:rPr>
        <w:t xml:space="preserve">s consistent with the model </w:t>
      </w:r>
      <w:r w:rsidR="00680928">
        <w:rPr>
          <w:lang w:val="en-GB"/>
        </w:rPr>
        <w:t>used in</w:t>
      </w:r>
      <w:r w:rsidR="00A242EA">
        <w:rPr>
          <w:lang w:val="en-GB"/>
        </w:rPr>
        <w:t xml:space="preserve"> the previous technology appraisal</w:t>
      </w:r>
      <w:r w:rsidR="002768D9" w:rsidRPr="00BE3BE7">
        <w:rPr>
          <w:lang w:val="en-GB"/>
        </w:rPr>
        <w:t>.</w:t>
      </w:r>
      <w:r w:rsidR="00083E8C" w:rsidRPr="00BE3BE7">
        <w:rPr>
          <w:lang w:val="en-GB"/>
        </w:rPr>
        <w:t xml:space="preserve"> </w:t>
      </w:r>
    </w:p>
    <w:p w14:paraId="43D78815" w14:textId="77777777" w:rsidR="00B928B5" w:rsidRPr="00DD05BD" w:rsidRDefault="00B928B5" w:rsidP="00B928B5">
      <w:pPr>
        <w:pStyle w:val="Heading2"/>
      </w:pPr>
      <w:r w:rsidRPr="00BF04A4">
        <w:t>Cost</w:t>
      </w:r>
      <w:r w:rsidR="00DA1246" w:rsidRPr="00260064">
        <w:t>-</w:t>
      </w:r>
      <w:r w:rsidRPr="001D75FC">
        <w:t xml:space="preserve">effectiveness results </w:t>
      </w:r>
    </w:p>
    <w:p w14:paraId="3E8C643F" w14:textId="184E007A" w:rsidR="00BC7C94" w:rsidRPr="00BE3BE7" w:rsidRDefault="00A8211E" w:rsidP="00B928B5">
      <w:pPr>
        <w:pStyle w:val="Heading3"/>
      </w:pPr>
      <w:r w:rsidRPr="00BE3BE7">
        <w:t xml:space="preserve">In moderate disease the cost-effectiveness estimates are </w:t>
      </w:r>
      <w:r w:rsidR="00D932B0">
        <w:t>not robust</w:t>
      </w:r>
      <w:r w:rsidR="00A87718">
        <w:t>,</w:t>
      </w:r>
      <w:r w:rsidR="00D932B0">
        <w:t xml:space="preserve"> </w:t>
      </w:r>
      <w:r w:rsidR="009A270D">
        <w:t>but</w:t>
      </w:r>
      <w:r w:rsidR="00A87718" w:rsidRPr="00BE3BE7">
        <w:t xml:space="preserve"> </w:t>
      </w:r>
      <w:proofErr w:type="spellStart"/>
      <w:r w:rsidRPr="00BE3BE7">
        <w:t>u</w:t>
      </w:r>
      <w:r w:rsidR="00B928B5" w:rsidRPr="00BE3BE7">
        <w:t>padacitinib</w:t>
      </w:r>
      <w:proofErr w:type="spellEnd"/>
      <w:r w:rsidR="004624DA" w:rsidRPr="00BE3BE7">
        <w:t xml:space="preserve"> </w:t>
      </w:r>
      <w:r w:rsidR="00491D7F" w:rsidRPr="00BE3BE7">
        <w:t>is unlikely to</w:t>
      </w:r>
      <w:r w:rsidRPr="00BE3BE7">
        <w:t xml:space="preserve"> be</w:t>
      </w:r>
      <w:r w:rsidR="00B928B5" w:rsidRPr="00BE3BE7">
        <w:t xml:space="preserve"> cost effective</w:t>
      </w:r>
    </w:p>
    <w:p w14:paraId="2AEE9DD4" w14:textId="77777777" w:rsidR="00A8211E" w:rsidRPr="002A0FC3" w:rsidRDefault="00A8211E" w:rsidP="00684FD3">
      <w:pPr>
        <w:pStyle w:val="Numberedlevel2text"/>
        <w:rPr>
          <w:lang w:val="en-GB"/>
        </w:rPr>
      </w:pPr>
      <w:r w:rsidRPr="00BE3BE7">
        <w:rPr>
          <w:lang w:val="en-GB"/>
        </w:rPr>
        <w:t>The c</w:t>
      </w:r>
      <w:r w:rsidRPr="002A0FC3">
        <w:rPr>
          <w:lang w:val="en-GB"/>
        </w:rPr>
        <w:t xml:space="preserve">ommittee </w:t>
      </w:r>
      <w:r w:rsidRPr="00BF04A4">
        <w:rPr>
          <w:lang w:val="en-GB"/>
        </w:rPr>
        <w:t xml:space="preserve">evaluated the cost effectiveness of </w:t>
      </w:r>
      <w:proofErr w:type="spellStart"/>
      <w:r w:rsidRPr="00BF04A4">
        <w:rPr>
          <w:lang w:val="en-GB"/>
        </w:rPr>
        <w:t>upadacitinib</w:t>
      </w:r>
      <w:proofErr w:type="spellEnd"/>
      <w:r w:rsidRPr="00BF04A4">
        <w:rPr>
          <w:lang w:val="en-GB"/>
        </w:rPr>
        <w:t xml:space="preserve"> for moderate disease based on the following conclusions:</w:t>
      </w:r>
      <w:r w:rsidRPr="002A0FC3">
        <w:rPr>
          <w:lang w:val="en-GB"/>
        </w:rPr>
        <w:t xml:space="preserve"> </w:t>
      </w:r>
    </w:p>
    <w:p w14:paraId="1F2998CC" w14:textId="56DFD6A7" w:rsidR="00A8211E" w:rsidRPr="00E051C9" w:rsidRDefault="00A8211E" w:rsidP="002A0FC3">
      <w:pPr>
        <w:pStyle w:val="Bulletindent1"/>
      </w:pPr>
      <w:r w:rsidRPr="00BF04A4">
        <w:t>T</w:t>
      </w:r>
      <w:r w:rsidR="00BC7C94" w:rsidRPr="00E051C9">
        <w:t xml:space="preserve">he most appropriate position for </w:t>
      </w:r>
      <w:proofErr w:type="spellStart"/>
      <w:r w:rsidR="00BC7C94" w:rsidRPr="00E051C9">
        <w:t>upadacitinib</w:t>
      </w:r>
      <w:proofErr w:type="spellEnd"/>
      <w:r w:rsidR="00BC7C94" w:rsidRPr="00E051C9">
        <w:t xml:space="preserve"> in the moderate rheumatoid arthritis</w:t>
      </w:r>
      <w:r w:rsidR="00552170">
        <w:t xml:space="preserve"> treatment pathway</w:t>
      </w:r>
      <w:r w:rsidR="00BC7C94" w:rsidRPr="00E051C9">
        <w:t xml:space="preserve"> </w:t>
      </w:r>
      <w:r w:rsidRPr="00BF04A4">
        <w:t>is</w:t>
      </w:r>
      <w:r w:rsidRPr="00E051C9">
        <w:t xml:space="preserve"> </w:t>
      </w:r>
      <w:r w:rsidR="00BC7C94" w:rsidRPr="00E051C9">
        <w:t xml:space="preserve">after </w:t>
      </w:r>
      <w:r w:rsidRPr="00BF04A4">
        <w:t>2</w:t>
      </w:r>
      <w:r w:rsidRPr="00E051C9">
        <w:t xml:space="preserve"> c</w:t>
      </w:r>
      <w:r w:rsidRPr="00BF04A4">
        <w:t xml:space="preserve">onventional </w:t>
      </w:r>
      <w:r w:rsidRPr="00E051C9">
        <w:t xml:space="preserve">DMARDs </w:t>
      </w:r>
      <w:r w:rsidR="00BC7C94" w:rsidRPr="00E051C9">
        <w:t xml:space="preserve">(see </w:t>
      </w:r>
      <w:r w:rsidR="00552170">
        <w:t>s</w:t>
      </w:r>
      <w:r w:rsidRPr="00BF04A4">
        <w:t>ection</w:t>
      </w:r>
      <w:r w:rsidR="0063194C">
        <w:t> </w:t>
      </w:r>
      <w:r w:rsidR="00BF51AE" w:rsidRPr="00260064">
        <w:t>3.</w:t>
      </w:r>
      <w:r w:rsidR="000452BF">
        <w:t>8</w:t>
      </w:r>
      <w:r w:rsidR="00BC7C94" w:rsidRPr="00E051C9">
        <w:t xml:space="preserve">). </w:t>
      </w:r>
    </w:p>
    <w:p w14:paraId="19D7883A" w14:textId="643AB1B0" w:rsidR="00A8211E" w:rsidRPr="00E051C9" w:rsidRDefault="00A8211E" w:rsidP="002A0FC3">
      <w:pPr>
        <w:pStyle w:val="Bulletindent1"/>
      </w:pPr>
      <w:r w:rsidRPr="00BF04A4">
        <w:t>B</w:t>
      </w:r>
      <w:r w:rsidR="00BC7C94" w:rsidRPr="00E051C9">
        <w:t xml:space="preserve">est supportive care </w:t>
      </w:r>
      <w:r w:rsidRPr="00BF04A4">
        <w:t>is the</w:t>
      </w:r>
      <w:r w:rsidR="00BC7C94" w:rsidRPr="00E051C9">
        <w:t xml:space="preserve"> relevant comparator </w:t>
      </w:r>
      <w:r w:rsidR="00075012" w:rsidRPr="00E051C9">
        <w:t xml:space="preserve">at this point in the treatment pathway (see </w:t>
      </w:r>
      <w:r w:rsidR="0045555D">
        <w:t>s</w:t>
      </w:r>
      <w:r w:rsidRPr="00BF04A4">
        <w:t>ection</w:t>
      </w:r>
      <w:r w:rsidR="0045555D">
        <w:t> </w:t>
      </w:r>
      <w:r w:rsidR="00BF51AE" w:rsidRPr="00260064">
        <w:t>3.</w:t>
      </w:r>
      <w:r w:rsidR="000452BF">
        <w:t>9</w:t>
      </w:r>
      <w:r w:rsidR="00075012" w:rsidRPr="00E051C9">
        <w:t xml:space="preserve">). </w:t>
      </w:r>
    </w:p>
    <w:p w14:paraId="7C91E2CC" w14:textId="3ABF91CB" w:rsidR="00A8211E" w:rsidRPr="00E051C9" w:rsidRDefault="00A8211E" w:rsidP="002A0FC3">
      <w:pPr>
        <w:pStyle w:val="Bulletindent1"/>
      </w:pPr>
      <w:r w:rsidRPr="00BF04A4">
        <w:lastRenderedPageBreak/>
        <w:t xml:space="preserve">It is not appropriate to assume there is a 0% response rate for best supportive care while also applying the full, observed response rate for </w:t>
      </w:r>
      <w:proofErr w:type="spellStart"/>
      <w:r w:rsidRPr="00BF04A4">
        <w:t>upadacitinib</w:t>
      </w:r>
      <w:proofErr w:type="spellEnd"/>
      <w:r w:rsidRPr="00BF04A4">
        <w:t xml:space="preserve"> (see </w:t>
      </w:r>
      <w:r w:rsidR="00635C80">
        <w:t>s</w:t>
      </w:r>
      <w:r w:rsidRPr="00BF04A4">
        <w:t>ection</w:t>
      </w:r>
      <w:r w:rsidR="00E40619">
        <w:t> </w:t>
      </w:r>
      <w:r w:rsidR="00BF51AE" w:rsidRPr="00260064">
        <w:t>3.1</w:t>
      </w:r>
      <w:r w:rsidR="000452BF">
        <w:t>1</w:t>
      </w:r>
      <w:r w:rsidRPr="001D75FC">
        <w:t>)</w:t>
      </w:r>
      <w:r w:rsidR="00075012" w:rsidRPr="00E051C9">
        <w:t xml:space="preserve">. </w:t>
      </w:r>
    </w:p>
    <w:p w14:paraId="551C0789" w14:textId="6248DEF4" w:rsidR="00D32448" w:rsidRPr="00E051C9" w:rsidRDefault="00D32448" w:rsidP="002A0FC3">
      <w:pPr>
        <w:pStyle w:val="Bulletindent1"/>
      </w:pPr>
      <w:r w:rsidRPr="00BF04A4">
        <w:t xml:space="preserve">The company’s </w:t>
      </w:r>
      <w:r w:rsidR="00582BE7">
        <w:t>‘</w:t>
      </w:r>
      <w:r w:rsidRPr="00260064">
        <w:t>net t</w:t>
      </w:r>
      <w:r w:rsidRPr="001D75FC">
        <w:t>reatment effect</w:t>
      </w:r>
      <w:r w:rsidR="00582BE7">
        <w:t>’</w:t>
      </w:r>
      <w:r w:rsidRPr="001D75FC">
        <w:t xml:space="preserve"> scenario may be an appropriate way of modelling relative effectiveness</w:t>
      </w:r>
      <w:r w:rsidR="00586B1C">
        <w:t>,</w:t>
      </w:r>
      <w:r w:rsidRPr="001D75FC">
        <w:t xml:space="preserve"> but it is likely to underestimate </w:t>
      </w:r>
      <w:proofErr w:type="spellStart"/>
      <w:r w:rsidRPr="001D75FC">
        <w:t>upadacitinib</w:t>
      </w:r>
      <w:proofErr w:type="spellEnd"/>
      <w:r w:rsidRPr="001D75FC">
        <w:t xml:space="preserve"> treatment costs (see </w:t>
      </w:r>
      <w:r w:rsidR="009C5C16">
        <w:t>s</w:t>
      </w:r>
      <w:r w:rsidRPr="001D75FC">
        <w:t>ection</w:t>
      </w:r>
      <w:r w:rsidR="00C82D99">
        <w:t> </w:t>
      </w:r>
      <w:r w:rsidR="00BF51AE" w:rsidRPr="00DD05BD">
        <w:t>3.1</w:t>
      </w:r>
      <w:r w:rsidR="000452BF">
        <w:t>2</w:t>
      </w:r>
      <w:r w:rsidRPr="00BE3BE7">
        <w:t>).</w:t>
      </w:r>
    </w:p>
    <w:p w14:paraId="03B6A220" w14:textId="209E180D" w:rsidR="00A8211E" w:rsidRPr="00E051C9" w:rsidRDefault="00A8211E" w:rsidP="002A0FC3">
      <w:pPr>
        <w:pStyle w:val="Bulletindent1"/>
      </w:pPr>
      <w:r w:rsidRPr="00BF04A4">
        <w:t>It is appropriate to assume a differential long-term</w:t>
      </w:r>
      <w:r w:rsidR="00075012" w:rsidRPr="00E051C9">
        <w:t xml:space="preserve"> HAQ trajectory </w:t>
      </w:r>
      <w:r w:rsidR="002400B7" w:rsidRPr="00E051C9">
        <w:t xml:space="preserve">for </w:t>
      </w:r>
      <w:r w:rsidRPr="00BF04A4">
        <w:t>people who re</w:t>
      </w:r>
      <w:r w:rsidRPr="00260064">
        <w:t>spond to best supportive care and people who respond t</w:t>
      </w:r>
      <w:r w:rsidR="002400B7" w:rsidRPr="00E051C9">
        <w:t xml:space="preserve">o biological </w:t>
      </w:r>
      <w:r w:rsidR="003C5FBF" w:rsidRPr="00E051C9">
        <w:t>DMARD</w:t>
      </w:r>
      <w:r w:rsidRPr="00BF04A4">
        <w:t>s</w:t>
      </w:r>
      <w:r w:rsidR="003C5FBF" w:rsidRPr="00E051C9">
        <w:t xml:space="preserve"> </w:t>
      </w:r>
      <w:r w:rsidRPr="00BF04A4">
        <w:t xml:space="preserve">(see </w:t>
      </w:r>
      <w:r w:rsidR="003816A3">
        <w:t>s</w:t>
      </w:r>
      <w:r w:rsidRPr="00BF04A4">
        <w:t>ection</w:t>
      </w:r>
      <w:r w:rsidR="00895143">
        <w:t> </w:t>
      </w:r>
      <w:r w:rsidR="00BF51AE" w:rsidRPr="00260064">
        <w:t>3.1</w:t>
      </w:r>
      <w:r w:rsidR="000452BF">
        <w:t>3</w:t>
      </w:r>
      <w:r w:rsidRPr="001D75FC">
        <w:t>)</w:t>
      </w:r>
      <w:r w:rsidR="003C5FBF" w:rsidRPr="00E051C9">
        <w:t>.</w:t>
      </w:r>
      <w:r w:rsidR="00724E37" w:rsidRPr="00E051C9">
        <w:t xml:space="preserve"> </w:t>
      </w:r>
    </w:p>
    <w:p w14:paraId="10765C67" w14:textId="39291B93" w:rsidR="00491D7F" w:rsidRPr="00E051C9" w:rsidRDefault="00491D7F" w:rsidP="002A0FC3">
      <w:pPr>
        <w:pStyle w:val="Bulletindent1last"/>
      </w:pPr>
      <w:r w:rsidRPr="002A0FC3">
        <w:t xml:space="preserve">It is appropriate to use the mapping algorithm </w:t>
      </w:r>
      <w:r w:rsidR="00094DB8" w:rsidRPr="002A0FC3">
        <w:t>accepted</w:t>
      </w:r>
      <w:r w:rsidR="00FE30F2" w:rsidRPr="002A0FC3">
        <w:t xml:space="preserve"> in </w:t>
      </w:r>
      <w:r w:rsidR="00091B6F">
        <w:t xml:space="preserve">the </w:t>
      </w:r>
      <w:r w:rsidR="00094DB8" w:rsidRPr="002A0FC3">
        <w:t xml:space="preserve">NICE </w:t>
      </w:r>
      <w:r w:rsidR="00F16C66">
        <w:t xml:space="preserve">technology </w:t>
      </w:r>
      <w:r w:rsidR="00094DB8" w:rsidRPr="002A0FC3">
        <w:t>appraisal</w:t>
      </w:r>
      <w:r w:rsidR="00F16C66">
        <w:t xml:space="preserve"> on</w:t>
      </w:r>
      <w:r w:rsidR="00094DB8" w:rsidRPr="002A0FC3">
        <w:t xml:space="preserve"> </w:t>
      </w:r>
      <w:hyperlink r:id="rId29" w:history="1">
        <w:r w:rsidR="00F16C66" w:rsidRPr="00F16C66">
          <w:rPr>
            <w:rStyle w:val="Hyperlink"/>
          </w:rPr>
          <w:t>adalimumab, etanercept, infliximab, certolizumab pegol, golimumab, tocilizumab and abatacept for rheumatoid arthritis</w:t>
        </w:r>
      </w:hyperlink>
      <w:r w:rsidR="00F16C66" w:rsidRPr="00F16C66">
        <w:t xml:space="preserve"> </w:t>
      </w:r>
      <w:r w:rsidR="00094DB8" w:rsidRPr="002A0FC3">
        <w:t>(see section</w:t>
      </w:r>
      <w:r w:rsidR="000D08CC">
        <w:t> </w:t>
      </w:r>
      <w:r w:rsidR="00094DB8" w:rsidRPr="002A0FC3">
        <w:t>3.1</w:t>
      </w:r>
      <w:r w:rsidR="000452BF">
        <w:t>5</w:t>
      </w:r>
      <w:r w:rsidR="00094DB8" w:rsidRPr="002A0FC3">
        <w:t xml:space="preserve">). </w:t>
      </w:r>
    </w:p>
    <w:p w14:paraId="27C3866E" w14:textId="050C38CD" w:rsidR="00B928B5" w:rsidRPr="004C611D" w:rsidRDefault="00A939E1" w:rsidP="002A0FC3">
      <w:pPr>
        <w:pStyle w:val="Numberedlevel2text"/>
        <w:numPr>
          <w:ilvl w:val="0"/>
          <w:numId w:val="0"/>
        </w:numPr>
        <w:ind w:left="1134"/>
        <w:rPr>
          <w:lang w:val="en-GB"/>
        </w:rPr>
      </w:pPr>
      <w:r>
        <w:rPr>
          <w:lang w:val="en-GB"/>
        </w:rPr>
        <w:t>In</w:t>
      </w:r>
      <w:r w:rsidR="00724E37" w:rsidRPr="002A0FC3">
        <w:rPr>
          <w:lang w:val="en-GB"/>
        </w:rPr>
        <w:t xml:space="preserve"> these scenarios </w:t>
      </w:r>
      <w:r w:rsidR="00724E37" w:rsidRPr="00192D8D">
        <w:t>the</w:t>
      </w:r>
      <w:r w:rsidR="00724E37" w:rsidRPr="002A0FC3">
        <w:rPr>
          <w:lang w:val="en-GB"/>
        </w:rPr>
        <w:t xml:space="preserve"> </w:t>
      </w:r>
      <w:r w:rsidR="00880708" w:rsidRPr="00BF04A4">
        <w:rPr>
          <w:lang w:val="en-GB"/>
        </w:rPr>
        <w:t>cost-effectiveness estim</w:t>
      </w:r>
      <w:r w:rsidR="00880708" w:rsidRPr="00260064">
        <w:rPr>
          <w:lang w:val="en-GB"/>
        </w:rPr>
        <w:t>ate</w:t>
      </w:r>
      <w:r w:rsidR="00C37AAA">
        <w:rPr>
          <w:lang w:val="en-GB"/>
        </w:rPr>
        <w:t xml:space="preserve">s, </w:t>
      </w:r>
      <w:r w:rsidR="00D4761B">
        <w:rPr>
          <w:lang w:val="en-GB"/>
        </w:rPr>
        <w:t>i</w:t>
      </w:r>
      <w:r w:rsidR="00724E37" w:rsidRPr="002A0FC3">
        <w:rPr>
          <w:lang w:val="en-GB"/>
        </w:rPr>
        <w:t xml:space="preserve">ncluding the confidential discounts for comparator </w:t>
      </w:r>
      <w:r w:rsidR="00C37AAA">
        <w:rPr>
          <w:lang w:val="en-GB"/>
        </w:rPr>
        <w:t>and subsequent</w:t>
      </w:r>
      <w:r w:rsidR="00D932B0">
        <w:rPr>
          <w:lang w:val="en-GB"/>
        </w:rPr>
        <w:t xml:space="preserve"> treatments</w:t>
      </w:r>
      <w:r w:rsidR="00A87718">
        <w:rPr>
          <w:lang w:val="en-GB"/>
        </w:rPr>
        <w:t>,</w:t>
      </w:r>
      <w:r w:rsidR="00C37AAA">
        <w:rPr>
          <w:lang w:val="en-GB"/>
        </w:rPr>
        <w:t xml:space="preserve"> resulted in incremental cost-effectiveness ratio</w:t>
      </w:r>
      <w:r w:rsidR="00872E33">
        <w:rPr>
          <w:lang w:val="en-GB"/>
        </w:rPr>
        <w:t>s</w:t>
      </w:r>
      <w:r w:rsidR="00C37AAA">
        <w:rPr>
          <w:lang w:val="en-GB"/>
        </w:rPr>
        <w:t xml:space="preserve"> (ICER</w:t>
      </w:r>
      <w:r w:rsidR="00A87718">
        <w:rPr>
          <w:lang w:val="en-GB"/>
        </w:rPr>
        <w:t>s</w:t>
      </w:r>
      <w:r w:rsidR="00C37AAA">
        <w:rPr>
          <w:lang w:val="en-GB"/>
        </w:rPr>
        <w:t xml:space="preserve">) </w:t>
      </w:r>
      <w:r w:rsidR="00872E33">
        <w:rPr>
          <w:lang w:val="en-GB"/>
        </w:rPr>
        <w:t>above</w:t>
      </w:r>
      <w:r w:rsidR="001B0E47" w:rsidRPr="002A0FC3">
        <w:rPr>
          <w:lang w:val="en-GB"/>
        </w:rPr>
        <w:t xml:space="preserve"> £20,000 </w:t>
      </w:r>
      <w:r w:rsidR="008561F4" w:rsidRPr="002A0FC3">
        <w:rPr>
          <w:lang w:val="en-GB"/>
        </w:rPr>
        <w:t>per QALY</w:t>
      </w:r>
      <w:r w:rsidR="005470E9">
        <w:rPr>
          <w:lang w:val="en-GB"/>
        </w:rPr>
        <w:t xml:space="preserve"> gained for the company’s ‘net treatment effect’ approach</w:t>
      </w:r>
      <w:r w:rsidR="008561F4" w:rsidRPr="002A0FC3">
        <w:rPr>
          <w:lang w:val="en-GB"/>
        </w:rPr>
        <w:t xml:space="preserve"> </w:t>
      </w:r>
      <w:r w:rsidR="00872E33">
        <w:rPr>
          <w:lang w:val="en-GB"/>
        </w:rPr>
        <w:t xml:space="preserve">compared with </w:t>
      </w:r>
      <w:r w:rsidR="00D932B0">
        <w:rPr>
          <w:lang w:val="en-GB"/>
        </w:rPr>
        <w:t xml:space="preserve">best supportive care. </w:t>
      </w:r>
      <w:r w:rsidR="005470E9">
        <w:rPr>
          <w:lang w:val="en-GB"/>
        </w:rPr>
        <w:t xml:space="preserve">The ICER for the company’s HAQ trajectory scenario was above £30,000 per QALY gained compared with best supportive care. </w:t>
      </w:r>
      <w:r w:rsidR="00D932B0">
        <w:rPr>
          <w:lang w:val="en-GB"/>
        </w:rPr>
        <w:t>The exact ICERs are confidential and cannot be reported here.</w:t>
      </w:r>
      <w:r w:rsidR="003C5FBF" w:rsidRPr="002A0FC3">
        <w:rPr>
          <w:lang w:val="en-GB"/>
        </w:rPr>
        <w:t xml:space="preserve"> The company’s model </w:t>
      </w:r>
      <w:r w:rsidR="00880708" w:rsidRPr="00BF04A4">
        <w:rPr>
          <w:lang w:val="en-GB"/>
        </w:rPr>
        <w:t>appear</w:t>
      </w:r>
      <w:r w:rsidR="00E56FEB">
        <w:rPr>
          <w:lang w:val="en-GB"/>
        </w:rPr>
        <w:t>ed</w:t>
      </w:r>
      <w:r w:rsidR="00880708" w:rsidRPr="00BF04A4">
        <w:rPr>
          <w:lang w:val="en-GB"/>
        </w:rPr>
        <w:t xml:space="preserve"> to underestimate</w:t>
      </w:r>
      <w:r w:rsidR="00880708" w:rsidRPr="004C611D">
        <w:rPr>
          <w:lang w:val="en-GB"/>
        </w:rPr>
        <w:t xml:space="preserve"> </w:t>
      </w:r>
      <w:r w:rsidR="003C5FBF" w:rsidRPr="004C611D">
        <w:rPr>
          <w:lang w:val="en-GB"/>
        </w:rPr>
        <w:t xml:space="preserve">the </w:t>
      </w:r>
      <w:r w:rsidR="00724E37" w:rsidRPr="004C611D">
        <w:rPr>
          <w:lang w:val="en-GB"/>
        </w:rPr>
        <w:t>number</w:t>
      </w:r>
      <w:r w:rsidR="003C5FBF" w:rsidRPr="004C611D">
        <w:rPr>
          <w:lang w:val="en-GB"/>
        </w:rPr>
        <w:t xml:space="preserve"> </w:t>
      </w:r>
      <w:r w:rsidR="00724E37" w:rsidRPr="004C611D">
        <w:rPr>
          <w:lang w:val="en-GB"/>
        </w:rPr>
        <w:t xml:space="preserve">of </w:t>
      </w:r>
      <w:r w:rsidR="00942F98" w:rsidRPr="004C611D">
        <w:rPr>
          <w:lang w:val="en-GB"/>
        </w:rPr>
        <w:t xml:space="preserve">patients </w:t>
      </w:r>
      <w:r w:rsidR="007C3EEA">
        <w:rPr>
          <w:lang w:val="en-GB"/>
        </w:rPr>
        <w:t xml:space="preserve">with moderate disease </w:t>
      </w:r>
      <w:r w:rsidR="00724E37" w:rsidRPr="004C611D">
        <w:rPr>
          <w:lang w:val="en-GB"/>
        </w:rPr>
        <w:t>who</w:t>
      </w:r>
      <w:r w:rsidR="007C3EEA">
        <w:rPr>
          <w:lang w:val="en-GB"/>
        </w:rPr>
        <w:t>se disease</w:t>
      </w:r>
      <w:r w:rsidR="00724E37" w:rsidRPr="004C611D">
        <w:rPr>
          <w:lang w:val="en-GB"/>
        </w:rPr>
        <w:t xml:space="preserve"> would progress to</w:t>
      </w:r>
      <w:r w:rsidR="00954A8F">
        <w:rPr>
          <w:lang w:val="en-GB"/>
        </w:rPr>
        <w:t xml:space="preserve"> be </w:t>
      </w:r>
      <w:r w:rsidR="00724E37" w:rsidRPr="004C611D">
        <w:rPr>
          <w:lang w:val="en-GB"/>
        </w:rPr>
        <w:t>treat</w:t>
      </w:r>
      <w:r w:rsidR="00954A8F">
        <w:rPr>
          <w:lang w:val="en-GB"/>
        </w:rPr>
        <w:t>ed</w:t>
      </w:r>
      <w:r w:rsidR="00724E37" w:rsidRPr="004C611D">
        <w:rPr>
          <w:lang w:val="en-GB"/>
        </w:rPr>
        <w:t xml:space="preserve"> </w:t>
      </w:r>
      <w:r w:rsidR="00954A8F">
        <w:rPr>
          <w:lang w:val="en-GB"/>
        </w:rPr>
        <w:t>as</w:t>
      </w:r>
      <w:r w:rsidR="00724E37" w:rsidRPr="004C611D">
        <w:rPr>
          <w:lang w:val="en-GB"/>
        </w:rPr>
        <w:t xml:space="preserve"> severe disease</w:t>
      </w:r>
      <w:r w:rsidR="00880708" w:rsidRPr="00BF04A4">
        <w:rPr>
          <w:lang w:val="en-GB"/>
        </w:rPr>
        <w:t xml:space="preserve"> (see </w:t>
      </w:r>
      <w:r w:rsidR="008D68ED">
        <w:rPr>
          <w:lang w:val="en-GB"/>
        </w:rPr>
        <w:t>s</w:t>
      </w:r>
      <w:r w:rsidR="00880708" w:rsidRPr="00BF04A4">
        <w:rPr>
          <w:lang w:val="en-GB"/>
        </w:rPr>
        <w:t>ection</w:t>
      </w:r>
      <w:r w:rsidR="008D68ED">
        <w:rPr>
          <w:lang w:val="en-GB"/>
        </w:rPr>
        <w:t> </w:t>
      </w:r>
      <w:r w:rsidR="00BF51AE" w:rsidRPr="00260064">
        <w:rPr>
          <w:lang w:val="en-GB"/>
        </w:rPr>
        <w:t>3.1</w:t>
      </w:r>
      <w:r w:rsidR="00850BF4">
        <w:rPr>
          <w:lang w:val="en-GB"/>
        </w:rPr>
        <w:t>4</w:t>
      </w:r>
      <w:r w:rsidR="00880708" w:rsidRPr="001D75FC">
        <w:rPr>
          <w:lang w:val="en-GB"/>
        </w:rPr>
        <w:t>).</w:t>
      </w:r>
      <w:r w:rsidR="00D32448" w:rsidRPr="00DD05BD">
        <w:rPr>
          <w:lang w:val="en-GB"/>
        </w:rPr>
        <w:t xml:space="preserve"> </w:t>
      </w:r>
      <w:r w:rsidR="001C6954">
        <w:rPr>
          <w:lang w:val="en-GB"/>
        </w:rPr>
        <w:t>I</w:t>
      </w:r>
      <w:r w:rsidR="00D32448" w:rsidRPr="00DD05BD">
        <w:rPr>
          <w:lang w:val="en-GB"/>
        </w:rPr>
        <w:t>t also considered that the</w:t>
      </w:r>
      <w:r w:rsidR="00D32448" w:rsidRPr="00BE3BE7">
        <w:rPr>
          <w:lang w:val="en-GB"/>
        </w:rPr>
        <w:t xml:space="preserve"> company’s </w:t>
      </w:r>
      <w:r w:rsidR="00F66786">
        <w:rPr>
          <w:lang w:val="en-GB"/>
        </w:rPr>
        <w:t>‘</w:t>
      </w:r>
      <w:r w:rsidR="00D32448" w:rsidRPr="00BE3BE7">
        <w:rPr>
          <w:lang w:val="en-GB"/>
        </w:rPr>
        <w:t>net treatment effect</w:t>
      </w:r>
      <w:r w:rsidR="00F66786">
        <w:rPr>
          <w:lang w:val="en-GB"/>
        </w:rPr>
        <w:t>’</w:t>
      </w:r>
      <w:r w:rsidR="00D32448" w:rsidRPr="00BE3BE7">
        <w:rPr>
          <w:lang w:val="en-GB"/>
        </w:rPr>
        <w:t xml:space="preserve"> scenario likely underestimated treatment costs (see section</w:t>
      </w:r>
      <w:r w:rsidR="00C76BB8">
        <w:rPr>
          <w:lang w:val="en-GB"/>
        </w:rPr>
        <w:t> </w:t>
      </w:r>
      <w:r w:rsidR="00D32448" w:rsidRPr="00BE3BE7">
        <w:rPr>
          <w:lang w:val="en-GB"/>
        </w:rPr>
        <w:t>3.</w:t>
      </w:r>
      <w:r w:rsidR="00BF51AE" w:rsidRPr="00BE3BE7">
        <w:rPr>
          <w:lang w:val="en-GB"/>
        </w:rPr>
        <w:t>1</w:t>
      </w:r>
      <w:r w:rsidR="000452BF">
        <w:rPr>
          <w:lang w:val="en-GB"/>
        </w:rPr>
        <w:t>2</w:t>
      </w:r>
      <w:r w:rsidR="00D32448" w:rsidRPr="00BE3BE7">
        <w:rPr>
          <w:lang w:val="en-GB"/>
        </w:rPr>
        <w:t>)</w:t>
      </w:r>
      <w:r w:rsidR="001B0E47" w:rsidRPr="00BE3BE7">
        <w:rPr>
          <w:lang w:val="en-GB"/>
        </w:rPr>
        <w:t>.</w:t>
      </w:r>
      <w:r w:rsidR="00D32448" w:rsidRPr="00BE3BE7">
        <w:rPr>
          <w:lang w:val="en-GB"/>
        </w:rPr>
        <w:t xml:space="preserve"> </w:t>
      </w:r>
      <w:r w:rsidR="00880708" w:rsidRPr="00BE3BE7">
        <w:rPr>
          <w:lang w:val="en-GB"/>
        </w:rPr>
        <w:t>It agreed that these issues add</w:t>
      </w:r>
      <w:r w:rsidR="00EF6064">
        <w:rPr>
          <w:lang w:val="en-GB"/>
        </w:rPr>
        <w:t>ed</w:t>
      </w:r>
      <w:r w:rsidR="00880708" w:rsidRPr="00BE3BE7">
        <w:rPr>
          <w:lang w:val="en-GB"/>
        </w:rPr>
        <w:t xml:space="preserve"> a large amount of</w:t>
      </w:r>
      <w:r w:rsidR="009F5618" w:rsidRPr="004C611D">
        <w:rPr>
          <w:lang w:val="en-GB"/>
        </w:rPr>
        <w:t xml:space="preserve"> uncertainty to the cost</w:t>
      </w:r>
      <w:r w:rsidR="00880708" w:rsidRPr="00BF04A4">
        <w:rPr>
          <w:lang w:val="en-GB"/>
        </w:rPr>
        <w:t>-</w:t>
      </w:r>
      <w:r w:rsidR="009F5618" w:rsidRPr="004C611D">
        <w:rPr>
          <w:lang w:val="en-GB"/>
        </w:rPr>
        <w:t xml:space="preserve">effectiveness results for </w:t>
      </w:r>
      <w:proofErr w:type="spellStart"/>
      <w:r w:rsidR="00880708" w:rsidRPr="00BF04A4">
        <w:rPr>
          <w:lang w:val="en-GB"/>
        </w:rPr>
        <w:t>upadacitinib</w:t>
      </w:r>
      <w:proofErr w:type="spellEnd"/>
      <w:r w:rsidR="00880708" w:rsidRPr="00BF04A4">
        <w:rPr>
          <w:lang w:val="en-GB"/>
        </w:rPr>
        <w:t xml:space="preserve"> in </w:t>
      </w:r>
      <w:r w:rsidR="009F5618" w:rsidRPr="004C611D">
        <w:rPr>
          <w:lang w:val="en-GB"/>
        </w:rPr>
        <w:t>moderate disease</w:t>
      </w:r>
      <w:r w:rsidR="00A87718">
        <w:rPr>
          <w:lang w:val="en-GB"/>
        </w:rPr>
        <w:t>, and that</w:t>
      </w:r>
      <w:r w:rsidR="00880708" w:rsidRPr="00BF04A4">
        <w:rPr>
          <w:lang w:val="en-GB"/>
        </w:rPr>
        <w:t xml:space="preserve"> the true cost-effectiveness estimate</w:t>
      </w:r>
      <w:r w:rsidR="00083E8C" w:rsidRPr="00260064">
        <w:rPr>
          <w:lang w:val="en-GB"/>
        </w:rPr>
        <w:t xml:space="preserve"> was</w:t>
      </w:r>
      <w:r w:rsidR="00880708" w:rsidRPr="001D75FC">
        <w:rPr>
          <w:lang w:val="en-GB"/>
        </w:rPr>
        <w:t xml:space="preserve"> </w:t>
      </w:r>
      <w:r w:rsidR="00083E8C" w:rsidRPr="00DD05BD">
        <w:rPr>
          <w:lang w:val="en-GB"/>
        </w:rPr>
        <w:t>likely to</w:t>
      </w:r>
      <w:r w:rsidR="00880708" w:rsidRPr="00BE3BE7">
        <w:rPr>
          <w:lang w:val="en-GB"/>
        </w:rPr>
        <w:t xml:space="preserve"> </w:t>
      </w:r>
      <w:r w:rsidR="00726060" w:rsidRPr="00BE3BE7">
        <w:rPr>
          <w:lang w:val="en-GB"/>
        </w:rPr>
        <w:t>be higher</w:t>
      </w:r>
      <w:r w:rsidR="001B0E47" w:rsidRPr="00BE3BE7">
        <w:rPr>
          <w:lang w:val="en-GB"/>
        </w:rPr>
        <w:t xml:space="preserve"> than those reported</w:t>
      </w:r>
      <w:r w:rsidR="009F5618" w:rsidRPr="004C611D">
        <w:rPr>
          <w:lang w:val="en-GB"/>
        </w:rPr>
        <w:t>.</w:t>
      </w:r>
      <w:r w:rsidR="00724E37" w:rsidRPr="004C611D">
        <w:rPr>
          <w:lang w:val="en-GB"/>
        </w:rPr>
        <w:t xml:space="preserve"> The committee </w:t>
      </w:r>
      <w:r w:rsidR="00880708" w:rsidRPr="00BF04A4">
        <w:rPr>
          <w:lang w:val="en-GB"/>
        </w:rPr>
        <w:t>concluded</w:t>
      </w:r>
      <w:r w:rsidR="00880708" w:rsidRPr="004C611D">
        <w:rPr>
          <w:lang w:val="en-GB"/>
        </w:rPr>
        <w:t xml:space="preserve"> </w:t>
      </w:r>
      <w:r w:rsidR="00724E37" w:rsidRPr="004C611D">
        <w:rPr>
          <w:lang w:val="en-GB"/>
        </w:rPr>
        <w:t xml:space="preserve">that </w:t>
      </w:r>
      <w:r w:rsidR="00880708" w:rsidRPr="00BF04A4">
        <w:rPr>
          <w:lang w:val="en-GB"/>
        </w:rPr>
        <w:t xml:space="preserve">it had not seen robust cost-effectiveness estimates for </w:t>
      </w:r>
      <w:proofErr w:type="spellStart"/>
      <w:r w:rsidR="00724E37" w:rsidRPr="004C611D">
        <w:rPr>
          <w:lang w:val="en-GB"/>
        </w:rPr>
        <w:t>upadacitinib</w:t>
      </w:r>
      <w:proofErr w:type="spellEnd"/>
      <w:r w:rsidR="00724E37" w:rsidRPr="004C611D">
        <w:rPr>
          <w:lang w:val="en-GB"/>
        </w:rPr>
        <w:t xml:space="preserve"> in people with moderate </w:t>
      </w:r>
      <w:r w:rsidR="00880708" w:rsidRPr="00BF04A4">
        <w:rPr>
          <w:lang w:val="en-GB"/>
        </w:rPr>
        <w:t>diseas</w:t>
      </w:r>
      <w:r w:rsidR="00880708" w:rsidRPr="004C611D">
        <w:rPr>
          <w:lang w:val="en-GB"/>
        </w:rPr>
        <w:t>e</w:t>
      </w:r>
      <w:r w:rsidR="009A270D">
        <w:rPr>
          <w:lang w:val="en-GB"/>
        </w:rPr>
        <w:t>.</w:t>
      </w:r>
      <w:r w:rsidR="00A87718">
        <w:rPr>
          <w:lang w:val="en-GB"/>
        </w:rPr>
        <w:t xml:space="preserve"> </w:t>
      </w:r>
      <w:r w:rsidR="009A270D">
        <w:rPr>
          <w:lang w:val="en-GB"/>
        </w:rPr>
        <w:t>H</w:t>
      </w:r>
      <w:r w:rsidR="00A87718">
        <w:rPr>
          <w:lang w:val="en-GB"/>
        </w:rPr>
        <w:t>owever, i</w:t>
      </w:r>
      <w:r w:rsidR="00872E33">
        <w:rPr>
          <w:lang w:val="en-GB"/>
        </w:rPr>
        <w:t xml:space="preserve">t also concluded that </w:t>
      </w:r>
      <w:proofErr w:type="spellStart"/>
      <w:r w:rsidR="00872E33">
        <w:rPr>
          <w:lang w:val="en-GB"/>
        </w:rPr>
        <w:t>upadacitinib</w:t>
      </w:r>
      <w:proofErr w:type="spellEnd"/>
      <w:r w:rsidR="00872E33">
        <w:rPr>
          <w:lang w:val="en-GB"/>
        </w:rPr>
        <w:t xml:space="preserve"> was </w:t>
      </w:r>
      <w:r w:rsidR="0082298E">
        <w:rPr>
          <w:lang w:val="en-GB"/>
        </w:rPr>
        <w:t>not likely to be</w:t>
      </w:r>
      <w:r w:rsidR="00872E33">
        <w:rPr>
          <w:lang w:val="en-GB"/>
        </w:rPr>
        <w:t xml:space="preserve"> cost-effective use of NHS resources </w:t>
      </w:r>
      <w:r w:rsidR="00A87718">
        <w:rPr>
          <w:lang w:val="en-GB"/>
        </w:rPr>
        <w:t xml:space="preserve">for treating moderate </w:t>
      </w:r>
      <w:proofErr w:type="gramStart"/>
      <w:r w:rsidR="00A87718">
        <w:rPr>
          <w:lang w:val="en-GB"/>
        </w:rPr>
        <w:t xml:space="preserve">disease, </w:t>
      </w:r>
      <w:r w:rsidR="00872E33">
        <w:rPr>
          <w:lang w:val="en-GB"/>
        </w:rPr>
        <w:t>and</w:t>
      </w:r>
      <w:proofErr w:type="gramEnd"/>
      <w:r w:rsidR="00872E33">
        <w:rPr>
          <w:lang w:val="en-GB"/>
        </w:rPr>
        <w:t xml:space="preserve"> did not recommend it </w:t>
      </w:r>
      <w:r w:rsidR="00A87718">
        <w:rPr>
          <w:lang w:val="en-GB"/>
        </w:rPr>
        <w:t>in this group</w:t>
      </w:r>
      <w:r w:rsidR="00872E33">
        <w:rPr>
          <w:lang w:val="en-GB"/>
        </w:rPr>
        <w:t>.</w:t>
      </w:r>
    </w:p>
    <w:p w14:paraId="1308E77B" w14:textId="3CCAAF2E" w:rsidR="00643582" w:rsidRPr="00DD05BD" w:rsidRDefault="00880708" w:rsidP="004D15F5">
      <w:pPr>
        <w:pStyle w:val="Heading3"/>
      </w:pPr>
      <w:r w:rsidRPr="00BF04A4">
        <w:lastRenderedPageBreak/>
        <w:t xml:space="preserve">In severe disease </w:t>
      </w:r>
      <w:proofErr w:type="spellStart"/>
      <w:r w:rsidRPr="00BF04A4">
        <w:t>u</w:t>
      </w:r>
      <w:r w:rsidR="004D15F5" w:rsidRPr="00260064">
        <w:t>padacitinib</w:t>
      </w:r>
      <w:proofErr w:type="spellEnd"/>
      <w:r w:rsidR="004D15F5" w:rsidRPr="00260064">
        <w:t xml:space="preserve"> with methotrexate is cost </w:t>
      </w:r>
      <w:r w:rsidR="004D15F5" w:rsidRPr="001D75FC">
        <w:t>effective after conventional DMARDs</w:t>
      </w:r>
    </w:p>
    <w:p w14:paraId="57A51207" w14:textId="2F111B3A" w:rsidR="00441995" w:rsidRPr="004C611D" w:rsidRDefault="00AD2A32" w:rsidP="00684FD3">
      <w:pPr>
        <w:pStyle w:val="Numberedlevel2text"/>
        <w:rPr>
          <w:lang w:val="en-GB"/>
        </w:rPr>
      </w:pPr>
      <w:r>
        <w:rPr>
          <w:lang w:val="en-GB"/>
        </w:rPr>
        <w:t>T</w:t>
      </w:r>
      <w:r w:rsidR="00441995" w:rsidRPr="004C611D">
        <w:rPr>
          <w:lang w:val="en-GB"/>
        </w:rPr>
        <w:t>he ERG</w:t>
      </w:r>
      <w:r>
        <w:rPr>
          <w:lang w:val="en-GB"/>
        </w:rPr>
        <w:t xml:space="preserve"> did</w:t>
      </w:r>
      <w:r w:rsidR="00441995" w:rsidRPr="004C611D">
        <w:rPr>
          <w:lang w:val="en-GB"/>
        </w:rPr>
        <w:t xml:space="preserve"> analys</w:t>
      </w:r>
      <w:r w:rsidR="00D932B0">
        <w:rPr>
          <w:lang w:val="en-GB"/>
        </w:rPr>
        <w:t>e</w:t>
      </w:r>
      <w:r w:rsidR="00441995" w:rsidRPr="004C611D">
        <w:rPr>
          <w:lang w:val="en-GB"/>
        </w:rPr>
        <w:t xml:space="preserve">s for </w:t>
      </w:r>
      <w:r w:rsidR="00054F57">
        <w:rPr>
          <w:lang w:val="en-GB"/>
        </w:rPr>
        <w:t>people with</w:t>
      </w:r>
      <w:r w:rsidR="00441995" w:rsidRPr="004C611D">
        <w:rPr>
          <w:lang w:val="en-GB"/>
        </w:rPr>
        <w:t xml:space="preserve"> severe </w:t>
      </w:r>
      <w:r w:rsidR="00880708" w:rsidRPr="00BF04A4">
        <w:rPr>
          <w:lang w:val="en-GB"/>
        </w:rPr>
        <w:t>disease</w:t>
      </w:r>
      <w:r w:rsidR="00441995" w:rsidRPr="004C611D">
        <w:rPr>
          <w:lang w:val="en-GB"/>
        </w:rPr>
        <w:t xml:space="preserve"> whose disease ha</w:t>
      </w:r>
      <w:r w:rsidR="00C53C0C">
        <w:rPr>
          <w:lang w:val="en-GB"/>
        </w:rPr>
        <w:t>d</w:t>
      </w:r>
      <w:r w:rsidR="00441995" w:rsidRPr="004C611D">
        <w:rPr>
          <w:lang w:val="en-GB"/>
        </w:rPr>
        <w:t xml:space="preserve"> responded inadequately to conventional DMARDs</w:t>
      </w:r>
      <w:r>
        <w:rPr>
          <w:lang w:val="en-GB"/>
        </w:rPr>
        <w:t>.</w:t>
      </w:r>
      <w:r w:rsidR="00441995" w:rsidRPr="004C611D">
        <w:rPr>
          <w:lang w:val="en-GB"/>
        </w:rPr>
        <w:t xml:space="preserve"> </w:t>
      </w:r>
      <w:r>
        <w:rPr>
          <w:lang w:val="en-GB"/>
        </w:rPr>
        <w:t>T</w:t>
      </w:r>
      <w:r w:rsidR="00441995" w:rsidRPr="004C611D">
        <w:rPr>
          <w:lang w:val="en-GB"/>
        </w:rPr>
        <w:t xml:space="preserve">he clinical and cost-effectiveness estimates for </w:t>
      </w:r>
      <w:proofErr w:type="spellStart"/>
      <w:r w:rsidR="00441995" w:rsidRPr="004C611D">
        <w:rPr>
          <w:lang w:val="en-GB"/>
        </w:rPr>
        <w:t>upadacitinib</w:t>
      </w:r>
      <w:proofErr w:type="spellEnd"/>
      <w:r w:rsidR="00441995" w:rsidRPr="004C611D">
        <w:rPr>
          <w:lang w:val="en-GB"/>
        </w:rPr>
        <w:t xml:space="preserve"> </w:t>
      </w:r>
      <w:r w:rsidR="004E3341">
        <w:rPr>
          <w:lang w:val="en-GB"/>
        </w:rPr>
        <w:t>with</w:t>
      </w:r>
      <w:r w:rsidR="00441995" w:rsidRPr="004C611D">
        <w:rPr>
          <w:lang w:val="en-GB"/>
        </w:rPr>
        <w:t xml:space="preserve"> conventional DMARDs were </w:t>
      </w:r>
      <w:proofErr w:type="gramStart"/>
      <w:r w:rsidR="00441995" w:rsidRPr="004C611D">
        <w:rPr>
          <w:lang w:val="en-GB"/>
        </w:rPr>
        <w:t>similar to</w:t>
      </w:r>
      <w:proofErr w:type="gramEnd"/>
      <w:r w:rsidR="00441995" w:rsidRPr="004C611D">
        <w:rPr>
          <w:lang w:val="en-GB"/>
        </w:rPr>
        <w:t xml:space="preserve"> what </w:t>
      </w:r>
      <w:r w:rsidR="005F2207">
        <w:rPr>
          <w:lang w:val="en-GB"/>
        </w:rPr>
        <w:t>was</w:t>
      </w:r>
      <w:r w:rsidR="00441995" w:rsidRPr="004C611D">
        <w:rPr>
          <w:lang w:val="en-GB"/>
        </w:rPr>
        <w:t xml:space="preserve"> previously seen </w:t>
      </w:r>
      <w:r w:rsidR="00C32A84">
        <w:rPr>
          <w:lang w:val="en-GB"/>
        </w:rPr>
        <w:t>for</w:t>
      </w:r>
      <w:r w:rsidR="00441995" w:rsidRPr="004C611D">
        <w:rPr>
          <w:lang w:val="en-GB"/>
        </w:rPr>
        <w:t xml:space="preserve"> rheumatoid arthritis</w:t>
      </w:r>
      <w:r w:rsidR="00772CC3">
        <w:rPr>
          <w:lang w:val="en-GB"/>
        </w:rPr>
        <w:t>. This was</w:t>
      </w:r>
      <w:r w:rsidR="00340458">
        <w:rPr>
          <w:lang w:val="en-GB"/>
        </w:rPr>
        <w:t xml:space="preserve"> </w:t>
      </w:r>
      <w:proofErr w:type="spellStart"/>
      <w:r w:rsidR="00340458">
        <w:rPr>
          <w:lang w:val="en-GB"/>
        </w:rPr>
        <w:t>upadacitinib</w:t>
      </w:r>
      <w:proofErr w:type="spellEnd"/>
      <w:r w:rsidR="00340458">
        <w:rPr>
          <w:lang w:val="en-GB"/>
        </w:rPr>
        <w:t xml:space="preserve"> either dominating (that is</w:t>
      </w:r>
      <w:r w:rsidR="00772CC3">
        <w:rPr>
          <w:lang w:val="en-GB"/>
        </w:rPr>
        <w:t>, it was</w:t>
      </w:r>
      <w:r w:rsidR="00340458">
        <w:rPr>
          <w:lang w:val="en-GB"/>
        </w:rPr>
        <w:t xml:space="preserve"> cheaper and more effective than the comparator) or </w:t>
      </w:r>
      <w:r w:rsidR="00A00C2B">
        <w:rPr>
          <w:lang w:val="en-GB"/>
        </w:rPr>
        <w:t>giving</w:t>
      </w:r>
      <w:r w:rsidR="00340458">
        <w:rPr>
          <w:lang w:val="en-GB"/>
        </w:rPr>
        <w:t xml:space="preserve"> an ICER over £30,000 per QALY gained</w:t>
      </w:r>
      <w:r w:rsidR="00886DEC">
        <w:rPr>
          <w:lang w:val="en-GB"/>
        </w:rPr>
        <w:t xml:space="preserve"> when confidential comparator discounts were applied</w:t>
      </w:r>
      <w:r w:rsidR="00441995" w:rsidRPr="004C611D">
        <w:rPr>
          <w:lang w:val="en-GB"/>
        </w:rPr>
        <w:t xml:space="preserve">. The committee concluded that it could recommend </w:t>
      </w:r>
      <w:proofErr w:type="spellStart"/>
      <w:r w:rsidR="00441995" w:rsidRPr="004C611D">
        <w:rPr>
          <w:lang w:val="en-GB"/>
        </w:rPr>
        <w:t>upadacitinib</w:t>
      </w:r>
      <w:proofErr w:type="spellEnd"/>
      <w:r w:rsidR="00441995" w:rsidRPr="004C611D">
        <w:rPr>
          <w:lang w:val="en-GB"/>
        </w:rPr>
        <w:t xml:space="preserve"> </w:t>
      </w:r>
      <w:r w:rsidR="00DF5C2E">
        <w:rPr>
          <w:lang w:val="en-GB"/>
        </w:rPr>
        <w:t>with</w:t>
      </w:r>
      <w:r w:rsidR="00441995" w:rsidRPr="004C611D">
        <w:rPr>
          <w:lang w:val="en-GB"/>
        </w:rPr>
        <w:t xml:space="preserve"> methotrexate as a cost-effective use of NHS resources for people with severe rheumatoid arthritis whose disease ha</w:t>
      </w:r>
      <w:r w:rsidR="008E54D9">
        <w:rPr>
          <w:lang w:val="en-GB"/>
        </w:rPr>
        <w:t>d</w:t>
      </w:r>
      <w:r w:rsidR="00441995" w:rsidRPr="004C611D">
        <w:rPr>
          <w:lang w:val="en-GB"/>
        </w:rPr>
        <w:t xml:space="preserve"> responded inadequately to conventional DMARDs</w:t>
      </w:r>
      <w:r w:rsidR="0078402D">
        <w:rPr>
          <w:lang w:val="en-GB"/>
        </w:rPr>
        <w:t xml:space="preserve">. This </w:t>
      </w:r>
      <w:r w:rsidR="00874789">
        <w:rPr>
          <w:lang w:val="en-GB"/>
        </w:rPr>
        <w:t>wa</w:t>
      </w:r>
      <w:r w:rsidR="0078402D">
        <w:rPr>
          <w:lang w:val="en-GB"/>
        </w:rPr>
        <w:t>s</w:t>
      </w:r>
      <w:r w:rsidR="00441995" w:rsidRPr="004C611D">
        <w:rPr>
          <w:lang w:val="en-GB"/>
        </w:rPr>
        <w:t xml:space="preserve"> in line with the NICE </w:t>
      </w:r>
      <w:r w:rsidR="00134B90">
        <w:rPr>
          <w:lang w:val="en-GB"/>
        </w:rPr>
        <w:t>technology appraisal guidance</w:t>
      </w:r>
      <w:r w:rsidR="00134B90" w:rsidRPr="004C611D">
        <w:rPr>
          <w:lang w:val="en-GB"/>
        </w:rPr>
        <w:t xml:space="preserve"> </w:t>
      </w:r>
      <w:r w:rsidR="00441995" w:rsidRPr="004C611D">
        <w:rPr>
          <w:lang w:val="en-GB"/>
        </w:rPr>
        <w:t xml:space="preserve">on </w:t>
      </w:r>
      <w:hyperlink r:id="rId30" w:history="1">
        <w:r w:rsidR="00441995" w:rsidRPr="004C611D">
          <w:rPr>
            <w:rStyle w:val="Hyperlink"/>
            <w:lang w:val="en-GB"/>
          </w:rPr>
          <w:t>adalimumab, etanercept, infliximab, certolizumab pegol, golimumab, tocilizumab and abatacept</w:t>
        </w:r>
      </w:hyperlink>
      <w:r w:rsidR="00441995" w:rsidRPr="004C611D">
        <w:rPr>
          <w:lang w:val="en-GB"/>
        </w:rPr>
        <w:t>.</w:t>
      </w:r>
      <w:r w:rsidR="008214A4">
        <w:rPr>
          <w:lang w:val="en-GB"/>
        </w:rPr>
        <w:t xml:space="preserve"> </w:t>
      </w:r>
    </w:p>
    <w:p w14:paraId="72B18728" w14:textId="77777777" w:rsidR="004D15F5" w:rsidRPr="00BE3BE7" w:rsidRDefault="00880708" w:rsidP="004D15F5">
      <w:pPr>
        <w:pStyle w:val="Heading3"/>
      </w:pPr>
      <w:r w:rsidRPr="00BF04A4">
        <w:t xml:space="preserve">In severe disease, </w:t>
      </w:r>
      <w:proofErr w:type="spellStart"/>
      <w:r w:rsidRPr="00BF04A4">
        <w:t>u</w:t>
      </w:r>
      <w:r w:rsidR="004D15F5" w:rsidRPr="00260064">
        <w:t>padacitinib</w:t>
      </w:r>
      <w:proofErr w:type="spellEnd"/>
      <w:r w:rsidR="004624DA" w:rsidRPr="001D75FC">
        <w:t xml:space="preserve"> with methotrexate</w:t>
      </w:r>
      <w:r w:rsidR="004D15F5" w:rsidRPr="00DD05BD">
        <w:t xml:space="preserve"> is not cost effective for severe disea</w:t>
      </w:r>
      <w:r w:rsidR="004D15F5" w:rsidRPr="00BE3BE7">
        <w:t>se after biological DMARDs if rituximab is a treatment option</w:t>
      </w:r>
    </w:p>
    <w:p w14:paraId="1F9B09F6" w14:textId="3E4E54AA" w:rsidR="00441995" w:rsidRPr="004C611D" w:rsidRDefault="00E310C0" w:rsidP="00684FD3">
      <w:pPr>
        <w:pStyle w:val="Numberedlevel2text"/>
        <w:rPr>
          <w:lang w:val="en-GB"/>
        </w:rPr>
      </w:pPr>
      <w:r>
        <w:rPr>
          <w:lang w:val="en-GB"/>
        </w:rPr>
        <w:t>T</w:t>
      </w:r>
      <w:r w:rsidR="00441995" w:rsidRPr="004C611D">
        <w:rPr>
          <w:lang w:val="en-GB"/>
        </w:rPr>
        <w:t>he ERG</w:t>
      </w:r>
      <w:r>
        <w:rPr>
          <w:lang w:val="en-GB"/>
        </w:rPr>
        <w:t xml:space="preserve"> did an</w:t>
      </w:r>
      <w:r w:rsidR="00441995" w:rsidRPr="004C611D">
        <w:rPr>
          <w:lang w:val="en-GB"/>
        </w:rPr>
        <w:t xml:space="preserve"> analysis for </w:t>
      </w:r>
      <w:r w:rsidR="002637F7">
        <w:rPr>
          <w:lang w:val="en-GB"/>
        </w:rPr>
        <w:t>people with</w:t>
      </w:r>
      <w:r w:rsidR="00441995" w:rsidRPr="004C611D">
        <w:rPr>
          <w:lang w:val="en-GB"/>
        </w:rPr>
        <w:t xml:space="preserve"> severe </w:t>
      </w:r>
      <w:r w:rsidR="00880708" w:rsidRPr="00BF04A4">
        <w:rPr>
          <w:lang w:val="en-GB"/>
        </w:rPr>
        <w:t xml:space="preserve">disease </w:t>
      </w:r>
      <w:r w:rsidR="00441995" w:rsidRPr="004C611D">
        <w:rPr>
          <w:lang w:val="en-GB"/>
        </w:rPr>
        <w:t>that has responded inadequately to biological DMARDs</w:t>
      </w:r>
      <w:r w:rsidR="00004C58">
        <w:rPr>
          <w:lang w:val="en-GB"/>
        </w:rPr>
        <w:t>,</w:t>
      </w:r>
      <w:r w:rsidR="00441995" w:rsidRPr="004C611D">
        <w:rPr>
          <w:lang w:val="en-GB"/>
        </w:rPr>
        <w:t xml:space="preserve"> </w:t>
      </w:r>
      <w:r w:rsidR="00004C58">
        <w:rPr>
          <w:lang w:val="en-GB"/>
        </w:rPr>
        <w:t>when</w:t>
      </w:r>
      <w:r w:rsidR="00441995" w:rsidRPr="004C611D">
        <w:rPr>
          <w:lang w:val="en-GB"/>
        </w:rPr>
        <w:t xml:space="preserve"> rituximab is a treatment option</w:t>
      </w:r>
      <w:r>
        <w:rPr>
          <w:lang w:val="en-GB"/>
        </w:rPr>
        <w:t>.</w:t>
      </w:r>
      <w:r w:rsidR="00441995" w:rsidRPr="004C611D">
        <w:rPr>
          <w:lang w:val="en-GB"/>
        </w:rPr>
        <w:t xml:space="preserve"> </w:t>
      </w:r>
      <w:r>
        <w:rPr>
          <w:lang w:val="en-GB"/>
        </w:rPr>
        <w:t xml:space="preserve">In this, </w:t>
      </w:r>
      <w:proofErr w:type="spellStart"/>
      <w:r w:rsidR="00441995" w:rsidRPr="004C611D">
        <w:rPr>
          <w:lang w:val="en-GB"/>
        </w:rPr>
        <w:t>upadacitinib</w:t>
      </w:r>
      <w:proofErr w:type="spellEnd"/>
      <w:r w:rsidR="00441995" w:rsidRPr="004C611D">
        <w:rPr>
          <w:lang w:val="en-GB"/>
        </w:rPr>
        <w:t xml:space="preserve"> </w:t>
      </w:r>
      <w:r w:rsidR="008549A7">
        <w:rPr>
          <w:lang w:val="en-GB"/>
        </w:rPr>
        <w:t>with</w:t>
      </w:r>
      <w:r w:rsidR="00441995" w:rsidRPr="004C611D">
        <w:rPr>
          <w:lang w:val="en-GB"/>
        </w:rPr>
        <w:t xml:space="preserve"> conventional DMARDs </w:t>
      </w:r>
      <w:r w:rsidR="00684FD3" w:rsidRPr="004C611D">
        <w:rPr>
          <w:lang w:val="en-GB"/>
        </w:rPr>
        <w:t>was dominated by</w:t>
      </w:r>
      <w:r w:rsidR="00441995" w:rsidRPr="004C611D">
        <w:rPr>
          <w:lang w:val="en-GB"/>
        </w:rPr>
        <w:t xml:space="preserve"> rituximab </w:t>
      </w:r>
      <w:r w:rsidR="00375DBD">
        <w:rPr>
          <w:lang w:val="en-GB"/>
        </w:rPr>
        <w:t>with</w:t>
      </w:r>
      <w:r w:rsidR="00441995" w:rsidRPr="004C611D">
        <w:rPr>
          <w:lang w:val="en-GB"/>
        </w:rPr>
        <w:t xml:space="preserve"> conventional DMARDs </w:t>
      </w:r>
      <w:r w:rsidR="00684FD3" w:rsidRPr="004C611D">
        <w:rPr>
          <w:lang w:val="en-GB"/>
        </w:rPr>
        <w:t xml:space="preserve">(that is, </w:t>
      </w:r>
      <w:proofErr w:type="spellStart"/>
      <w:r w:rsidR="0090707E">
        <w:rPr>
          <w:lang w:val="en-GB"/>
        </w:rPr>
        <w:t>upadacitinib</w:t>
      </w:r>
      <w:proofErr w:type="spellEnd"/>
      <w:r w:rsidR="00BA420F">
        <w:rPr>
          <w:lang w:val="en-GB"/>
        </w:rPr>
        <w:t xml:space="preserve"> </w:t>
      </w:r>
      <w:r w:rsidR="00684FD3" w:rsidRPr="004C611D">
        <w:rPr>
          <w:lang w:val="en-GB"/>
        </w:rPr>
        <w:t>was more expensive and less effective)</w:t>
      </w:r>
      <w:r w:rsidR="00441995" w:rsidRPr="004C611D">
        <w:rPr>
          <w:lang w:val="en-GB"/>
        </w:rPr>
        <w:t xml:space="preserve">. The committee concluded that </w:t>
      </w:r>
      <w:proofErr w:type="spellStart"/>
      <w:r w:rsidR="00441995" w:rsidRPr="004C611D">
        <w:rPr>
          <w:lang w:val="en-GB"/>
        </w:rPr>
        <w:t>upadacitinib</w:t>
      </w:r>
      <w:proofErr w:type="spellEnd"/>
      <w:r w:rsidR="00441995" w:rsidRPr="004C611D">
        <w:rPr>
          <w:lang w:val="en-GB"/>
        </w:rPr>
        <w:t xml:space="preserve"> </w:t>
      </w:r>
      <w:r w:rsidR="00620EA5">
        <w:rPr>
          <w:lang w:val="en-GB"/>
        </w:rPr>
        <w:t>with</w:t>
      </w:r>
      <w:r w:rsidR="00441995" w:rsidRPr="004C611D">
        <w:rPr>
          <w:lang w:val="en-GB"/>
        </w:rPr>
        <w:t xml:space="preserve"> conventional DMARDs was not a cost-effective use of NHS resources for people with severe rheumatoid arthritis whose disease ha</w:t>
      </w:r>
      <w:r w:rsidR="00AB3FA6">
        <w:rPr>
          <w:lang w:val="en-GB"/>
        </w:rPr>
        <w:t>d</w:t>
      </w:r>
      <w:r w:rsidR="00441995" w:rsidRPr="004C611D">
        <w:rPr>
          <w:lang w:val="en-GB"/>
        </w:rPr>
        <w:t xml:space="preserve"> responded inadequately to biological DMARDs</w:t>
      </w:r>
      <w:r w:rsidR="00541BC1">
        <w:rPr>
          <w:lang w:val="en-GB"/>
        </w:rPr>
        <w:t>,</w:t>
      </w:r>
      <w:r w:rsidR="00441995" w:rsidRPr="004C611D">
        <w:rPr>
          <w:lang w:val="en-GB"/>
        </w:rPr>
        <w:t xml:space="preserve"> if rituximab </w:t>
      </w:r>
      <w:r w:rsidR="00886711">
        <w:rPr>
          <w:lang w:val="en-GB"/>
        </w:rPr>
        <w:t>wa</w:t>
      </w:r>
      <w:r w:rsidR="00441995" w:rsidRPr="004C611D">
        <w:rPr>
          <w:lang w:val="en-GB"/>
        </w:rPr>
        <w:t>s a treatment option</w:t>
      </w:r>
      <w:r w:rsidR="00D932B0">
        <w:rPr>
          <w:lang w:val="en-GB"/>
        </w:rPr>
        <w:t>. Therefore</w:t>
      </w:r>
      <w:r w:rsidR="0006617B">
        <w:rPr>
          <w:lang w:val="en-GB"/>
        </w:rPr>
        <w:t>,</w:t>
      </w:r>
      <w:r w:rsidR="00D932B0">
        <w:rPr>
          <w:lang w:val="en-GB"/>
        </w:rPr>
        <w:t xml:space="preserve"> it was not recommend</w:t>
      </w:r>
      <w:r w:rsidR="005A1CC6">
        <w:rPr>
          <w:lang w:val="en-GB"/>
        </w:rPr>
        <w:t>ed</w:t>
      </w:r>
      <w:r w:rsidR="00D932B0">
        <w:rPr>
          <w:lang w:val="en-GB"/>
        </w:rPr>
        <w:t xml:space="preserve"> at this position in the pathway</w:t>
      </w:r>
      <w:r w:rsidR="00441995" w:rsidRPr="004C611D">
        <w:rPr>
          <w:lang w:val="en-GB"/>
        </w:rPr>
        <w:t>.</w:t>
      </w:r>
    </w:p>
    <w:p w14:paraId="19D9E2BC" w14:textId="77777777" w:rsidR="004624DA" w:rsidRPr="001D75FC" w:rsidRDefault="00880708" w:rsidP="004624DA">
      <w:pPr>
        <w:pStyle w:val="Heading3"/>
      </w:pPr>
      <w:r w:rsidRPr="00BF04A4">
        <w:t xml:space="preserve">In severe disease, </w:t>
      </w:r>
      <w:proofErr w:type="spellStart"/>
      <w:r w:rsidRPr="00BF04A4">
        <w:t>u</w:t>
      </w:r>
      <w:r w:rsidR="004624DA" w:rsidRPr="00260064">
        <w:t>padacitinib</w:t>
      </w:r>
      <w:proofErr w:type="spellEnd"/>
      <w:r w:rsidR="004624DA" w:rsidRPr="00260064">
        <w:t xml:space="preserve"> with methotrexate is cost effective after rituximab and other biological DMARDs</w:t>
      </w:r>
    </w:p>
    <w:p w14:paraId="56DBFAE5" w14:textId="698FE56D" w:rsidR="00C72C7C" w:rsidRPr="004C611D" w:rsidRDefault="006F10E7" w:rsidP="00D964B4">
      <w:pPr>
        <w:pStyle w:val="Numberedlevel2text"/>
        <w:rPr>
          <w:lang w:val="en-GB"/>
        </w:rPr>
      </w:pPr>
      <w:r>
        <w:rPr>
          <w:lang w:val="en-GB"/>
        </w:rPr>
        <w:t>T</w:t>
      </w:r>
      <w:r w:rsidR="00C72C7C" w:rsidRPr="004C611D">
        <w:rPr>
          <w:lang w:val="en-GB"/>
        </w:rPr>
        <w:t>he ERG</w:t>
      </w:r>
      <w:r>
        <w:rPr>
          <w:lang w:val="en-GB"/>
        </w:rPr>
        <w:t xml:space="preserve"> did</w:t>
      </w:r>
      <w:r w:rsidR="00C72C7C" w:rsidRPr="004C611D">
        <w:rPr>
          <w:lang w:val="en-GB"/>
        </w:rPr>
        <w:t xml:space="preserve"> analys</w:t>
      </w:r>
      <w:r w:rsidR="00D932B0">
        <w:rPr>
          <w:lang w:val="en-GB"/>
        </w:rPr>
        <w:t>e</w:t>
      </w:r>
      <w:r w:rsidR="00C72C7C" w:rsidRPr="004C611D">
        <w:rPr>
          <w:lang w:val="en-GB"/>
        </w:rPr>
        <w:t xml:space="preserve">s for </w:t>
      </w:r>
      <w:r>
        <w:rPr>
          <w:lang w:val="en-GB"/>
        </w:rPr>
        <w:t>people with</w:t>
      </w:r>
      <w:r w:rsidR="00C72C7C" w:rsidRPr="004C611D">
        <w:rPr>
          <w:lang w:val="en-GB"/>
        </w:rPr>
        <w:t xml:space="preserve"> severe </w:t>
      </w:r>
      <w:r w:rsidR="00880708" w:rsidRPr="00BF04A4">
        <w:rPr>
          <w:lang w:val="en-GB"/>
        </w:rPr>
        <w:t>disease</w:t>
      </w:r>
      <w:r w:rsidR="00C72C7C" w:rsidRPr="004C611D">
        <w:rPr>
          <w:lang w:val="en-GB"/>
        </w:rPr>
        <w:t xml:space="preserve"> that ha</w:t>
      </w:r>
      <w:r>
        <w:rPr>
          <w:lang w:val="en-GB"/>
        </w:rPr>
        <w:t>d</w:t>
      </w:r>
      <w:r w:rsidR="00C72C7C" w:rsidRPr="004C611D">
        <w:rPr>
          <w:lang w:val="en-GB"/>
        </w:rPr>
        <w:t xml:space="preserve"> not responded adequately to rituximab and other biological DMARDs</w:t>
      </w:r>
      <w:r w:rsidR="002E2520">
        <w:rPr>
          <w:lang w:val="en-GB"/>
        </w:rPr>
        <w:t>.</w:t>
      </w:r>
      <w:r w:rsidR="00C72C7C" w:rsidRPr="004C611D">
        <w:rPr>
          <w:lang w:val="en-GB"/>
        </w:rPr>
        <w:t xml:space="preserve"> </w:t>
      </w:r>
      <w:r w:rsidR="002E2520">
        <w:rPr>
          <w:lang w:val="en-GB"/>
        </w:rPr>
        <w:t xml:space="preserve">In this, </w:t>
      </w:r>
      <w:r w:rsidR="00C72C7C" w:rsidRPr="004C611D">
        <w:rPr>
          <w:lang w:val="en-GB"/>
        </w:rPr>
        <w:lastRenderedPageBreak/>
        <w:t xml:space="preserve">the </w:t>
      </w:r>
      <w:r w:rsidR="0006617B">
        <w:rPr>
          <w:lang w:val="en-GB"/>
        </w:rPr>
        <w:t>cost-effectiveness estimates</w:t>
      </w:r>
      <w:r w:rsidR="00C72C7C" w:rsidRPr="004C611D">
        <w:rPr>
          <w:lang w:val="en-GB"/>
        </w:rPr>
        <w:t xml:space="preserve"> for intravenous or subcutaneous tocilizumab </w:t>
      </w:r>
      <w:r w:rsidR="007733B9">
        <w:rPr>
          <w:lang w:val="en-GB"/>
        </w:rPr>
        <w:t>with</w:t>
      </w:r>
      <w:r w:rsidR="00C72C7C" w:rsidRPr="004C611D">
        <w:rPr>
          <w:lang w:val="en-GB"/>
        </w:rPr>
        <w:t xml:space="preserve"> methotrexate compared with </w:t>
      </w:r>
      <w:proofErr w:type="spellStart"/>
      <w:r w:rsidR="00C72C7C" w:rsidRPr="004C611D">
        <w:rPr>
          <w:lang w:val="en-GB"/>
        </w:rPr>
        <w:t>upadacitinib</w:t>
      </w:r>
      <w:proofErr w:type="spellEnd"/>
      <w:r w:rsidR="00C72C7C" w:rsidRPr="004C611D">
        <w:rPr>
          <w:lang w:val="en-GB"/>
        </w:rPr>
        <w:t xml:space="preserve"> </w:t>
      </w:r>
      <w:r w:rsidR="006E1009">
        <w:rPr>
          <w:lang w:val="en-GB"/>
        </w:rPr>
        <w:t>with</w:t>
      </w:r>
      <w:r w:rsidR="00C72C7C" w:rsidRPr="004C611D">
        <w:rPr>
          <w:lang w:val="en-GB"/>
        </w:rPr>
        <w:t xml:space="preserve"> methotrexate </w:t>
      </w:r>
      <w:r w:rsidR="00880708" w:rsidRPr="00BF04A4">
        <w:rPr>
          <w:lang w:val="en-GB"/>
        </w:rPr>
        <w:t>were</w:t>
      </w:r>
      <w:r w:rsidR="00880708" w:rsidRPr="004C611D">
        <w:rPr>
          <w:lang w:val="en-GB"/>
        </w:rPr>
        <w:t xml:space="preserve"> </w:t>
      </w:r>
      <w:r w:rsidR="00C72C7C" w:rsidRPr="004C611D">
        <w:rPr>
          <w:lang w:val="en-GB"/>
        </w:rPr>
        <w:t>over £100,000 per QALY gained.</w:t>
      </w:r>
      <w:r w:rsidR="0029211E" w:rsidRPr="004C611D">
        <w:rPr>
          <w:lang w:val="en-GB"/>
        </w:rPr>
        <w:t xml:space="preserve"> </w:t>
      </w:r>
      <w:proofErr w:type="spellStart"/>
      <w:r w:rsidR="0029211E" w:rsidRPr="004C611D">
        <w:rPr>
          <w:lang w:val="en-GB"/>
        </w:rPr>
        <w:t>Sarilumab</w:t>
      </w:r>
      <w:proofErr w:type="spellEnd"/>
      <w:r w:rsidR="0029211E" w:rsidRPr="004C611D">
        <w:rPr>
          <w:lang w:val="en-GB"/>
        </w:rPr>
        <w:t xml:space="preserve"> </w:t>
      </w:r>
      <w:r w:rsidR="00FF3DA7">
        <w:rPr>
          <w:lang w:val="en-GB"/>
        </w:rPr>
        <w:t>with</w:t>
      </w:r>
      <w:r w:rsidR="0029211E" w:rsidRPr="004C611D">
        <w:rPr>
          <w:lang w:val="en-GB"/>
        </w:rPr>
        <w:t xml:space="preserve"> methotrexate was dominated by </w:t>
      </w:r>
      <w:proofErr w:type="spellStart"/>
      <w:r w:rsidR="0029211E" w:rsidRPr="004C611D">
        <w:rPr>
          <w:lang w:val="en-GB"/>
        </w:rPr>
        <w:t>upadacitinib</w:t>
      </w:r>
      <w:proofErr w:type="spellEnd"/>
      <w:r w:rsidR="0029211E" w:rsidRPr="004C611D">
        <w:rPr>
          <w:lang w:val="en-GB"/>
        </w:rPr>
        <w:t xml:space="preserve"> </w:t>
      </w:r>
      <w:r w:rsidR="00FF3DA7">
        <w:rPr>
          <w:lang w:val="en-GB"/>
        </w:rPr>
        <w:t>with</w:t>
      </w:r>
      <w:r w:rsidR="0029211E" w:rsidRPr="004C611D">
        <w:rPr>
          <w:lang w:val="en-GB"/>
        </w:rPr>
        <w:t xml:space="preserve"> methotrexate (that is, </w:t>
      </w:r>
      <w:proofErr w:type="spellStart"/>
      <w:r w:rsidR="0029211E" w:rsidRPr="004C611D">
        <w:rPr>
          <w:lang w:val="en-GB"/>
        </w:rPr>
        <w:t>upadacitinib</w:t>
      </w:r>
      <w:proofErr w:type="spellEnd"/>
      <w:r w:rsidR="0029211E" w:rsidRPr="004C611D">
        <w:rPr>
          <w:lang w:val="en-GB"/>
        </w:rPr>
        <w:t xml:space="preserve"> </w:t>
      </w:r>
      <w:r w:rsidR="00E56B8C">
        <w:rPr>
          <w:lang w:val="en-GB"/>
        </w:rPr>
        <w:t>wa</w:t>
      </w:r>
      <w:r w:rsidR="0029211E" w:rsidRPr="004C611D">
        <w:rPr>
          <w:lang w:val="en-GB"/>
        </w:rPr>
        <w:t xml:space="preserve">s less expensive and more effective). </w:t>
      </w:r>
      <w:r w:rsidR="00C72C7C" w:rsidRPr="004C611D">
        <w:rPr>
          <w:lang w:val="en-GB"/>
        </w:rPr>
        <w:t xml:space="preserve">The committee therefore recommended </w:t>
      </w:r>
      <w:proofErr w:type="spellStart"/>
      <w:r w:rsidR="00C72C7C" w:rsidRPr="004C611D">
        <w:rPr>
          <w:lang w:val="en-GB"/>
        </w:rPr>
        <w:t>upadacitinib</w:t>
      </w:r>
      <w:proofErr w:type="spellEnd"/>
      <w:r w:rsidR="00C72C7C" w:rsidRPr="004C611D">
        <w:rPr>
          <w:lang w:val="en-GB"/>
        </w:rPr>
        <w:t xml:space="preserve"> </w:t>
      </w:r>
      <w:r w:rsidR="005D7899">
        <w:rPr>
          <w:lang w:val="en-GB"/>
        </w:rPr>
        <w:t>with</w:t>
      </w:r>
      <w:r w:rsidR="00C72C7C" w:rsidRPr="004C611D">
        <w:rPr>
          <w:lang w:val="en-GB"/>
        </w:rPr>
        <w:t xml:space="preserve"> conventional DMARDs for people with severe rheumatoid arthritis whose disease has not responded adequately to rituximab and other biological DMARDs.</w:t>
      </w:r>
    </w:p>
    <w:p w14:paraId="503510A9" w14:textId="77777777" w:rsidR="001C0EF4" w:rsidRPr="001D75FC" w:rsidRDefault="00C915F1" w:rsidP="00283CA3">
      <w:pPr>
        <w:pStyle w:val="Heading3"/>
      </w:pPr>
      <w:r w:rsidRPr="00BF04A4">
        <w:t xml:space="preserve">In severe disease, </w:t>
      </w:r>
      <w:proofErr w:type="spellStart"/>
      <w:r w:rsidRPr="00BF04A4">
        <w:t>u</w:t>
      </w:r>
      <w:r w:rsidR="004624DA" w:rsidRPr="00260064">
        <w:t>padacitinib</w:t>
      </w:r>
      <w:proofErr w:type="spellEnd"/>
      <w:r w:rsidR="004624DA" w:rsidRPr="00260064">
        <w:t xml:space="preserve"> monotherapy is cost effective after conventional DMARDs if methotrexate is not suitable</w:t>
      </w:r>
    </w:p>
    <w:p w14:paraId="1ECD0BB2" w14:textId="36265454" w:rsidR="005D2038" w:rsidRPr="004C611D" w:rsidRDefault="005D2038" w:rsidP="00D964B4">
      <w:pPr>
        <w:pStyle w:val="Numberedlevel2text"/>
        <w:rPr>
          <w:lang w:val="en-GB"/>
        </w:rPr>
      </w:pPr>
      <w:r w:rsidRPr="004C611D">
        <w:rPr>
          <w:lang w:val="en-GB"/>
        </w:rPr>
        <w:t xml:space="preserve">The marketing authorisation for </w:t>
      </w:r>
      <w:proofErr w:type="spellStart"/>
      <w:r w:rsidRPr="004C611D">
        <w:rPr>
          <w:lang w:val="en-GB"/>
        </w:rPr>
        <w:t>upadacitinib</w:t>
      </w:r>
      <w:proofErr w:type="spellEnd"/>
      <w:r w:rsidRPr="004C611D">
        <w:rPr>
          <w:lang w:val="en-GB"/>
        </w:rPr>
        <w:t xml:space="preserve"> includes its use as a monotherapy</w:t>
      </w:r>
      <w:r w:rsidR="00DE5FD5" w:rsidRPr="004C611D">
        <w:rPr>
          <w:lang w:val="en-GB"/>
        </w:rPr>
        <w:t xml:space="preserve">. </w:t>
      </w:r>
      <w:r w:rsidR="00116167">
        <w:rPr>
          <w:lang w:val="en-GB"/>
        </w:rPr>
        <w:t>The committee</w:t>
      </w:r>
      <w:r w:rsidR="00DE5FD5" w:rsidRPr="004C611D">
        <w:rPr>
          <w:lang w:val="en-GB"/>
        </w:rPr>
        <w:t xml:space="preserve"> noted that the clinical and cost</w:t>
      </w:r>
      <w:r w:rsidR="00C915F1" w:rsidRPr="00BF04A4">
        <w:rPr>
          <w:lang w:val="en-GB"/>
        </w:rPr>
        <w:t>-</w:t>
      </w:r>
      <w:r w:rsidR="00DE5FD5" w:rsidRPr="004C611D">
        <w:rPr>
          <w:lang w:val="en-GB"/>
        </w:rPr>
        <w:t xml:space="preserve">effectiveness results for </w:t>
      </w:r>
      <w:proofErr w:type="spellStart"/>
      <w:r w:rsidR="00DE5FD5" w:rsidRPr="004C611D">
        <w:rPr>
          <w:lang w:val="en-GB"/>
        </w:rPr>
        <w:t>upadacitinib</w:t>
      </w:r>
      <w:proofErr w:type="spellEnd"/>
      <w:r w:rsidR="00DE5FD5" w:rsidRPr="004C611D">
        <w:rPr>
          <w:lang w:val="en-GB"/>
        </w:rPr>
        <w:t xml:space="preserve"> monotherapy </w:t>
      </w:r>
      <w:r w:rsidR="00C915F1" w:rsidRPr="00BF04A4">
        <w:rPr>
          <w:lang w:val="en-GB"/>
        </w:rPr>
        <w:t>were</w:t>
      </w:r>
      <w:r w:rsidR="00C915F1" w:rsidRPr="004C611D">
        <w:rPr>
          <w:lang w:val="en-GB"/>
        </w:rPr>
        <w:t xml:space="preserve"> </w:t>
      </w:r>
      <w:proofErr w:type="gramStart"/>
      <w:r w:rsidR="00D964B4" w:rsidRPr="004C611D">
        <w:rPr>
          <w:lang w:val="en-GB"/>
        </w:rPr>
        <w:t>similar to</w:t>
      </w:r>
      <w:proofErr w:type="gramEnd"/>
      <w:r w:rsidR="00D964B4" w:rsidRPr="004C611D">
        <w:rPr>
          <w:lang w:val="en-GB"/>
        </w:rPr>
        <w:t xml:space="preserve"> those for </w:t>
      </w:r>
      <w:proofErr w:type="spellStart"/>
      <w:r w:rsidR="00D964B4" w:rsidRPr="004C611D">
        <w:rPr>
          <w:lang w:val="en-GB"/>
        </w:rPr>
        <w:t>upadacitinib</w:t>
      </w:r>
      <w:proofErr w:type="spellEnd"/>
      <w:r w:rsidR="00D964B4" w:rsidRPr="004C611D">
        <w:rPr>
          <w:lang w:val="en-GB"/>
        </w:rPr>
        <w:t xml:space="preserve"> </w:t>
      </w:r>
      <w:r w:rsidR="002F2AF5">
        <w:rPr>
          <w:lang w:val="en-GB"/>
        </w:rPr>
        <w:t>with</w:t>
      </w:r>
      <w:r w:rsidR="00D964B4" w:rsidRPr="004C611D">
        <w:rPr>
          <w:lang w:val="en-GB"/>
        </w:rPr>
        <w:t xml:space="preserve"> methotrexate. The clinical expert explained that </w:t>
      </w:r>
      <w:r w:rsidR="0040536D">
        <w:rPr>
          <w:lang w:val="en-GB"/>
        </w:rPr>
        <w:t xml:space="preserve">methotrexate is not tolerated by </w:t>
      </w:r>
      <w:r w:rsidR="00D964B4" w:rsidRPr="004C611D">
        <w:rPr>
          <w:lang w:val="en-GB"/>
        </w:rPr>
        <w:t xml:space="preserve">some patients or </w:t>
      </w:r>
      <w:r w:rsidR="0040536D">
        <w:rPr>
          <w:lang w:val="en-GB"/>
        </w:rPr>
        <w:t>it is</w:t>
      </w:r>
      <w:r w:rsidR="00D964B4" w:rsidRPr="004C611D">
        <w:rPr>
          <w:lang w:val="en-GB"/>
        </w:rPr>
        <w:t xml:space="preserve"> contraindicated. </w:t>
      </w:r>
      <w:r w:rsidR="005B79B7">
        <w:rPr>
          <w:lang w:val="en-GB"/>
        </w:rPr>
        <w:t>I</w:t>
      </w:r>
      <w:r w:rsidR="00D964B4" w:rsidRPr="004C611D">
        <w:rPr>
          <w:lang w:val="en-GB"/>
        </w:rPr>
        <w:t xml:space="preserve">n previous NICE guidance on rheumatoid arthritis, </w:t>
      </w:r>
      <w:r w:rsidR="0012000F">
        <w:rPr>
          <w:lang w:val="en-GB"/>
        </w:rPr>
        <w:t>Janus kinase (</w:t>
      </w:r>
      <w:r w:rsidR="00D964B4" w:rsidRPr="004C611D">
        <w:rPr>
          <w:lang w:val="en-GB"/>
        </w:rPr>
        <w:t>JAK</w:t>
      </w:r>
      <w:r w:rsidR="0012000F">
        <w:rPr>
          <w:lang w:val="en-GB"/>
        </w:rPr>
        <w:t>)</w:t>
      </w:r>
      <w:r w:rsidR="00D964B4" w:rsidRPr="004C611D">
        <w:rPr>
          <w:lang w:val="en-GB"/>
        </w:rPr>
        <w:t xml:space="preserve"> inhibitors have been recommended as monotherapies when methotrexate is not suitable. </w:t>
      </w:r>
      <w:r w:rsidR="00C915F1" w:rsidRPr="00BF04A4">
        <w:rPr>
          <w:lang w:val="en-GB"/>
        </w:rPr>
        <w:t>The c</w:t>
      </w:r>
      <w:r w:rsidR="00D964B4" w:rsidRPr="004C611D">
        <w:rPr>
          <w:lang w:val="en-GB"/>
        </w:rPr>
        <w:t xml:space="preserve">ommittee agreed that </w:t>
      </w:r>
      <w:proofErr w:type="spellStart"/>
      <w:r w:rsidR="00D964B4" w:rsidRPr="004C611D">
        <w:rPr>
          <w:lang w:val="en-GB"/>
        </w:rPr>
        <w:t>upadacitinib</w:t>
      </w:r>
      <w:proofErr w:type="spellEnd"/>
      <w:r w:rsidR="00D964B4" w:rsidRPr="004C611D">
        <w:rPr>
          <w:lang w:val="en-GB"/>
        </w:rPr>
        <w:t xml:space="preserve"> monotherapy </w:t>
      </w:r>
      <w:r w:rsidR="00BB1942">
        <w:rPr>
          <w:lang w:val="en-GB"/>
        </w:rPr>
        <w:t>wa</w:t>
      </w:r>
      <w:r w:rsidR="00D964B4" w:rsidRPr="004C611D">
        <w:rPr>
          <w:lang w:val="en-GB"/>
        </w:rPr>
        <w:t xml:space="preserve">s cost effective for severe active rheumatoid arthritis after conventional DMARDs if methotrexate </w:t>
      </w:r>
      <w:r w:rsidR="001D0686">
        <w:rPr>
          <w:lang w:val="en-GB"/>
        </w:rPr>
        <w:t>wa</w:t>
      </w:r>
      <w:r w:rsidR="00D964B4" w:rsidRPr="004C611D">
        <w:rPr>
          <w:lang w:val="en-GB"/>
        </w:rPr>
        <w:t>s not suitable.</w:t>
      </w:r>
    </w:p>
    <w:p w14:paraId="3B467F82" w14:textId="77777777" w:rsidR="00D27023" w:rsidRPr="00260064" w:rsidRDefault="00D27023" w:rsidP="00D27023">
      <w:pPr>
        <w:pStyle w:val="Heading2"/>
      </w:pPr>
      <w:r w:rsidRPr="00BF04A4">
        <w:t>Other factors</w:t>
      </w:r>
    </w:p>
    <w:p w14:paraId="1A9681E2" w14:textId="5E64F378" w:rsidR="00D27023" w:rsidRPr="00BE3BE7" w:rsidRDefault="006A610F" w:rsidP="00D27023">
      <w:pPr>
        <w:pStyle w:val="Heading3"/>
      </w:pPr>
      <w:bookmarkStart w:id="21" w:name="_Hlk30511329"/>
      <w:r w:rsidRPr="006A610F">
        <w:t>Healthcare professionals should consider any disabilities or communication difficulties when using the DAS28 measure</w:t>
      </w:r>
      <w:bookmarkEnd w:id="21"/>
    </w:p>
    <w:p w14:paraId="1B0184E9" w14:textId="3CDDDC12" w:rsidR="00D27023" w:rsidRPr="00886DEC" w:rsidRDefault="009A27FB" w:rsidP="00D964B4">
      <w:pPr>
        <w:pStyle w:val="Numberedlevel2text"/>
        <w:rPr>
          <w:iCs w:val="0"/>
          <w:lang w:val="en-GB"/>
        </w:rPr>
      </w:pPr>
      <w:r>
        <w:rPr>
          <w:iCs w:val="0"/>
          <w:lang w:val="en-GB"/>
        </w:rPr>
        <w:t>A</w:t>
      </w:r>
      <w:r w:rsidR="00EB3415" w:rsidRPr="0040622E">
        <w:rPr>
          <w:iCs w:val="0"/>
          <w:lang w:val="en-GB"/>
        </w:rPr>
        <w:t xml:space="preserve"> potential equality issue </w:t>
      </w:r>
      <w:r>
        <w:rPr>
          <w:iCs w:val="0"/>
          <w:lang w:val="en-GB"/>
        </w:rPr>
        <w:t>was</w:t>
      </w:r>
      <w:r w:rsidR="00EB3415" w:rsidRPr="0040622E">
        <w:rPr>
          <w:iCs w:val="0"/>
          <w:lang w:val="en-GB"/>
        </w:rPr>
        <w:t xml:space="preserve"> raised during the scoping process, </w:t>
      </w:r>
      <w:r w:rsidR="008D2789">
        <w:rPr>
          <w:iCs w:val="0"/>
          <w:lang w:val="en-GB"/>
        </w:rPr>
        <w:t>about</w:t>
      </w:r>
      <w:r w:rsidR="00EB3415" w:rsidRPr="0040622E">
        <w:rPr>
          <w:iCs w:val="0"/>
          <w:lang w:val="en-GB"/>
        </w:rPr>
        <w:t xml:space="preserve"> people with rheumatoid arthritis who have difficulty communicating</w:t>
      </w:r>
      <w:r w:rsidR="00D91919">
        <w:rPr>
          <w:iCs w:val="0"/>
          <w:lang w:val="en-GB"/>
        </w:rPr>
        <w:t>.</w:t>
      </w:r>
      <w:r w:rsidR="00EB3415" w:rsidRPr="0040622E">
        <w:rPr>
          <w:iCs w:val="0"/>
          <w:lang w:val="en-GB"/>
        </w:rPr>
        <w:t xml:space="preserve"> </w:t>
      </w:r>
      <w:r w:rsidR="00D91919">
        <w:rPr>
          <w:iCs w:val="0"/>
          <w:lang w:val="en-GB"/>
        </w:rPr>
        <w:t>For these people,</w:t>
      </w:r>
      <w:r w:rsidR="00EB3415" w:rsidRPr="0040622E">
        <w:rPr>
          <w:iCs w:val="0"/>
          <w:lang w:val="en-GB"/>
        </w:rPr>
        <w:t xml:space="preserve"> it may be more difficult to assess outcomes</w:t>
      </w:r>
      <w:r w:rsidR="006A610F">
        <w:rPr>
          <w:iCs w:val="0"/>
          <w:lang w:val="en-GB"/>
        </w:rPr>
        <w:t xml:space="preserve"> when using the DAS28 measure</w:t>
      </w:r>
      <w:r w:rsidR="00EB3415" w:rsidRPr="0040622E">
        <w:rPr>
          <w:iCs w:val="0"/>
          <w:lang w:val="en-GB"/>
        </w:rPr>
        <w:t>. The</w:t>
      </w:r>
      <w:r w:rsidR="006A610F">
        <w:rPr>
          <w:iCs w:val="0"/>
          <w:lang w:val="en-GB"/>
        </w:rPr>
        <w:t xml:space="preserve"> committee</w:t>
      </w:r>
      <w:r w:rsidR="00EB3415" w:rsidRPr="0040622E">
        <w:rPr>
          <w:iCs w:val="0"/>
          <w:lang w:val="en-GB"/>
        </w:rPr>
        <w:t xml:space="preserve"> concluded that</w:t>
      </w:r>
      <w:r w:rsidR="006A610F">
        <w:rPr>
          <w:iCs w:val="0"/>
          <w:lang w:val="en-GB"/>
        </w:rPr>
        <w:t xml:space="preserve"> h</w:t>
      </w:r>
      <w:r w:rsidR="006A610F" w:rsidRPr="006A610F">
        <w:rPr>
          <w:iCs w:val="0"/>
          <w:lang w:val="en-GB"/>
        </w:rPr>
        <w:t>ealthcare professionals should consider any</w:t>
      </w:r>
      <w:r w:rsidR="006A610F" w:rsidRPr="006A610F">
        <w:t xml:space="preserve"> </w:t>
      </w:r>
      <w:r w:rsidR="006A610F" w:rsidRPr="006A610F">
        <w:rPr>
          <w:iCs w:val="0"/>
          <w:lang w:val="en-GB"/>
        </w:rPr>
        <w:t xml:space="preserve">physical, psychological, sensory or learning disabilities, or communication difficulties that could affect the responses to the </w:t>
      </w:r>
      <w:r w:rsidR="0064726C">
        <w:rPr>
          <w:iCs w:val="0"/>
          <w:lang w:val="en-GB"/>
        </w:rPr>
        <w:t>DAS28</w:t>
      </w:r>
      <w:r w:rsidR="006A610F" w:rsidRPr="006A610F">
        <w:rPr>
          <w:iCs w:val="0"/>
          <w:lang w:val="en-GB"/>
        </w:rPr>
        <w:t xml:space="preserve"> and make any adjustments they consider appropriate</w:t>
      </w:r>
      <w:r w:rsidR="006A610F">
        <w:rPr>
          <w:iCs w:val="0"/>
          <w:lang w:val="en-GB"/>
        </w:rPr>
        <w:t>.</w:t>
      </w:r>
      <w:r w:rsidR="00EB3415" w:rsidRPr="00636D27" w:rsidDel="00EB3415">
        <w:rPr>
          <w:iCs w:val="0"/>
          <w:lang w:val="en-GB"/>
        </w:rPr>
        <w:t xml:space="preserve"> </w:t>
      </w:r>
    </w:p>
    <w:p w14:paraId="24548EE6" w14:textId="77777777" w:rsidR="00D964B4" w:rsidRPr="00260064" w:rsidRDefault="00D27023" w:rsidP="00D964B4">
      <w:pPr>
        <w:pStyle w:val="Heading3"/>
      </w:pPr>
      <w:r w:rsidRPr="00BF04A4">
        <w:lastRenderedPageBreak/>
        <w:t xml:space="preserve">The benefits of </w:t>
      </w:r>
      <w:proofErr w:type="spellStart"/>
      <w:r w:rsidRPr="00BF04A4">
        <w:t>upadacitinib</w:t>
      </w:r>
      <w:proofErr w:type="spellEnd"/>
      <w:r w:rsidRPr="00BF04A4">
        <w:t xml:space="preserve"> can be captured in the cost-effectiveness analysis</w:t>
      </w:r>
    </w:p>
    <w:p w14:paraId="5AFAE67E" w14:textId="1F3C5994" w:rsidR="00D27023" w:rsidRPr="00BE3BE7" w:rsidRDefault="003E2A61" w:rsidP="00B43E72">
      <w:pPr>
        <w:pStyle w:val="Numberedlevel2text"/>
      </w:pPr>
      <w:r>
        <w:rPr>
          <w:lang w:val="en-US"/>
        </w:rPr>
        <w:t>U</w:t>
      </w:r>
      <w:proofErr w:type="spellStart"/>
      <w:r w:rsidR="00BD52FB" w:rsidRPr="00BE3BE7">
        <w:t>padacitinib</w:t>
      </w:r>
      <w:proofErr w:type="spellEnd"/>
      <w:r w:rsidR="009A4D63" w:rsidRPr="00BE3BE7">
        <w:t>, like several other biological DMARDs,</w:t>
      </w:r>
      <w:r w:rsidR="00BD52FB" w:rsidRPr="00BE3BE7">
        <w:t xml:space="preserve"> is </w:t>
      </w:r>
      <w:r>
        <w:rPr>
          <w:lang w:val="en-US"/>
        </w:rPr>
        <w:t>taken</w:t>
      </w:r>
      <w:r w:rsidRPr="00BE3BE7">
        <w:t xml:space="preserve"> </w:t>
      </w:r>
      <w:r w:rsidR="00CD6A22" w:rsidRPr="00BE3BE7">
        <w:t>orally</w:t>
      </w:r>
      <w:r>
        <w:rPr>
          <w:lang w:val="en-US"/>
        </w:rPr>
        <w:t>. This</w:t>
      </w:r>
      <w:r w:rsidR="00CD6A22" w:rsidRPr="00BE3BE7">
        <w:t xml:space="preserve"> is valued by patients. </w:t>
      </w:r>
      <w:r w:rsidR="001E7A9B">
        <w:rPr>
          <w:lang w:val="en-US"/>
        </w:rPr>
        <w:t>The c</w:t>
      </w:r>
      <w:proofErr w:type="spellStart"/>
      <w:r w:rsidR="00CD6A22" w:rsidRPr="00BE3BE7">
        <w:t>omm</w:t>
      </w:r>
      <w:r w:rsidR="00C072C0" w:rsidRPr="00BE3BE7">
        <w:t>ittee</w:t>
      </w:r>
      <w:proofErr w:type="spellEnd"/>
      <w:r w:rsidR="00C072C0" w:rsidRPr="00BE3BE7">
        <w:t xml:space="preserve"> noted that there are </w:t>
      </w:r>
      <w:r w:rsidR="009A4D63" w:rsidRPr="00BE3BE7">
        <w:t xml:space="preserve">also </w:t>
      </w:r>
      <w:r w:rsidR="00C072C0" w:rsidRPr="00BE3BE7">
        <w:t xml:space="preserve">other treatments with a similar mechanism of action available for rheumatoid arthritis. </w:t>
      </w:r>
      <w:r w:rsidR="009A4D63" w:rsidRPr="00BE3BE7">
        <w:t xml:space="preserve">Therefore the committee concluded that all the benefits of </w:t>
      </w:r>
      <w:proofErr w:type="spellStart"/>
      <w:r w:rsidR="009A4D63" w:rsidRPr="00BE3BE7">
        <w:t>upadacitinib</w:t>
      </w:r>
      <w:proofErr w:type="spellEnd"/>
      <w:r w:rsidR="009A4D63" w:rsidRPr="00BE3BE7">
        <w:t xml:space="preserve"> can be captured in the model.</w:t>
      </w:r>
    </w:p>
    <w:p w14:paraId="73B7D57C" w14:textId="77777777" w:rsidR="000F48EC" w:rsidRPr="00BE3BE7" w:rsidRDefault="000F48EC" w:rsidP="00F130AD">
      <w:pPr>
        <w:pStyle w:val="Numberedheading1"/>
      </w:pPr>
      <w:r w:rsidRPr="00BE3BE7">
        <w:t>Implementation</w:t>
      </w:r>
    </w:p>
    <w:p w14:paraId="6E85E623" w14:textId="77777777" w:rsidR="002A686F" w:rsidRPr="00B43E72" w:rsidRDefault="002A686F" w:rsidP="00E37CAC">
      <w:pPr>
        <w:pStyle w:val="Numberedlevel2text"/>
        <w:rPr>
          <w:lang w:val="en-GB"/>
        </w:rPr>
      </w:pPr>
      <w:r w:rsidRPr="00B43E72">
        <w:rPr>
          <w:lang w:val="en-GB"/>
        </w:rPr>
        <w:t xml:space="preserve">Section 7(6) of the </w:t>
      </w:r>
      <w:hyperlink r:id="rId31" w:history="1">
        <w:r w:rsidRPr="00B43E72">
          <w:rPr>
            <w:rStyle w:val="Hyperlink"/>
            <w:lang w:val="en-GB"/>
          </w:rPr>
          <w:t>National Institute for Health and Care Excellence (Constitution and Functions) and the Health and Social Care Information Centre (Functions) Regulations 2013</w:t>
        </w:r>
      </w:hyperlink>
      <w:r w:rsidRPr="00B43E72">
        <w:rPr>
          <w:lang w:val="en-GB"/>
        </w:rPr>
        <w:t xml:space="preserve"> requires clinical commissioning groups, NHS England and, with respect to their public health functions, local authorities to comply with the recommendations in this appraisal within 3 months of its date of publication. </w:t>
      </w:r>
    </w:p>
    <w:p w14:paraId="21DAC2BB" w14:textId="77777777" w:rsidR="002A686F" w:rsidRPr="00B43E72" w:rsidRDefault="002A686F" w:rsidP="002A686F">
      <w:pPr>
        <w:pStyle w:val="Numberedlevel2text"/>
        <w:rPr>
          <w:lang w:val="en-GB"/>
        </w:rPr>
      </w:pPr>
      <w:r w:rsidRPr="00B43E72">
        <w:rPr>
          <w:lang w:val="en-GB"/>
        </w:rPr>
        <w:t xml:space="preserve">The Welsh </w:t>
      </w:r>
      <w:r w:rsidRPr="00BF04A4">
        <w:rPr>
          <w:lang w:val="en-GB"/>
        </w:rPr>
        <w:t>m</w:t>
      </w:r>
      <w:r w:rsidRPr="00B43E72">
        <w:rPr>
          <w:lang w:val="en-GB"/>
        </w:rPr>
        <w:t>inister</w:t>
      </w:r>
      <w:r w:rsidRPr="00BF04A4">
        <w:rPr>
          <w:lang w:val="en-GB"/>
        </w:rPr>
        <w:t>s</w:t>
      </w:r>
      <w:r w:rsidRPr="00B43E72">
        <w:rPr>
          <w:lang w:val="en-GB"/>
        </w:rPr>
        <w:t xml:space="preserve"> ha</w:t>
      </w:r>
      <w:r w:rsidRPr="00BF04A4">
        <w:rPr>
          <w:lang w:val="en-GB"/>
        </w:rPr>
        <w:t>ve</w:t>
      </w:r>
      <w:r w:rsidRPr="00B43E72">
        <w:rPr>
          <w:lang w:val="en-GB"/>
        </w:rPr>
        <w:t xml:space="preserve"> issued directions to the NHS in Wales on implementing NICE technology appraisal guidance. When a NICE technology appraisal recommends the use of a drug or treatment, or other technology, the NHS in Wales must usually provide funding and resources for it within </w:t>
      </w:r>
      <w:r w:rsidRPr="00BF04A4">
        <w:rPr>
          <w:lang w:val="en-GB"/>
        </w:rPr>
        <w:t>2 </w:t>
      </w:r>
      <w:r w:rsidRPr="00B43E72">
        <w:rPr>
          <w:lang w:val="en-GB"/>
        </w:rPr>
        <w:t xml:space="preserve">months of the </w:t>
      </w:r>
      <w:r w:rsidRPr="00BF04A4">
        <w:rPr>
          <w:lang w:val="en-GB"/>
        </w:rPr>
        <w:t>first publicat</w:t>
      </w:r>
      <w:r w:rsidRPr="00260064">
        <w:rPr>
          <w:lang w:val="en-GB"/>
        </w:rPr>
        <w:t>ion of the final appraisal document</w:t>
      </w:r>
      <w:r w:rsidRPr="00B43E72">
        <w:rPr>
          <w:lang w:val="en-GB"/>
        </w:rPr>
        <w:t>.</w:t>
      </w:r>
    </w:p>
    <w:p w14:paraId="606D36B4" w14:textId="77777777" w:rsidR="002A686F" w:rsidRPr="00B43E72" w:rsidRDefault="002A686F" w:rsidP="002A686F">
      <w:pPr>
        <w:pStyle w:val="Numberedlevel2text"/>
        <w:rPr>
          <w:lang w:val="en-GB"/>
        </w:rPr>
      </w:pPr>
      <w:r w:rsidRPr="00A957FB">
        <w:rPr>
          <w:lang w:val="en-GB"/>
        </w:rPr>
        <w:t>When NICE recommends a treatment ‘as an option’, the NHS must make sure it is available</w:t>
      </w:r>
      <w:r w:rsidRPr="00B43E72">
        <w:rPr>
          <w:lang w:val="en-GB"/>
        </w:rPr>
        <w:t xml:space="preserve"> within the period set out in the paragraph</w:t>
      </w:r>
      <w:r w:rsidRPr="00BF04A4">
        <w:rPr>
          <w:lang w:val="en-GB"/>
        </w:rPr>
        <w:t>s</w:t>
      </w:r>
      <w:r w:rsidRPr="00B43E72">
        <w:rPr>
          <w:lang w:val="en-GB"/>
        </w:rPr>
        <w:t xml:space="preserve"> above. This means that, if a patient has </w:t>
      </w:r>
      <w:r w:rsidR="00283CA3" w:rsidRPr="00B43E72">
        <w:rPr>
          <w:lang w:val="en-GB"/>
        </w:rPr>
        <w:t>rheumatoid arthritis</w:t>
      </w:r>
      <w:r w:rsidRPr="00B43E72">
        <w:rPr>
          <w:lang w:val="en-GB"/>
        </w:rPr>
        <w:t xml:space="preserve"> and the doctor responsible for their care thinks that </w:t>
      </w:r>
      <w:proofErr w:type="spellStart"/>
      <w:r w:rsidR="00283CA3" w:rsidRPr="00B43E72">
        <w:rPr>
          <w:lang w:val="en-GB"/>
        </w:rPr>
        <w:t>upadacitinib</w:t>
      </w:r>
      <w:proofErr w:type="spellEnd"/>
      <w:r w:rsidRPr="00B43E72">
        <w:rPr>
          <w:lang w:val="en-GB"/>
        </w:rPr>
        <w:t xml:space="preserve"> is the right treatment, it should be available for use, in line with NICE’s recommendations.</w:t>
      </w:r>
    </w:p>
    <w:p w14:paraId="58D88F20" w14:textId="77777777" w:rsidR="000F48EC" w:rsidRPr="00DD05BD" w:rsidRDefault="007A2801" w:rsidP="002E73E7">
      <w:pPr>
        <w:pStyle w:val="Numberedheading1"/>
      </w:pPr>
      <w:r w:rsidRPr="00BF04A4">
        <w:t xml:space="preserve">Proposed date for </w:t>
      </w:r>
      <w:r w:rsidR="00000441" w:rsidRPr="00260064">
        <w:t>r</w:t>
      </w:r>
      <w:r w:rsidR="000F48EC" w:rsidRPr="001D75FC">
        <w:t>eview of guidance</w:t>
      </w:r>
    </w:p>
    <w:p w14:paraId="06F7A282" w14:textId="77777777" w:rsidR="001823EB" w:rsidRPr="00B43E72" w:rsidRDefault="001823EB" w:rsidP="00FB1F8D">
      <w:pPr>
        <w:pStyle w:val="Numberedlevel2text"/>
        <w:rPr>
          <w:lang w:val="en-GB"/>
        </w:rPr>
      </w:pPr>
      <w:r w:rsidRPr="00B43E72">
        <w:rPr>
          <w:lang w:val="en-GB"/>
        </w:rPr>
        <w:t xml:space="preserve">NICE proposes that the guidance on this technology is considered for review by the </w:t>
      </w:r>
      <w:r w:rsidRPr="00BF04A4">
        <w:rPr>
          <w:lang w:val="en-GB"/>
        </w:rPr>
        <w:t>g</w:t>
      </w:r>
      <w:r w:rsidRPr="00B43E72">
        <w:rPr>
          <w:lang w:val="en-GB"/>
        </w:rPr>
        <w:t xml:space="preserve">uidance </w:t>
      </w:r>
      <w:r w:rsidRPr="00BF04A4">
        <w:rPr>
          <w:lang w:val="en-GB"/>
        </w:rPr>
        <w:t>e</w:t>
      </w:r>
      <w:r w:rsidRPr="00B43E72">
        <w:rPr>
          <w:lang w:val="en-GB"/>
        </w:rPr>
        <w:t>xecutive</w:t>
      </w:r>
      <w:r w:rsidRPr="00BF04A4">
        <w:rPr>
          <w:lang w:val="en-GB"/>
        </w:rPr>
        <w:t xml:space="preserve"> 3 years after publication of the guidance</w:t>
      </w:r>
      <w:r w:rsidRPr="00B43E72">
        <w:rPr>
          <w:lang w:val="en-GB"/>
        </w:rPr>
        <w:t xml:space="preserve">. NICE welcomes comment on this proposed date. The </w:t>
      </w:r>
      <w:r w:rsidRPr="00BF04A4">
        <w:rPr>
          <w:lang w:val="en-GB"/>
        </w:rPr>
        <w:t>g</w:t>
      </w:r>
      <w:r w:rsidRPr="00B43E72">
        <w:rPr>
          <w:lang w:val="en-GB"/>
        </w:rPr>
        <w:t xml:space="preserve">uidance </w:t>
      </w:r>
      <w:r w:rsidRPr="00BF04A4">
        <w:rPr>
          <w:lang w:val="en-GB"/>
        </w:rPr>
        <w:t>e</w:t>
      </w:r>
      <w:r w:rsidRPr="00B43E72">
        <w:rPr>
          <w:lang w:val="en-GB"/>
        </w:rPr>
        <w:t xml:space="preserve">xecutive will decide whether the technology should be reviewed based </w:t>
      </w:r>
      <w:r w:rsidRPr="00B43E72">
        <w:rPr>
          <w:lang w:val="en-GB"/>
        </w:rPr>
        <w:lastRenderedPageBreak/>
        <w:t xml:space="preserve">on information gathered by NICE, and in consultation with consultees and commentators. </w:t>
      </w:r>
    </w:p>
    <w:p w14:paraId="65220D92" w14:textId="77777777" w:rsidR="004845D0" w:rsidRPr="00BE3BE7" w:rsidRDefault="000B5C4D" w:rsidP="00ED5F88">
      <w:pPr>
        <w:pStyle w:val="NICEnormal"/>
      </w:pPr>
      <w:r w:rsidRPr="00BF04A4">
        <w:t xml:space="preserve">Gary McVeigh </w:t>
      </w:r>
      <w:r w:rsidR="004845D0" w:rsidRPr="0035762B">
        <w:br/>
      </w:r>
      <w:r w:rsidR="004845D0" w:rsidRPr="00DD05BD">
        <w:t xml:space="preserve">Chair, </w:t>
      </w:r>
      <w:r w:rsidR="003847B9" w:rsidRPr="00BE3BE7">
        <w:t>a</w:t>
      </w:r>
      <w:r w:rsidR="004845D0" w:rsidRPr="00BE3BE7">
        <w:t xml:space="preserve">ppraisal </w:t>
      </w:r>
      <w:r w:rsidR="003847B9" w:rsidRPr="00BE3BE7">
        <w:t>c</w:t>
      </w:r>
      <w:r w:rsidR="004845D0" w:rsidRPr="00BE3BE7">
        <w:t>ommittee</w:t>
      </w:r>
      <w:r w:rsidR="004845D0" w:rsidRPr="00BE3BE7">
        <w:br/>
      </w:r>
      <w:r w:rsidRPr="00BE3BE7">
        <w:t>January 2020</w:t>
      </w:r>
    </w:p>
    <w:p w14:paraId="666F8AA7" w14:textId="77777777" w:rsidR="00B16431" w:rsidRPr="00BE3BE7" w:rsidRDefault="00B16431" w:rsidP="00B16431">
      <w:pPr>
        <w:pStyle w:val="Numberedheading1"/>
        <w:numPr>
          <w:ilvl w:val="0"/>
          <w:numId w:val="1"/>
        </w:numPr>
      </w:pPr>
      <w:r w:rsidRPr="00BE3BE7">
        <w:t xml:space="preserve">Appraisal </w:t>
      </w:r>
      <w:r w:rsidR="00343B53" w:rsidRPr="00BE3BE7">
        <w:t>c</w:t>
      </w:r>
      <w:r w:rsidRPr="00BE3BE7">
        <w:t>ommittee members and NICE project team</w:t>
      </w:r>
    </w:p>
    <w:p w14:paraId="60272918" w14:textId="77777777" w:rsidR="00B16431" w:rsidRPr="00BE3BE7" w:rsidRDefault="00B16431" w:rsidP="00B16431">
      <w:pPr>
        <w:pStyle w:val="Heading2"/>
      </w:pPr>
      <w:r w:rsidRPr="00BE3BE7">
        <w:t xml:space="preserve">Appraisal </w:t>
      </w:r>
      <w:r w:rsidR="00343B53" w:rsidRPr="00BE3BE7">
        <w:t>c</w:t>
      </w:r>
      <w:r w:rsidRPr="00BE3BE7">
        <w:t>ommittee members</w:t>
      </w:r>
    </w:p>
    <w:p w14:paraId="5960644B" w14:textId="77777777" w:rsidR="002F2583" w:rsidRPr="0035762B" w:rsidRDefault="002F2583" w:rsidP="002F2583">
      <w:pPr>
        <w:pStyle w:val="NICEnormal"/>
        <w:rPr>
          <w:rFonts w:eastAsia="Calibri"/>
        </w:rPr>
      </w:pPr>
      <w:r w:rsidRPr="00BE3BE7">
        <w:t>The 4 technology appraisal committees are standing advisory committees of NICE. This topic was considered by</w:t>
      </w:r>
      <w:r w:rsidR="000B5C4D" w:rsidRPr="00BE3BE7">
        <w:t xml:space="preserve"> </w:t>
      </w:r>
      <w:hyperlink r:id="rId32" w:history="1">
        <w:r w:rsidR="000B5C4D" w:rsidRPr="0035762B">
          <w:rPr>
            <w:rStyle w:val="Hyperlink"/>
          </w:rPr>
          <w:t>committee D</w:t>
        </w:r>
      </w:hyperlink>
      <w:r w:rsidRPr="00BF04A4">
        <w:t xml:space="preserve">. </w:t>
      </w:r>
    </w:p>
    <w:p w14:paraId="61F484A2" w14:textId="77777777" w:rsidR="002F2583" w:rsidRPr="00BE3BE7" w:rsidRDefault="002F2583" w:rsidP="002F2583">
      <w:pPr>
        <w:pStyle w:val="NICEnormal"/>
      </w:pPr>
      <w:r w:rsidRPr="00DD05BD">
        <w:t>Committee members are asked to declare any interests in the technology to be appraised. If it is consider</w:t>
      </w:r>
      <w:r w:rsidRPr="00BE3BE7">
        <w:t xml:space="preserve">ed there is a conflict of interest, the member is excluded from participating further in that appraisal. </w:t>
      </w:r>
    </w:p>
    <w:p w14:paraId="7C91308F" w14:textId="77777777" w:rsidR="00621AFB" w:rsidRPr="001D75FC" w:rsidRDefault="002F2583" w:rsidP="000B5C4D">
      <w:pPr>
        <w:pStyle w:val="NICEnormal"/>
      </w:pPr>
      <w:r w:rsidRPr="00BE3BE7">
        <w:t xml:space="preserve">The </w:t>
      </w:r>
      <w:hyperlink r:id="rId33" w:history="1">
        <w:r w:rsidRPr="0035762B">
          <w:rPr>
            <w:rStyle w:val="Hyperlink"/>
            <w:rFonts w:eastAsia="Calibri"/>
          </w:rPr>
          <w:t>minutes</w:t>
        </w:r>
      </w:hyperlink>
      <w:r w:rsidRPr="00BF04A4">
        <w:t xml:space="preserve"> of each appraisal committee meeting</w:t>
      </w:r>
      <w:r w:rsidRPr="0035762B">
        <w:t>, which include the names of the members who attended and their declarations of interests, are posted on the NICE website.</w:t>
      </w:r>
    </w:p>
    <w:p w14:paraId="6900EBDC" w14:textId="77777777" w:rsidR="00B16431" w:rsidRPr="00BE3BE7" w:rsidRDefault="00B16431" w:rsidP="00B16431">
      <w:pPr>
        <w:pStyle w:val="Heading2"/>
      </w:pPr>
      <w:r w:rsidRPr="00DD05BD">
        <w:t>NICE project team</w:t>
      </w:r>
    </w:p>
    <w:p w14:paraId="63655852" w14:textId="77777777" w:rsidR="00B16431" w:rsidRPr="00BE3BE7" w:rsidRDefault="00B16431" w:rsidP="00B16431">
      <w:pPr>
        <w:pStyle w:val="NICEnormal"/>
      </w:pPr>
      <w:r w:rsidRPr="00BE3BE7">
        <w:t xml:space="preserve">Each technology appraisal is assigned to a team consisting of 1 or more health technology analysts (who act as technical leads for the appraisal), a technical adviser and a project manager. </w:t>
      </w:r>
    </w:p>
    <w:p w14:paraId="41FA363A" w14:textId="77777777" w:rsidR="00B16431" w:rsidRPr="00BE3BE7" w:rsidRDefault="000B5C4D" w:rsidP="00B16431">
      <w:pPr>
        <w:pStyle w:val="NICEnormal"/>
      </w:pPr>
      <w:bookmarkStart w:id="22" w:name="Text45"/>
      <w:r w:rsidRPr="00BE3BE7">
        <w:rPr>
          <w:b/>
        </w:rPr>
        <w:t>Alan Moore</w:t>
      </w:r>
      <w:r w:rsidR="00B16431" w:rsidRPr="00BE3BE7">
        <w:br/>
        <w:t xml:space="preserve">Technical </w:t>
      </w:r>
      <w:r w:rsidR="00E65C76" w:rsidRPr="00BE3BE7">
        <w:t>l</w:t>
      </w:r>
      <w:r w:rsidR="00B16431" w:rsidRPr="00BE3BE7">
        <w:t>ead</w:t>
      </w:r>
    </w:p>
    <w:p w14:paraId="36FF3340" w14:textId="77777777" w:rsidR="00B16431" w:rsidRPr="00BE3BE7" w:rsidRDefault="000B5C4D" w:rsidP="00B16431">
      <w:pPr>
        <w:pStyle w:val="NICEnormal"/>
      </w:pPr>
      <w:r w:rsidRPr="00BE3BE7">
        <w:rPr>
          <w:b/>
        </w:rPr>
        <w:t xml:space="preserve">Jamie Elvidge </w:t>
      </w:r>
      <w:r w:rsidR="00B16431" w:rsidRPr="00BE3BE7">
        <w:br/>
        <w:t xml:space="preserve">Technical </w:t>
      </w:r>
      <w:r w:rsidR="00E65C76" w:rsidRPr="00BE3BE7">
        <w:t>a</w:t>
      </w:r>
      <w:r w:rsidR="00B16431" w:rsidRPr="00BE3BE7">
        <w:t>dviser</w:t>
      </w:r>
    </w:p>
    <w:p w14:paraId="775DF277" w14:textId="77777777" w:rsidR="00B16431" w:rsidRPr="00BE3BE7" w:rsidRDefault="000B5C4D" w:rsidP="005D3FD9">
      <w:pPr>
        <w:pStyle w:val="NICEnormal"/>
      </w:pPr>
      <w:r w:rsidRPr="00BE3BE7">
        <w:rPr>
          <w:b/>
        </w:rPr>
        <w:t xml:space="preserve">Gemma Barnacle </w:t>
      </w:r>
      <w:r w:rsidR="00B16431" w:rsidRPr="00BE3BE7">
        <w:br/>
        <w:t xml:space="preserve">Project </w:t>
      </w:r>
      <w:r w:rsidR="00E65C76" w:rsidRPr="00BE3BE7">
        <w:t>m</w:t>
      </w:r>
      <w:r w:rsidR="00B16431" w:rsidRPr="00BE3BE7">
        <w:t>anager</w:t>
      </w:r>
      <w:bookmarkEnd w:id="22"/>
    </w:p>
    <w:p w14:paraId="6A2BC5B9" w14:textId="77777777" w:rsidR="006E7647" w:rsidRPr="00BE3BE7" w:rsidRDefault="006E7647" w:rsidP="00F05E37">
      <w:pPr>
        <w:pStyle w:val="NICEnormal"/>
      </w:pPr>
      <w:r w:rsidRPr="00BE3BE7">
        <w:lastRenderedPageBreak/>
        <w:t xml:space="preserve">ISBN: </w:t>
      </w:r>
      <w:r w:rsidRPr="00BE3BE7">
        <w:rPr>
          <w:highlight w:val="green"/>
        </w:rPr>
        <w:t>[to be added at publication]</w:t>
      </w:r>
    </w:p>
    <w:sectPr w:rsidR="006E7647" w:rsidRPr="00BE3BE7" w:rsidSect="00C76DDA">
      <w:headerReference w:type="default" r:id="rId34"/>
      <w:footerReference w:type="default" r:id="rId35"/>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27104" w14:textId="77777777" w:rsidR="00F11FE7" w:rsidRDefault="00F11FE7">
      <w:r>
        <w:separator/>
      </w:r>
    </w:p>
  </w:endnote>
  <w:endnote w:type="continuationSeparator" w:id="0">
    <w:p w14:paraId="5E90DD8C" w14:textId="77777777" w:rsidR="00F11FE7" w:rsidRDefault="00F11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2E753" w14:textId="1A572F63" w:rsidR="00F11FE7" w:rsidRPr="003D33FB" w:rsidRDefault="00F11FE7" w:rsidP="007A7EC8">
    <w:pPr>
      <w:pStyle w:val="NICEnormalsinglespacing"/>
      <w:spacing w:after="120"/>
      <w:rPr>
        <w:sz w:val="18"/>
        <w:szCs w:val="18"/>
      </w:rPr>
    </w:pPr>
    <w:r>
      <w:rPr>
        <w:sz w:val="18"/>
        <w:szCs w:val="18"/>
      </w:rPr>
      <w:t>Appraisal consultation document</w:t>
    </w:r>
    <w:r w:rsidRPr="003D33FB">
      <w:rPr>
        <w:sz w:val="18"/>
        <w:szCs w:val="18"/>
      </w:rPr>
      <w:t xml:space="preserve">– </w:t>
    </w:r>
    <w:proofErr w:type="spellStart"/>
    <w:r>
      <w:rPr>
        <w:sz w:val="18"/>
        <w:szCs w:val="18"/>
      </w:rPr>
      <w:t>Upadacitinib</w:t>
    </w:r>
    <w:proofErr w:type="spellEnd"/>
    <w:r>
      <w:rPr>
        <w:sz w:val="18"/>
        <w:szCs w:val="18"/>
      </w:rPr>
      <w:t xml:space="preserve"> for treating moderate to severe rheumatoid arthritis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18</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19</w:t>
    </w:r>
    <w:r w:rsidRPr="0039118D">
      <w:rPr>
        <w:rStyle w:val="PageNumber"/>
        <w:sz w:val="20"/>
        <w:szCs w:val="20"/>
      </w:rPr>
      <w:fldChar w:fldCharType="end"/>
    </w:r>
  </w:p>
  <w:p w14:paraId="3C9121A9" w14:textId="77777777" w:rsidR="00F11FE7" w:rsidRDefault="00F11FE7" w:rsidP="007A7EC8">
    <w:pPr>
      <w:pStyle w:val="NICEnormalsinglespacing"/>
      <w:spacing w:after="120"/>
      <w:rPr>
        <w:sz w:val="18"/>
        <w:szCs w:val="18"/>
      </w:rPr>
    </w:pPr>
    <w:r w:rsidRPr="003D33FB">
      <w:rPr>
        <w:sz w:val="18"/>
        <w:szCs w:val="18"/>
      </w:rPr>
      <w:t xml:space="preserve">Issue date: </w:t>
    </w:r>
    <w:r>
      <w:rPr>
        <w:sz w:val="18"/>
        <w:szCs w:val="18"/>
      </w:rPr>
      <w:t>January 2020</w:t>
    </w:r>
  </w:p>
  <w:p w14:paraId="26C52750" w14:textId="77777777" w:rsidR="00F11FE7" w:rsidRPr="007A7EC8" w:rsidRDefault="00F11FE7" w:rsidP="007A7EC8">
    <w:pPr>
      <w:pStyle w:val="NICEnormalsinglespacing"/>
      <w:spacing w:after="120"/>
    </w:pPr>
    <w:r>
      <w:rPr>
        <w:sz w:val="18"/>
        <w:szCs w:val="18"/>
      </w:rPr>
      <w:t xml:space="preserve">© NICE [2020].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CF4ED" w14:textId="77777777" w:rsidR="00F11FE7" w:rsidRDefault="00F11FE7">
      <w:r>
        <w:separator/>
      </w:r>
    </w:p>
  </w:footnote>
  <w:footnote w:type="continuationSeparator" w:id="0">
    <w:p w14:paraId="4680B2CB" w14:textId="77777777" w:rsidR="00F11FE7" w:rsidRDefault="00F11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D9C9" w14:textId="77777777" w:rsidR="00F11FE7" w:rsidRPr="004E6427" w:rsidRDefault="00F11FE7"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41E7"/>
    <w:multiLevelType w:val="hybridMultilevel"/>
    <w:tmpl w:val="EF30B81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611662C"/>
    <w:multiLevelType w:val="hybridMultilevel"/>
    <w:tmpl w:val="F35CD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9D119A"/>
    <w:multiLevelType w:val="hybridMultilevel"/>
    <w:tmpl w:val="0FF2273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ABF70A2"/>
    <w:multiLevelType w:val="hybridMultilevel"/>
    <w:tmpl w:val="951CEC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AED6971"/>
    <w:multiLevelType w:val="hybridMultilevel"/>
    <w:tmpl w:val="80769B7A"/>
    <w:lvl w:ilvl="0" w:tplc="B0B6E7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5017405"/>
    <w:multiLevelType w:val="multilevel"/>
    <w:tmpl w:val="5262D5EE"/>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tabs>
          <w:tab w:val="num" w:pos="1724"/>
        </w:tabs>
        <w:ind w:left="1724" w:hanging="360"/>
      </w:pPr>
      <w:rPr>
        <w:rFonts w:ascii="Symbol" w:hAnsi="Symbol"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9D243BD"/>
    <w:multiLevelType w:val="hybridMultilevel"/>
    <w:tmpl w:val="BC9C48D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CC3584"/>
    <w:multiLevelType w:val="multilevel"/>
    <w:tmpl w:val="A87ACBC8"/>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i w:val="0"/>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E5C1A10"/>
    <w:multiLevelType w:val="hybridMultilevel"/>
    <w:tmpl w:val="1D407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BA7A10"/>
    <w:multiLevelType w:val="hybridMultilevel"/>
    <w:tmpl w:val="3B2EA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585B7F"/>
    <w:multiLevelType w:val="hybridMultilevel"/>
    <w:tmpl w:val="D07CC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6"/>
  </w:num>
  <w:num w:numId="3">
    <w:abstractNumId w:val="18"/>
  </w:num>
  <w:num w:numId="4">
    <w:abstractNumId w:val="15"/>
  </w:num>
  <w:num w:numId="5">
    <w:abstractNumId w:val="16"/>
  </w:num>
  <w:num w:numId="6">
    <w:abstractNumId w:val="1"/>
  </w:num>
  <w:num w:numId="7">
    <w:abstractNumId w:val="7"/>
  </w:num>
  <w:num w:numId="8">
    <w:abstractNumId w:val="10"/>
  </w:num>
  <w:num w:numId="9">
    <w:abstractNumId w:val="11"/>
  </w:num>
  <w:num w:numId="10">
    <w:abstractNumId w:val="12"/>
  </w:num>
  <w:num w:numId="11">
    <w:abstractNumId w:val="14"/>
  </w:num>
  <w:num w:numId="12">
    <w:abstractNumId w:val="13"/>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9"/>
  </w:num>
  <w:num w:numId="18">
    <w:abstractNumId w:val="22"/>
  </w:num>
  <w:num w:numId="19">
    <w:abstractNumId w:val="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7"/>
  </w:num>
  <w:num w:numId="37">
    <w:abstractNumId w:val="5"/>
  </w:num>
  <w:num w:numId="38">
    <w:abstractNumId w:val="0"/>
  </w:num>
  <w:num w:numId="39">
    <w:abstractNumId w:val="12"/>
  </w:num>
  <w:num w:numId="40">
    <w:abstractNumId w:val="12"/>
  </w:num>
  <w:num w:numId="41">
    <w:abstractNumId w:val="4"/>
  </w:num>
  <w:num w:numId="42">
    <w:abstractNumId w:val="3"/>
  </w:num>
  <w:num w:numId="43">
    <w:abstractNumId w:val="12"/>
  </w:num>
  <w:num w:numId="44">
    <w:abstractNumId w:val="12"/>
  </w:num>
  <w:num w:numId="45">
    <w:abstractNumId w:val="8"/>
  </w:num>
  <w:num w:numId="46">
    <w:abstractNumId w:val="12"/>
  </w:num>
  <w:num w:numId="47">
    <w:abstractNumId w:val="12"/>
  </w:num>
  <w:num w:numId="4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811"/>
    <w:rsid w:val="00000441"/>
    <w:rsid w:val="00000A84"/>
    <w:rsid w:val="00001850"/>
    <w:rsid w:val="000042C2"/>
    <w:rsid w:val="00004A68"/>
    <w:rsid w:val="00004C58"/>
    <w:rsid w:val="00004F8A"/>
    <w:rsid w:val="00006590"/>
    <w:rsid w:val="000069A4"/>
    <w:rsid w:val="000069F9"/>
    <w:rsid w:val="0000727D"/>
    <w:rsid w:val="00010174"/>
    <w:rsid w:val="00011595"/>
    <w:rsid w:val="000119FB"/>
    <w:rsid w:val="00011F3E"/>
    <w:rsid w:val="00014990"/>
    <w:rsid w:val="000166AE"/>
    <w:rsid w:val="00016A22"/>
    <w:rsid w:val="00016E5E"/>
    <w:rsid w:val="00017610"/>
    <w:rsid w:val="000203B2"/>
    <w:rsid w:val="000205C6"/>
    <w:rsid w:val="00020F9D"/>
    <w:rsid w:val="000215E1"/>
    <w:rsid w:val="00021FB0"/>
    <w:rsid w:val="000221AA"/>
    <w:rsid w:val="0002331F"/>
    <w:rsid w:val="00023EF2"/>
    <w:rsid w:val="00023F26"/>
    <w:rsid w:val="00024139"/>
    <w:rsid w:val="000249F8"/>
    <w:rsid w:val="00025B35"/>
    <w:rsid w:val="00026E82"/>
    <w:rsid w:val="000276A3"/>
    <w:rsid w:val="00030297"/>
    <w:rsid w:val="00030676"/>
    <w:rsid w:val="00030714"/>
    <w:rsid w:val="00031018"/>
    <w:rsid w:val="00032569"/>
    <w:rsid w:val="0003322C"/>
    <w:rsid w:val="00034110"/>
    <w:rsid w:val="00035AC1"/>
    <w:rsid w:val="000368FC"/>
    <w:rsid w:val="0003738D"/>
    <w:rsid w:val="000376EE"/>
    <w:rsid w:val="000421F8"/>
    <w:rsid w:val="00043262"/>
    <w:rsid w:val="00044155"/>
    <w:rsid w:val="000452BF"/>
    <w:rsid w:val="00045528"/>
    <w:rsid w:val="00045AA9"/>
    <w:rsid w:val="000461E6"/>
    <w:rsid w:val="00051AC5"/>
    <w:rsid w:val="00052063"/>
    <w:rsid w:val="0005222F"/>
    <w:rsid w:val="00052C4C"/>
    <w:rsid w:val="00054F57"/>
    <w:rsid w:val="00055603"/>
    <w:rsid w:val="00055DDF"/>
    <w:rsid w:val="00055F3E"/>
    <w:rsid w:val="00057724"/>
    <w:rsid w:val="00060BB5"/>
    <w:rsid w:val="00061C83"/>
    <w:rsid w:val="0006617B"/>
    <w:rsid w:val="0006624B"/>
    <w:rsid w:val="000662A9"/>
    <w:rsid w:val="000711F1"/>
    <w:rsid w:val="00072BBF"/>
    <w:rsid w:val="00073DA8"/>
    <w:rsid w:val="00075012"/>
    <w:rsid w:val="000755E6"/>
    <w:rsid w:val="000764D3"/>
    <w:rsid w:val="00080A47"/>
    <w:rsid w:val="00080C01"/>
    <w:rsid w:val="00082F77"/>
    <w:rsid w:val="00083E8C"/>
    <w:rsid w:val="00085C5A"/>
    <w:rsid w:val="000862FC"/>
    <w:rsid w:val="00087323"/>
    <w:rsid w:val="000879ED"/>
    <w:rsid w:val="00087A07"/>
    <w:rsid w:val="00091B6F"/>
    <w:rsid w:val="00092DC2"/>
    <w:rsid w:val="00093649"/>
    <w:rsid w:val="00094DB8"/>
    <w:rsid w:val="00096246"/>
    <w:rsid w:val="000A02CA"/>
    <w:rsid w:val="000A0A6E"/>
    <w:rsid w:val="000A16B0"/>
    <w:rsid w:val="000A1DEB"/>
    <w:rsid w:val="000A3D0A"/>
    <w:rsid w:val="000A4016"/>
    <w:rsid w:val="000A4F29"/>
    <w:rsid w:val="000A58C1"/>
    <w:rsid w:val="000A5901"/>
    <w:rsid w:val="000A5DB1"/>
    <w:rsid w:val="000A6B12"/>
    <w:rsid w:val="000A6C40"/>
    <w:rsid w:val="000B439D"/>
    <w:rsid w:val="000B5C4D"/>
    <w:rsid w:val="000B6327"/>
    <w:rsid w:val="000B6F23"/>
    <w:rsid w:val="000B70D6"/>
    <w:rsid w:val="000B7F7A"/>
    <w:rsid w:val="000C04A1"/>
    <w:rsid w:val="000C194F"/>
    <w:rsid w:val="000C2222"/>
    <w:rsid w:val="000C569C"/>
    <w:rsid w:val="000C617C"/>
    <w:rsid w:val="000C6AD0"/>
    <w:rsid w:val="000C6FD3"/>
    <w:rsid w:val="000D08CC"/>
    <w:rsid w:val="000D09ED"/>
    <w:rsid w:val="000D0A87"/>
    <w:rsid w:val="000D0FB1"/>
    <w:rsid w:val="000D10CB"/>
    <w:rsid w:val="000D11B8"/>
    <w:rsid w:val="000D145B"/>
    <w:rsid w:val="000D5CFD"/>
    <w:rsid w:val="000D6016"/>
    <w:rsid w:val="000D70D8"/>
    <w:rsid w:val="000D7185"/>
    <w:rsid w:val="000E19D4"/>
    <w:rsid w:val="000E1CED"/>
    <w:rsid w:val="000E24BD"/>
    <w:rsid w:val="000E29D1"/>
    <w:rsid w:val="000E5E34"/>
    <w:rsid w:val="000E6F19"/>
    <w:rsid w:val="000E7989"/>
    <w:rsid w:val="000F16A5"/>
    <w:rsid w:val="000F1B37"/>
    <w:rsid w:val="000F1B3B"/>
    <w:rsid w:val="000F1E3F"/>
    <w:rsid w:val="000F321A"/>
    <w:rsid w:val="000F32D5"/>
    <w:rsid w:val="000F3DBC"/>
    <w:rsid w:val="000F48EC"/>
    <w:rsid w:val="000F5D8D"/>
    <w:rsid w:val="000F5F3A"/>
    <w:rsid w:val="000F664E"/>
    <w:rsid w:val="001017A9"/>
    <w:rsid w:val="00101F34"/>
    <w:rsid w:val="001033D5"/>
    <w:rsid w:val="001039F7"/>
    <w:rsid w:val="00105409"/>
    <w:rsid w:val="00107DBD"/>
    <w:rsid w:val="001116EF"/>
    <w:rsid w:val="00112F50"/>
    <w:rsid w:val="00113320"/>
    <w:rsid w:val="00113666"/>
    <w:rsid w:val="0011372C"/>
    <w:rsid w:val="001156C2"/>
    <w:rsid w:val="00116167"/>
    <w:rsid w:val="001169C1"/>
    <w:rsid w:val="001169FE"/>
    <w:rsid w:val="00116D19"/>
    <w:rsid w:val="00117A47"/>
    <w:rsid w:val="0012000F"/>
    <w:rsid w:val="00120F5B"/>
    <w:rsid w:val="00121E78"/>
    <w:rsid w:val="001230AC"/>
    <w:rsid w:val="00123F4B"/>
    <w:rsid w:val="00124604"/>
    <w:rsid w:val="00125B71"/>
    <w:rsid w:val="00125C40"/>
    <w:rsid w:val="001265C0"/>
    <w:rsid w:val="00126679"/>
    <w:rsid w:val="00130E96"/>
    <w:rsid w:val="001337B7"/>
    <w:rsid w:val="00133921"/>
    <w:rsid w:val="001344B3"/>
    <w:rsid w:val="001345EA"/>
    <w:rsid w:val="00134B90"/>
    <w:rsid w:val="00137106"/>
    <w:rsid w:val="001400F0"/>
    <w:rsid w:val="00140C93"/>
    <w:rsid w:val="00143536"/>
    <w:rsid w:val="00145B2F"/>
    <w:rsid w:val="001460D5"/>
    <w:rsid w:val="00150440"/>
    <w:rsid w:val="00151010"/>
    <w:rsid w:val="00151D8E"/>
    <w:rsid w:val="00152423"/>
    <w:rsid w:val="00153C20"/>
    <w:rsid w:val="001543EA"/>
    <w:rsid w:val="001570BC"/>
    <w:rsid w:val="0015751F"/>
    <w:rsid w:val="001579BF"/>
    <w:rsid w:val="001606C3"/>
    <w:rsid w:val="00160913"/>
    <w:rsid w:val="00161AA0"/>
    <w:rsid w:val="00161FA8"/>
    <w:rsid w:val="00163650"/>
    <w:rsid w:val="001662BC"/>
    <w:rsid w:val="001669DC"/>
    <w:rsid w:val="0017058A"/>
    <w:rsid w:val="0017072D"/>
    <w:rsid w:val="00170B60"/>
    <w:rsid w:val="00171A2B"/>
    <w:rsid w:val="001736E0"/>
    <w:rsid w:val="00173A11"/>
    <w:rsid w:val="00176FB2"/>
    <w:rsid w:val="00180469"/>
    <w:rsid w:val="001823EB"/>
    <w:rsid w:val="001828E2"/>
    <w:rsid w:val="00184A64"/>
    <w:rsid w:val="00185C99"/>
    <w:rsid w:val="0018716E"/>
    <w:rsid w:val="001873CB"/>
    <w:rsid w:val="0018786D"/>
    <w:rsid w:val="001901BB"/>
    <w:rsid w:val="00190C4A"/>
    <w:rsid w:val="00190E77"/>
    <w:rsid w:val="00191B56"/>
    <w:rsid w:val="00192D8D"/>
    <w:rsid w:val="00193945"/>
    <w:rsid w:val="001956FC"/>
    <w:rsid w:val="00196C8D"/>
    <w:rsid w:val="0019718A"/>
    <w:rsid w:val="00197F2F"/>
    <w:rsid w:val="001A1AE2"/>
    <w:rsid w:val="001A1DAF"/>
    <w:rsid w:val="001B0D05"/>
    <w:rsid w:val="001B0E47"/>
    <w:rsid w:val="001B21DA"/>
    <w:rsid w:val="001B2DD8"/>
    <w:rsid w:val="001B7200"/>
    <w:rsid w:val="001B76A7"/>
    <w:rsid w:val="001B7E00"/>
    <w:rsid w:val="001C064B"/>
    <w:rsid w:val="001C0E39"/>
    <w:rsid w:val="001C0EF4"/>
    <w:rsid w:val="001C59E4"/>
    <w:rsid w:val="001C5EFD"/>
    <w:rsid w:val="001C6954"/>
    <w:rsid w:val="001C7AD3"/>
    <w:rsid w:val="001D0686"/>
    <w:rsid w:val="001D1D43"/>
    <w:rsid w:val="001D1FBF"/>
    <w:rsid w:val="001D207C"/>
    <w:rsid w:val="001D56E5"/>
    <w:rsid w:val="001D6349"/>
    <w:rsid w:val="001D75FC"/>
    <w:rsid w:val="001D7E60"/>
    <w:rsid w:val="001E1073"/>
    <w:rsid w:val="001E1DEF"/>
    <w:rsid w:val="001E2101"/>
    <w:rsid w:val="001E27E5"/>
    <w:rsid w:val="001E2CAF"/>
    <w:rsid w:val="001E4D37"/>
    <w:rsid w:val="001E7A9B"/>
    <w:rsid w:val="001F1400"/>
    <w:rsid w:val="001F28F2"/>
    <w:rsid w:val="001F5F3E"/>
    <w:rsid w:val="001F6078"/>
    <w:rsid w:val="001F6EA8"/>
    <w:rsid w:val="001F7251"/>
    <w:rsid w:val="002048E1"/>
    <w:rsid w:val="00204E8E"/>
    <w:rsid w:val="00204F82"/>
    <w:rsid w:val="00205910"/>
    <w:rsid w:val="00207C12"/>
    <w:rsid w:val="0021081C"/>
    <w:rsid w:val="0021188C"/>
    <w:rsid w:val="002119CD"/>
    <w:rsid w:val="00214407"/>
    <w:rsid w:val="002159C9"/>
    <w:rsid w:val="00216E0F"/>
    <w:rsid w:val="00216F13"/>
    <w:rsid w:val="00217185"/>
    <w:rsid w:val="002218BC"/>
    <w:rsid w:val="00222BEA"/>
    <w:rsid w:val="002246E5"/>
    <w:rsid w:val="002247E4"/>
    <w:rsid w:val="00225439"/>
    <w:rsid w:val="00225F9B"/>
    <w:rsid w:val="0022607C"/>
    <w:rsid w:val="00232061"/>
    <w:rsid w:val="00232090"/>
    <w:rsid w:val="00235945"/>
    <w:rsid w:val="00235CAB"/>
    <w:rsid w:val="00236E76"/>
    <w:rsid w:val="0023734C"/>
    <w:rsid w:val="002400B7"/>
    <w:rsid w:val="0024329F"/>
    <w:rsid w:val="00243F76"/>
    <w:rsid w:val="00244A8F"/>
    <w:rsid w:val="00245282"/>
    <w:rsid w:val="00246C86"/>
    <w:rsid w:val="00247139"/>
    <w:rsid w:val="0025063D"/>
    <w:rsid w:val="002526AD"/>
    <w:rsid w:val="00253EB9"/>
    <w:rsid w:val="00254384"/>
    <w:rsid w:val="002555BE"/>
    <w:rsid w:val="00255679"/>
    <w:rsid w:val="00255E58"/>
    <w:rsid w:val="00257B1C"/>
    <w:rsid w:val="00260064"/>
    <w:rsid w:val="002614EA"/>
    <w:rsid w:val="002630A8"/>
    <w:rsid w:val="002637F7"/>
    <w:rsid w:val="00264A48"/>
    <w:rsid w:val="00265B0E"/>
    <w:rsid w:val="00265B29"/>
    <w:rsid w:val="00265E64"/>
    <w:rsid w:val="0026674E"/>
    <w:rsid w:val="00266A74"/>
    <w:rsid w:val="00272D79"/>
    <w:rsid w:val="00272E03"/>
    <w:rsid w:val="00274376"/>
    <w:rsid w:val="0027495B"/>
    <w:rsid w:val="0027641C"/>
    <w:rsid w:val="002768D9"/>
    <w:rsid w:val="0028228F"/>
    <w:rsid w:val="00282C30"/>
    <w:rsid w:val="00282D7E"/>
    <w:rsid w:val="00283CA3"/>
    <w:rsid w:val="002848BD"/>
    <w:rsid w:val="0028645D"/>
    <w:rsid w:val="00290445"/>
    <w:rsid w:val="002913B6"/>
    <w:rsid w:val="0029188C"/>
    <w:rsid w:val="00292044"/>
    <w:rsid w:val="0029211E"/>
    <w:rsid w:val="00292410"/>
    <w:rsid w:val="00293811"/>
    <w:rsid w:val="002941AB"/>
    <w:rsid w:val="002A0FC3"/>
    <w:rsid w:val="002A151A"/>
    <w:rsid w:val="002A2687"/>
    <w:rsid w:val="002A39AC"/>
    <w:rsid w:val="002A5C23"/>
    <w:rsid w:val="002A686F"/>
    <w:rsid w:val="002A7BEA"/>
    <w:rsid w:val="002B3340"/>
    <w:rsid w:val="002B3860"/>
    <w:rsid w:val="002B5090"/>
    <w:rsid w:val="002B5772"/>
    <w:rsid w:val="002B58A5"/>
    <w:rsid w:val="002B6D1D"/>
    <w:rsid w:val="002B72E1"/>
    <w:rsid w:val="002C0551"/>
    <w:rsid w:val="002C257D"/>
    <w:rsid w:val="002C2774"/>
    <w:rsid w:val="002C339C"/>
    <w:rsid w:val="002C381D"/>
    <w:rsid w:val="002C6572"/>
    <w:rsid w:val="002D0241"/>
    <w:rsid w:val="002D6547"/>
    <w:rsid w:val="002D79A7"/>
    <w:rsid w:val="002E100F"/>
    <w:rsid w:val="002E2482"/>
    <w:rsid w:val="002E2520"/>
    <w:rsid w:val="002E3484"/>
    <w:rsid w:val="002E3923"/>
    <w:rsid w:val="002E3F68"/>
    <w:rsid w:val="002E51C5"/>
    <w:rsid w:val="002E5C16"/>
    <w:rsid w:val="002E6599"/>
    <w:rsid w:val="002E73E7"/>
    <w:rsid w:val="002F0AA7"/>
    <w:rsid w:val="002F1B28"/>
    <w:rsid w:val="002F2583"/>
    <w:rsid w:val="002F279A"/>
    <w:rsid w:val="002F2AF5"/>
    <w:rsid w:val="002F2C1A"/>
    <w:rsid w:val="002F38E7"/>
    <w:rsid w:val="002F4F5B"/>
    <w:rsid w:val="002F5D31"/>
    <w:rsid w:val="002F68FE"/>
    <w:rsid w:val="00300DF8"/>
    <w:rsid w:val="00303156"/>
    <w:rsid w:val="003107AB"/>
    <w:rsid w:val="0031127A"/>
    <w:rsid w:val="0031283F"/>
    <w:rsid w:val="003154E8"/>
    <w:rsid w:val="00315C29"/>
    <w:rsid w:val="00316594"/>
    <w:rsid w:val="0031664C"/>
    <w:rsid w:val="003169F4"/>
    <w:rsid w:val="00316FC5"/>
    <w:rsid w:val="003205FC"/>
    <w:rsid w:val="00320781"/>
    <w:rsid w:val="0032130F"/>
    <w:rsid w:val="00324513"/>
    <w:rsid w:val="00324997"/>
    <w:rsid w:val="003256B1"/>
    <w:rsid w:val="003267B8"/>
    <w:rsid w:val="00330516"/>
    <w:rsid w:val="00331545"/>
    <w:rsid w:val="00332505"/>
    <w:rsid w:val="00332545"/>
    <w:rsid w:val="00332894"/>
    <w:rsid w:val="00332F33"/>
    <w:rsid w:val="003330E6"/>
    <w:rsid w:val="0033333E"/>
    <w:rsid w:val="00334693"/>
    <w:rsid w:val="003348C3"/>
    <w:rsid w:val="0033575A"/>
    <w:rsid w:val="00335DA8"/>
    <w:rsid w:val="00336037"/>
    <w:rsid w:val="003368C0"/>
    <w:rsid w:val="00340458"/>
    <w:rsid w:val="00341B84"/>
    <w:rsid w:val="00341ECB"/>
    <w:rsid w:val="00342696"/>
    <w:rsid w:val="00342FC4"/>
    <w:rsid w:val="00343439"/>
    <w:rsid w:val="00343B53"/>
    <w:rsid w:val="003445BD"/>
    <w:rsid w:val="00344746"/>
    <w:rsid w:val="003459E9"/>
    <w:rsid w:val="00346BA7"/>
    <w:rsid w:val="00346CC9"/>
    <w:rsid w:val="00351DB8"/>
    <w:rsid w:val="00354915"/>
    <w:rsid w:val="0035762B"/>
    <w:rsid w:val="00360B4A"/>
    <w:rsid w:val="00361FC5"/>
    <w:rsid w:val="003620FB"/>
    <w:rsid w:val="0036431A"/>
    <w:rsid w:val="003644DF"/>
    <w:rsid w:val="00364993"/>
    <w:rsid w:val="00364E30"/>
    <w:rsid w:val="00370315"/>
    <w:rsid w:val="00372031"/>
    <w:rsid w:val="003738C2"/>
    <w:rsid w:val="00374DAA"/>
    <w:rsid w:val="00375DBD"/>
    <w:rsid w:val="00377E3F"/>
    <w:rsid w:val="003816A3"/>
    <w:rsid w:val="00381EA8"/>
    <w:rsid w:val="003847B9"/>
    <w:rsid w:val="00384E9E"/>
    <w:rsid w:val="003853DE"/>
    <w:rsid w:val="00385E85"/>
    <w:rsid w:val="0039118D"/>
    <w:rsid w:val="00391AC8"/>
    <w:rsid w:val="00391BCE"/>
    <w:rsid w:val="00392FB4"/>
    <w:rsid w:val="00394DFF"/>
    <w:rsid w:val="00395C05"/>
    <w:rsid w:val="003970F6"/>
    <w:rsid w:val="00397EEA"/>
    <w:rsid w:val="003A0250"/>
    <w:rsid w:val="003A04CD"/>
    <w:rsid w:val="003A11AB"/>
    <w:rsid w:val="003A1F14"/>
    <w:rsid w:val="003A202A"/>
    <w:rsid w:val="003A3974"/>
    <w:rsid w:val="003A5838"/>
    <w:rsid w:val="003A5E38"/>
    <w:rsid w:val="003A5E86"/>
    <w:rsid w:val="003B0BC2"/>
    <w:rsid w:val="003B13CE"/>
    <w:rsid w:val="003B1D1A"/>
    <w:rsid w:val="003B37BB"/>
    <w:rsid w:val="003C002E"/>
    <w:rsid w:val="003C0F0D"/>
    <w:rsid w:val="003C1E41"/>
    <w:rsid w:val="003C36AC"/>
    <w:rsid w:val="003C4E60"/>
    <w:rsid w:val="003C5FBF"/>
    <w:rsid w:val="003C7EF9"/>
    <w:rsid w:val="003D2650"/>
    <w:rsid w:val="003D68D5"/>
    <w:rsid w:val="003D7050"/>
    <w:rsid w:val="003D79C7"/>
    <w:rsid w:val="003E14CF"/>
    <w:rsid w:val="003E2A61"/>
    <w:rsid w:val="003E3834"/>
    <w:rsid w:val="003E6614"/>
    <w:rsid w:val="003E684C"/>
    <w:rsid w:val="003F168A"/>
    <w:rsid w:val="003F79AA"/>
    <w:rsid w:val="00403414"/>
    <w:rsid w:val="0040536D"/>
    <w:rsid w:val="0040622E"/>
    <w:rsid w:val="00407799"/>
    <w:rsid w:val="00407D59"/>
    <w:rsid w:val="00411CDA"/>
    <w:rsid w:val="004136FE"/>
    <w:rsid w:val="0041525E"/>
    <w:rsid w:val="00415939"/>
    <w:rsid w:val="00416039"/>
    <w:rsid w:val="00420742"/>
    <w:rsid w:val="00421005"/>
    <w:rsid w:val="00425FD1"/>
    <w:rsid w:val="0042651D"/>
    <w:rsid w:val="0042655B"/>
    <w:rsid w:val="004300DB"/>
    <w:rsid w:val="00431372"/>
    <w:rsid w:val="00431DBF"/>
    <w:rsid w:val="00433564"/>
    <w:rsid w:val="004362C3"/>
    <w:rsid w:val="00437CA3"/>
    <w:rsid w:val="0044027B"/>
    <w:rsid w:val="004408F8"/>
    <w:rsid w:val="00441995"/>
    <w:rsid w:val="00445D8D"/>
    <w:rsid w:val="0044648F"/>
    <w:rsid w:val="00446DA2"/>
    <w:rsid w:val="00447D0B"/>
    <w:rsid w:val="004511EF"/>
    <w:rsid w:val="00452E43"/>
    <w:rsid w:val="0045555D"/>
    <w:rsid w:val="00455FF1"/>
    <w:rsid w:val="00457843"/>
    <w:rsid w:val="00461E21"/>
    <w:rsid w:val="00462002"/>
    <w:rsid w:val="0046212F"/>
    <w:rsid w:val="004624DA"/>
    <w:rsid w:val="00462733"/>
    <w:rsid w:val="00462774"/>
    <w:rsid w:val="00462DF3"/>
    <w:rsid w:val="00463227"/>
    <w:rsid w:val="00463973"/>
    <w:rsid w:val="00466674"/>
    <w:rsid w:val="00467639"/>
    <w:rsid w:val="00471113"/>
    <w:rsid w:val="00471200"/>
    <w:rsid w:val="00471898"/>
    <w:rsid w:val="0047224C"/>
    <w:rsid w:val="00472BA1"/>
    <w:rsid w:val="00472FF8"/>
    <w:rsid w:val="004739BA"/>
    <w:rsid w:val="00473DE4"/>
    <w:rsid w:val="00475F03"/>
    <w:rsid w:val="0047637B"/>
    <w:rsid w:val="00477727"/>
    <w:rsid w:val="004778BE"/>
    <w:rsid w:val="004804B3"/>
    <w:rsid w:val="00481E06"/>
    <w:rsid w:val="004820E9"/>
    <w:rsid w:val="00483119"/>
    <w:rsid w:val="0048361F"/>
    <w:rsid w:val="004845D0"/>
    <w:rsid w:val="004852FF"/>
    <w:rsid w:val="00485D18"/>
    <w:rsid w:val="00486AA0"/>
    <w:rsid w:val="004909C2"/>
    <w:rsid w:val="00491D7F"/>
    <w:rsid w:val="004929A5"/>
    <w:rsid w:val="00494CFB"/>
    <w:rsid w:val="00494E73"/>
    <w:rsid w:val="00495C86"/>
    <w:rsid w:val="004A02FD"/>
    <w:rsid w:val="004A2830"/>
    <w:rsid w:val="004A3DBF"/>
    <w:rsid w:val="004A4A53"/>
    <w:rsid w:val="004A505E"/>
    <w:rsid w:val="004A54B6"/>
    <w:rsid w:val="004A60A5"/>
    <w:rsid w:val="004A66DF"/>
    <w:rsid w:val="004A7E0A"/>
    <w:rsid w:val="004B0FA8"/>
    <w:rsid w:val="004B514C"/>
    <w:rsid w:val="004B756F"/>
    <w:rsid w:val="004B79C1"/>
    <w:rsid w:val="004B79E8"/>
    <w:rsid w:val="004B7D57"/>
    <w:rsid w:val="004C00D8"/>
    <w:rsid w:val="004C16C9"/>
    <w:rsid w:val="004C171E"/>
    <w:rsid w:val="004C3708"/>
    <w:rsid w:val="004C3C45"/>
    <w:rsid w:val="004C3DAD"/>
    <w:rsid w:val="004C5731"/>
    <w:rsid w:val="004C5923"/>
    <w:rsid w:val="004C6116"/>
    <w:rsid w:val="004C611D"/>
    <w:rsid w:val="004C7C61"/>
    <w:rsid w:val="004D055A"/>
    <w:rsid w:val="004D0DFD"/>
    <w:rsid w:val="004D0EC7"/>
    <w:rsid w:val="004D15F5"/>
    <w:rsid w:val="004D17CF"/>
    <w:rsid w:val="004D1FBE"/>
    <w:rsid w:val="004D4A86"/>
    <w:rsid w:val="004D4F69"/>
    <w:rsid w:val="004D7664"/>
    <w:rsid w:val="004E074F"/>
    <w:rsid w:val="004E2A6D"/>
    <w:rsid w:val="004E3341"/>
    <w:rsid w:val="004E3A7B"/>
    <w:rsid w:val="004E47C4"/>
    <w:rsid w:val="004E6427"/>
    <w:rsid w:val="004E7625"/>
    <w:rsid w:val="004E794E"/>
    <w:rsid w:val="004E7E43"/>
    <w:rsid w:val="004F1956"/>
    <w:rsid w:val="004F3D6E"/>
    <w:rsid w:val="004F5184"/>
    <w:rsid w:val="004F5FC6"/>
    <w:rsid w:val="004F69FA"/>
    <w:rsid w:val="004F73F3"/>
    <w:rsid w:val="0050257D"/>
    <w:rsid w:val="005037B2"/>
    <w:rsid w:val="0050455E"/>
    <w:rsid w:val="005047AD"/>
    <w:rsid w:val="00510B1D"/>
    <w:rsid w:val="0051107D"/>
    <w:rsid w:val="00513060"/>
    <w:rsid w:val="00520199"/>
    <w:rsid w:val="005213D0"/>
    <w:rsid w:val="0052165C"/>
    <w:rsid w:val="005219A9"/>
    <w:rsid w:val="00525B30"/>
    <w:rsid w:val="00526294"/>
    <w:rsid w:val="00526C07"/>
    <w:rsid w:val="005273A6"/>
    <w:rsid w:val="00527533"/>
    <w:rsid w:val="005279B2"/>
    <w:rsid w:val="00527E88"/>
    <w:rsid w:val="00530095"/>
    <w:rsid w:val="00531D32"/>
    <w:rsid w:val="00531E91"/>
    <w:rsid w:val="005327B2"/>
    <w:rsid w:val="0053387C"/>
    <w:rsid w:val="00534F74"/>
    <w:rsid w:val="00536789"/>
    <w:rsid w:val="00536D2F"/>
    <w:rsid w:val="00537E0B"/>
    <w:rsid w:val="00540052"/>
    <w:rsid w:val="0054146B"/>
    <w:rsid w:val="00541BC1"/>
    <w:rsid w:val="00543190"/>
    <w:rsid w:val="005438FE"/>
    <w:rsid w:val="00543DB4"/>
    <w:rsid w:val="00543E08"/>
    <w:rsid w:val="005449AD"/>
    <w:rsid w:val="005465EF"/>
    <w:rsid w:val="005470E9"/>
    <w:rsid w:val="005505ED"/>
    <w:rsid w:val="00552170"/>
    <w:rsid w:val="005539E0"/>
    <w:rsid w:val="00554F15"/>
    <w:rsid w:val="005554D2"/>
    <w:rsid w:val="005568ED"/>
    <w:rsid w:val="00563E31"/>
    <w:rsid w:val="00564B04"/>
    <w:rsid w:val="005675AC"/>
    <w:rsid w:val="00570D30"/>
    <w:rsid w:val="00572D42"/>
    <w:rsid w:val="00573059"/>
    <w:rsid w:val="00573CCA"/>
    <w:rsid w:val="00575257"/>
    <w:rsid w:val="00575E13"/>
    <w:rsid w:val="0057621E"/>
    <w:rsid w:val="00576846"/>
    <w:rsid w:val="00576E05"/>
    <w:rsid w:val="00577B05"/>
    <w:rsid w:val="00580D6F"/>
    <w:rsid w:val="005812C6"/>
    <w:rsid w:val="00582BE7"/>
    <w:rsid w:val="00584F22"/>
    <w:rsid w:val="00586B1C"/>
    <w:rsid w:val="00591210"/>
    <w:rsid w:val="00591A2D"/>
    <w:rsid w:val="00591B21"/>
    <w:rsid w:val="005948FA"/>
    <w:rsid w:val="005959BE"/>
    <w:rsid w:val="00596210"/>
    <w:rsid w:val="00596286"/>
    <w:rsid w:val="00596999"/>
    <w:rsid w:val="005A0F31"/>
    <w:rsid w:val="005A1CC6"/>
    <w:rsid w:val="005A28A1"/>
    <w:rsid w:val="005A46D0"/>
    <w:rsid w:val="005A509D"/>
    <w:rsid w:val="005A6FB5"/>
    <w:rsid w:val="005B13A3"/>
    <w:rsid w:val="005B25E4"/>
    <w:rsid w:val="005B2FBD"/>
    <w:rsid w:val="005B30C8"/>
    <w:rsid w:val="005B364E"/>
    <w:rsid w:val="005B7778"/>
    <w:rsid w:val="005B79B7"/>
    <w:rsid w:val="005C007A"/>
    <w:rsid w:val="005C051F"/>
    <w:rsid w:val="005C19DB"/>
    <w:rsid w:val="005C3EE3"/>
    <w:rsid w:val="005C49C2"/>
    <w:rsid w:val="005C4FE0"/>
    <w:rsid w:val="005C63A3"/>
    <w:rsid w:val="005C6881"/>
    <w:rsid w:val="005C6E7B"/>
    <w:rsid w:val="005C762E"/>
    <w:rsid w:val="005C7D24"/>
    <w:rsid w:val="005D098C"/>
    <w:rsid w:val="005D2038"/>
    <w:rsid w:val="005D3FD9"/>
    <w:rsid w:val="005D572D"/>
    <w:rsid w:val="005D7899"/>
    <w:rsid w:val="005E2139"/>
    <w:rsid w:val="005E41A8"/>
    <w:rsid w:val="005E46BB"/>
    <w:rsid w:val="005E6CC0"/>
    <w:rsid w:val="005E7F97"/>
    <w:rsid w:val="005F2207"/>
    <w:rsid w:val="005F4E92"/>
    <w:rsid w:val="005F6629"/>
    <w:rsid w:val="005F72DD"/>
    <w:rsid w:val="006001CC"/>
    <w:rsid w:val="006015CD"/>
    <w:rsid w:val="00602B4D"/>
    <w:rsid w:val="00603C94"/>
    <w:rsid w:val="00604668"/>
    <w:rsid w:val="006048E0"/>
    <w:rsid w:val="00604FAD"/>
    <w:rsid w:val="00605B00"/>
    <w:rsid w:val="0060662A"/>
    <w:rsid w:val="00607836"/>
    <w:rsid w:val="00610B3F"/>
    <w:rsid w:val="00612789"/>
    <w:rsid w:val="00613D24"/>
    <w:rsid w:val="00614BDA"/>
    <w:rsid w:val="006153E4"/>
    <w:rsid w:val="0061751B"/>
    <w:rsid w:val="00620020"/>
    <w:rsid w:val="00620052"/>
    <w:rsid w:val="00620EA5"/>
    <w:rsid w:val="00621AFB"/>
    <w:rsid w:val="0062332C"/>
    <w:rsid w:val="00624545"/>
    <w:rsid w:val="0062589A"/>
    <w:rsid w:val="006307C7"/>
    <w:rsid w:val="00630938"/>
    <w:rsid w:val="0063194C"/>
    <w:rsid w:val="00632B82"/>
    <w:rsid w:val="006331B4"/>
    <w:rsid w:val="006343F3"/>
    <w:rsid w:val="00634795"/>
    <w:rsid w:val="00635C80"/>
    <w:rsid w:val="00635E17"/>
    <w:rsid w:val="00636D27"/>
    <w:rsid w:val="00637E3B"/>
    <w:rsid w:val="00640CF2"/>
    <w:rsid w:val="006417D6"/>
    <w:rsid w:val="00642906"/>
    <w:rsid w:val="0064344F"/>
    <w:rsid w:val="00643582"/>
    <w:rsid w:val="00643B75"/>
    <w:rsid w:val="006457EF"/>
    <w:rsid w:val="00645EE5"/>
    <w:rsid w:val="00645F75"/>
    <w:rsid w:val="0064726C"/>
    <w:rsid w:val="00650F96"/>
    <w:rsid w:val="00650FB9"/>
    <w:rsid w:val="006512B7"/>
    <w:rsid w:val="00651C22"/>
    <w:rsid w:val="00655679"/>
    <w:rsid w:val="00655B4D"/>
    <w:rsid w:val="00655ED5"/>
    <w:rsid w:val="00660B50"/>
    <w:rsid w:val="00661F7F"/>
    <w:rsid w:val="006629E1"/>
    <w:rsid w:val="00665734"/>
    <w:rsid w:val="006657AA"/>
    <w:rsid w:val="00670B1A"/>
    <w:rsid w:val="00671977"/>
    <w:rsid w:val="00671D80"/>
    <w:rsid w:val="00672EFB"/>
    <w:rsid w:val="00673449"/>
    <w:rsid w:val="006739CF"/>
    <w:rsid w:val="00674BCC"/>
    <w:rsid w:val="006764C6"/>
    <w:rsid w:val="0067752C"/>
    <w:rsid w:val="006776A2"/>
    <w:rsid w:val="006801A6"/>
    <w:rsid w:val="00680928"/>
    <w:rsid w:val="0068124B"/>
    <w:rsid w:val="00681610"/>
    <w:rsid w:val="00681E1A"/>
    <w:rsid w:val="00682717"/>
    <w:rsid w:val="00684FD3"/>
    <w:rsid w:val="006854DB"/>
    <w:rsid w:val="00685D36"/>
    <w:rsid w:val="00686BD0"/>
    <w:rsid w:val="00686C0E"/>
    <w:rsid w:val="00687304"/>
    <w:rsid w:val="0069084F"/>
    <w:rsid w:val="006908B9"/>
    <w:rsid w:val="00690D90"/>
    <w:rsid w:val="00692C71"/>
    <w:rsid w:val="006931A0"/>
    <w:rsid w:val="006935BC"/>
    <w:rsid w:val="00696E55"/>
    <w:rsid w:val="006A0773"/>
    <w:rsid w:val="006A0B0E"/>
    <w:rsid w:val="006A0CBB"/>
    <w:rsid w:val="006A3A9C"/>
    <w:rsid w:val="006A3CC5"/>
    <w:rsid w:val="006A4F00"/>
    <w:rsid w:val="006A5318"/>
    <w:rsid w:val="006A610F"/>
    <w:rsid w:val="006A6B02"/>
    <w:rsid w:val="006A721F"/>
    <w:rsid w:val="006A7CCF"/>
    <w:rsid w:val="006B0581"/>
    <w:rsid w:val="006B0F36"/>
    <w:rsid w:val="006B30FD"/>
    <w:rsid w:val="006B35C5"/>
    <w:rsid w:val="006B4254"/>
    <w:rsid w:val="006B487D"/>
    <w:rsid w:val="006B58C4"/>
    <w:rsid w:val="006B5CB4"/>
    <w:rsid w:val="006B6DCF"/>
    <w:rsid w:val="006B791B"/>
    <w:rsid w:val="006B7F87"/>
    <w:rsid w:val="006C0CC0"/>
    <w:rsid w:val="006C41A8"/>
    <w:rsid w:val="006C4793"/>
    <w:rsid w:val="006C5ADD"/>
    <w:rsid w:val="006C6725"/>
    <w:rsid w:val="006C7126"/>
    <w:rsid w:val="006D1397"/>
    <w:rsid w:val="006D36FB"/>
    <w:rsid w:val="006D4199"/>
    <w:rsid w:val="006D42ED"/>
    <w:rsid w:val="006D4D1A"/>
    <w:rsid w:val="006D5F0A"/>
    <w:rsid w:val="006D73F1"/>
    <w:rsid w:val="006E1009"/>
    <w:rsid w:val="006E1061"/>
    <w:rsid w:val="006E1399"/>
    <w:rsid w:val="006E2A29"/>
    <w:rsid w:val="006E3514"/>
    <w:rsid w:val="006E502C"/>
    <w:rsid w:val="006E7421"/>
    <w:rsid w:val="006E7457"/>
    <w:rsid w:val="006E7647"/>
    <w:rsid w:val="006F10E7"/>
    <w:rsid w:val="006F123C"/>
    <w:rsid w:val="006F162C"/>
    <w:rsid w:val="006F1DA8"/>
    <w:rsid w:val="006F22E9"/>
    <w:rsid w:val="006F30A2"/>
    <w:rsid w:val="006F49F0"/>
    <w:rsid w:val="006F4CFA"/>
    <w:rsid w:val="006F50A7"/>
    <w:rsid w:val="006F5310"/>
    <w:rsid w:val="006F696E"/>
    <w:rsid w:val="006F6B91"/>
    <w:rsid w:val="00701255"/>
    <w:rsid w:val="0070196C"/>
    <w:rsid w:val="0070215A"/>
    <w:rsid w:val="0070335A"/>
    <w:rsid w:val="007034CB"/>
    <w:rsid w:val="007040CB"/>
    <w:rsid w:val="0070523B"/>
    <w:rsid w:val="00705D32"/>
    <w:rsid w:val="0070605E"/>
    <w:rsid w:val="007075B1"/>
    <w:rsid w:val="00707D16"/>
    <w:rsid w:val="0071188D"/>
    <w:rsid w:val="00715E8A"/>
    <w:rsid w:val="00715F5C"/>
    <w:rsid w:val="00717226"/>
    <w:rsid w:val="00717BA2"/>
    <w:rsid w:val="00717BC5"/>
    <w:rsid w:val="0072009D"/>
    <w:rsid w:val="00720FDD"/>
    <w:rsid w:val="007211AB"/>
    <w:rsid w:val="00722883"/>
    <w:rsid w:val="0072344A"/>
    <w:rsid w:val="007236E0"/>
    <w:rsid w:val="00723AF0"/>
    <w:rsid w:val="00724E37"/>
    <w:rsid w:val="0072545E"/>
    <w:rsid w:val="00726060"/>
    <w:rsid w:val="00727911"/>
    <w:rsid w:val="0073007E"/>
    <w:rsid w:val="007311E2"/>
    <w:rsid w:val="00732519"/>
    <w:rsid w:val="00733124"/>
    <w:rsid w:val="0073365B"/>
    <w:rsid w:val="007338CB"/>
    <w:rsid w:val="00734F5A"/>
    <w:rsid w:val="00736D97"/>
    <w:rsid w:val="00737CEF"/>
    <w:rsid w:val="00737DDA"/>
    <w:rsid w:val="007408B5"/>
    <w:rsid w:val="00742205"/>
    <w:rsid w:val="00743390"/>
    <w:rsid w:val="00743675"/>
    <w:rsid w:val="0074611A"/>
    <w:rsid w:val="0074624C"/>
    <w:rsid w:val="00746B57"/>
    <w:rsid w:val="00747D90"/>
    <w:rsid w:val="007501B9"/>
    <w:rsid w:val="00751CB9"/>
    <w:rsid w:val="00751F43"/>
    <w:rsid w:val="00753790"/>
    <w:rsid w:val="0075624F"/>
    <w:rsid w:val="00756D96"/>
    <w:rsid w:val="00756DB3"/>
    <w:rsid w:val="007631C8"/>
    <w:rsid w:val="00763284"/>
    <w:rsid w:val="00763641"/>
    <w:rsid w:val="007668BA"/>
    <w:rsid w:val="00766D9D"/>
    <w:rsid w:val="0077036E"/>
    <w:rsid w:val="00770596"/>
    <w:rsid w:val="00770F80"/>
    <w:rsid w:val="00771738"/>
    <w:rsid w:val="0077222A"/>
    <w:rsid w:val="0077277D"/>
    <w:rsid w:val="00772CC3"/>
    <w:rsid w:val="007733B9"/>
    <w:rsid w:val="007747D4"/>
    <w:rsid w:val="00774909"/>
    <w:rsid w:val="00774963"/>
    <w:rsid w:val="00775036"/>
    <w:rsid w:val="007751DB"/>
    <w:rsid w:val="007754CD"/>
    <w:rsid w:val="0078061D"/>
    <w:rsid w:val="00780FE8"/>
    <w:rsid w:val="00781B7F"/>
    <w:rsid w:val="00782DCB"/>
    <w:rsid w:val="0078402D"/>
    <w:rsid w:val="00784156"/>
    <w:rsid w:val="007933B3"/>
    <w:rsid w:val="00794D72"/>
    <w:rsid w:val="00794FE7"/>
    <w:rsid w:val="0079507E"/>
    <w:rsid w:val="0079510C"/>
    <w:rsid w:val="00796AD3"/>
    <w:rsid w:val="007A048E"/>
    <w:rsid w:val="007A19AF"/>
    <w:rsid w:val="007A1E9D"/>
    <w:rsid w:val="007A2801"/>
    <w:rsid w:val="007A4EEE"/>
    <w:rsid w:val="007A6DAA"/>
    <w:rsid w:val="007A7EC8"/>
    <w:rsid w:val="007B032C"/>
    <w:rsid w:val="007B08A3"/>
    <w:rsid w:val="007B15CF"/>
    <w:rsid w:val="007B1606"/>
    <w:rsid w:val="007B1AF8"/>
    <w:rsid w:val="007B21CE"/>
    <w:rsid w:val="007B2A16"/>
    <w:rsid w:val="007B32CB"/>
    <w:rsid w:val="007B4B3F"/>
    <w:rsid w:val="007B60F5"/>
    <w:rsid w:val="007B6251"/>
    <w:rsid w:val="007B787D"/>
    <w:rsid w:val="007B7B7B"/>
    <w:rsid w:val="007C3165"/>
    <w:rsid w:val="007C3EEA"/>
    <w:rsid w:val="007C4E19"/>
    <w:rsid w:val="007C58D6"/>
    <w:rsid w:val="007C732D"/>
    <w:rsid w:val="007D1008"/>
    <w:rsid w:val="007D15B9"/>
    <w:rsid w:val="007D5B27"/>
    <w:rsid w:val="007D5C80"/>
    <w:rsid w:val="007D62AE"/>
    <w:rsid w:val="007E013D"/>
    <w:rsid w:val="007E2754"/>
    <w:rsid w:val="007E5818"/>
    <w:rsid w:val="007E5ACB"/>
    <w:rsid w:val="007E61A7"/>
    <w:rsid w:val="007E65D7"/>
    <w:rsid w:val="007E683B"/>
    <w:rsid w:val="007F0811"/>
    <w:rsid w:val="007F4D0E"/>
    <w:rsid w:val="0080089C"/>
    <w:rsid w:val="00801E24"/>
    <w:rsid w:val="00802946"/>
    <w:rsid w:val="00803318"/>
    <w:rsid w:val="00803456"/>
    <w:rsid w:val="0080390A"/>
    <w:rsid w:val="00806359"/>
    <w:rsid w:val="008063B9"/>
    <w:rsid w:val="0081061A"/>
    <w:rsid w:val="00811BBD"/>
    <w:rsid w:val="00812976"/>
    <w:rsid w:val="00814DEF"/>
    <w:rsid w:val="00815D0C"/>
    <w:rsid w:val="00816645"/>
    <w:rsid w:val="0081699A"/>
    <w:rsid w:val="008209E8"/>
    <w:rsid w:val="008214A4"/>
    <w:rsid w:val="0082239E"/>
    <w:rsid w:val="0082298E"/>
    <w:rsid w:val="00823D9D"/>
    <w:rsid w:val="00824313"/>
    <w:rsid w:val="0082495C"/>
    <w:rsid w:val="0082538F"/>
    <w:rsid w:val="00825A87"/>
    <w:rsid w:val="00827D7E"/>
    <w:rsid w:val="00830833"/>
    <w:rsid w:val="00831AD9"/>
    <w:rsid w:val="00831B9B"/>
    <w:rsid w:val="008327E2"/>
    <w:rsid w:val="00834E7C"/>
    <w:rsid w:val="00835008"/>
    <w:rsid w:val="0083685C"/>
    <w:rsid w:val="00837F6D"/>
    <w:rsid w:val="008410BF"/>
    <w:rsid w:val="008418C3"/>
    <w:rsid w:val="00841EC2"/>
    <w:rsid w:val="008421C6"/>
    <w:rsid w:val="00842A7E"/>
    <w:rsid w:val="00844D3D"/>
    <w:rsid w:val="0084532E"/>
    <w:rsid w:val="00845810"/>
    <w:rsid w:val="00845E81"/>
    <w:rsid w:val="00845F3C"/>
    <w:rsid w:val="00846159"/>
    <w:rsid w:val="008505C3"/>
    <w:rsid w:val="00850BF4"/>
    <w:rsid w:val="00851677"/>
    <w:rsid w:val="008522C6"/>
    <w:rsid w:val="00852E40"/>
    <w:rsid w:val="0085348A"/>
    <w:rsid w:val="008549A7"/>
    <w:rsid w:val="00855124"/>
    <w:rsid w:val="008561F4"/>
    <w:rsid w:val="00857A90"/>
    <w:rsid w:val="00857CDD"/>
    <w:rsid w:val="00860EA8"/>
    <w:rsid w:val="0086261E"/>
    <w:rsid w:val="0086292E"/>
    <w:rsid w:val="0086472B"/>
    <w:rsid w:val="00864E32"/>
    <w:rsid w:val="00866EDB"/>
    <w:rsid w:val="00867B42"/>
    <w:rsid w:val="00872E33"/>
    <w:rsid w:val="0087368E"/>
    <w:rsid w:val="00873FC9"/>
    <w:rsid w:val="00874789"/>
    <w:rsid w:val="008802D9"/>
    <w:rsid w:val="00880708"/>
    <w:rsid w:val="00880B98"/>
    <w:rsid w:val="00881F26"/>
    <w:rsid w:val="008838A1"/>
    <w:rsid w:val="00885307"/>
    <w:rsid w:val="00885605"/>
    <w:rsid w:val="00886711"/>
    <w:rsid w:val="0088685E"/>
    <w:rsid w:val="0088689E"/>
    <w:rsid w:val="00886DEC"/>
    <w:rsid w:val="00890128"/>
    <w:rsid w:val="00891794"/>
    <w:rsid w:val="00891929"/>
    <w:rsid w:val="00893176"/>
    <w:rsid w:val="00893417"/>
    <w:rsid w:val="00893A78"/>
    <w:rsid w:val="0089476F"/>
    <w:rsid w:val="00894CA0"/>
    <w:rsid w:val="00895143"/>
    <w:rsid w:val="00895446"/>
    <w:rsid w:val="00895896"/>
    <w:rsid w:val="008959C7"/>
    <w:rsid w:val="00896B24"/>
    <w:rsid w:val="008A05E4"/>
    <w:rsid w:val="008A2098"/>
    <w:rsid w:val="008A32D1"/>
    <w:rsid w:val="008A494C"/>
    <w:rsid w:val="008A4FB6"/>
    <w:rsid w:val="008A5909"/>
    <w:rsid w:val="008A69C3"/>
    <w:rsid w:val="008B03D8"/>
    <w:rsid w:val="008B255F"/>
    <w:rsid w:val="008B61CD"/>
    <w:rsid w:val="008C101D"/>
    <w:rsid w:val="008C309B"/>
    <w:rsid w:val="008C3231"/>
    <w:rsid w:val="008C40D3"/>
    <w:rsid w:val="008C4A61"/>
    <w:rsid w:val="008C4CB3"/>
    <w:rsid w:val="008C4F0F"/>
    <w:rsid w:val="008C5117"/>
    <w:rsid w:val="008C5223"/>
    <w:rsid w:val="008C6CFD"/>
    <w:rsid w:val="008C7D07"/>
    <w:rsid w:val="008C7F38"/>
    <w:rsid w:val="008D26C2"/>
    <w:rsid w:val="008D2789"/>
    <w:rsid w:val="008D3809"/>
    <w:rsid w:val="008D3A5A"/>
    <w:rsid w:val="008D3B9E"/>
    <w:rsid w:val="008D41B7"/>
    <w:rsid w:val="008D55C9"/>
    <w:rsid w:val="008D5BE3"/>
    <w:rsid w:val="008D6504"/>
    <w:rsid w:val="008D68ED"/>
    <w:rsid w:val="008E4106"/>
    <w:rsid w:val="008E529E"/>
    <w:rsid w:val="008E54D9"/>
    <w:rsid w:val="008E629C"/>
    <w:rsid w:val="008E7460"/>
    <w:rsid w:val="008E7585"/>
    <w:rsid w:val="008E7E01"/>
    <w:rsid w:val="008F0BD2"/>
    <w:rsid w:val="008F2E5C"/>
    <w:rsid w:val="008F5421"/>
    <w:rsid w:val="008F646F"/>
    <w:rsid w:val="008F65DA"/>
    <w:rsid w:val="008F6741"/>
    <w:rsid w:val="00900833"/>
    <w:rsid w:val="00902FAE"/>
    <w:rsid w:val="00906982"/>
    <w:rsid w:val="00906B8B"/>
    <w:rsid w:val="0090707E"/>
    <w:rsid w:val="00907125"/>
    <w:rsid w:val="0090747E"/>
    <w:rsid w:val="009076D0"/>
    <w:rsid w:val="00907CBD"/>
    <w:rsid w:val="00913027"/>
    <w:rsid w:val="00914F38"/>
    <w:rsid w:val="009171F1"/>
    <w:rsid w:val="0091776B"/>
    <w:rsid w:val="0092005A"/>
    <w:rsid w:val="00920396"/>
    <w:rsid w:val="00922BA6"/>
    <w:rsid w:val="009242F3"/>
    <w:rsid w:val="00926026"/>
    <w:rsid w:val="0092657D"/>
    <w:rsid w:val="00927D1B"/>
    <w:rsid w:val="00927F99"/>
    <w:rsid w:val="00931575"/>
    <w:rsid w:val="00932B67"/>
    <w:rsid w:val="00934685"/>
    <w:rsid w:val="00935018"/>
    <w:rsid w:val="00935300"/>
    <w:rsid w:val="00935D96"/>
    <w:rsid w:val="0093671F"/>
    <w:rsid w:val="00937D0C"/>
    <w:rsid w:val="00937F0D"/>
    <w:rsid w:val="00941D1F"/>
    <w:rsid w:val="00942F98"/>
    <w:rsid w:val="0094366C"/>
    <w:rsid w:val="00945212"/>
    <w:rsid w:val="00945920"/>
    <w:rsid w:val="009459EA"/>
    <w:rsid w:val="0094666B"/>
    <w:rsid w:val="009479C0"/>
    <w:rsid w:val="00950914"/>
    <w:rsid w:val="00950C51"/>
    <w:rsid w:val="00951973"/>
    <w:rsid w:val="0095252E"/>
    <w:rsid w:val="00952591"/>
    <w:rsid w:val="00952C90"/>
    <w:rsid w:val="00953ADF"/>
    <w:rsid w:val="00953B55"/>
    <w:rsid w:val="00954A8F"/>
    <w:rsid w:val="00956F4B"/>
    <w:rsid w:val="0095779D"/>
    <w:rsid w:val="00957E73"/>
    <w:rsid w:val="0096135C"/>
    <w:rsid w:val="0096638E"/>
    <w:rsid w:val="00970996"/>
    <w:rsid w:val="00971118"/>
    <w:rsid w:val="009727D8"/>
    <w:rsid w:val="009746D7"/>
    <w:rsid w:val="00975436"/>
    <w:rsid w:val="0097600E"/>
    <w:rsid w:val="009778EF"/>
    <w:rsid w:val="009808B4"/>
    <w:rsid w:val="00983391"/>
    <w:rsid w:val="00983406"/>
    <w:rsid w:val="0098363A"/>
    <w:rsid w:val="00984821"/>
    <w:rsid w:val="00984856"/>
    <w:rsid w:val="00986746"/>
    <w:rsid w:val="0099064F"/>
    <w:rsid w:val="009938F4"/>
    <w:rsid w:val="00993CF7"/>
    <w:rsid w:val="009947E1"/>
    <w:rsid w:val="0099538A"/>
    <w:rsid w:val="009961A7"/>
    <w:rsid w:val="0099716A"/>
    <w:rsid w:val="009A0593"/>
    <w:rsid w:val="009A1BE5"/>
    <w:rsid w:val="009A270D"/>
    <w:rsid w:val="009A2797"/>
    <w:rsid w:val="009A27FB"/>
    <w:rsid w:val="009A2C14"/>
    <w:rsid w:val="009A3D97"/>
    <w:rsid w:val="009A3ED6"/>
    <w:rsid w:val="009A4D63"/>
    <w:rsid w:val="009A598B"/>
    <w:rsid w:val="009A5AAE"/>
    <w:rsid w:val="009A698B"/>
    <w:rsid w:val="009A6B84"/>
    <w:rsid w:val="009B045B"/>
    <w:rsid w:val="009B2473"/>
    <w:rsid w:val="009B2D86"/>
    <w:rsid w:val="009B3914"/>
    <w:rsid w:val="009B3F94"/>
    <w:rsid w:val="009B4565"/>
    <w:rsid w:val="009B5E70"/>
    <w:rsid w:val="009B621A"/>
    <w:rsid w:val="009B672F"/>
    <w:rsid w:val="009B6EAB"/>
    <w:rsid w:val="009B718D"/>
    <w:rsid w:val="009C0BCC"/>
    <w:rsid w:val="009C0F31"/>
    <w:rsid w:val="009C2849"/>
    <w:rsid w:val="009C37ED"/>
    <w:rsid w:val="009C3FA3"/>
    <w:rsid w:val="009C45D9"/>
    <w:rsid w:val="009C5C16"/>
    <w:rsid w:val="009C5DCB"/>
    <w:rsid w:val="009C6530"/>
    <w:rsid w:val="009C6F32"/>
    <w:rsid w:val="009D2A82"/>
    <w:rsid w:val="009D2BEF"/>
    <w:rsid w:val="009D39F5"/>
    <w:rsid w:val="009D4373"/>
    <w:rsid w:val="009D7187"/>
    <w:rsid w:val="009D783B"/>
    <w:rsid w:val="009E01DD"/>
    <w:rsid w:val="009E1A32"/>
    <w:rsid w:val="009E29DD"/>
    <w:rsid w:val="009E3D61"/>
    <w:rsid w:val="009E547A"/>
    <w:rsid w:val="009E78E3"/>
    <w:rsid w:val="009F1231"/>
    <w:rsid w:val="009F1370"/>
    <w:rsid w:val="009F22AC"/>
    <w:rsid w:val="009F30C8"/>
    <w:rsid w:val="009F4054"/>
    <w:rsid w:val="009F5618"/>
    <w:rsid w:val="009F6862"/>
    <w:rsid w:val="009F69BD"/>
    <w:rsid w:val="00A00C2B"/>
    <w:rsid w:val="00A0107E"/>
    <w:rsid w:val="00A015CA"/>
    <w:rsid w:val="00A02F7D"/>
    <w:rsid w:val="00A03791"/>
    <w:rsid w:val="00A0416A"/>
    <w:rsid w:val="00A06657"/>
    <w:rsid w:val="00A12DA0"/>
    <w:rsid w:val="00A16DFA"/>
    <w:rsid w:val="00A17C0A"/>
    <w:rsid w:val="00A22FA7"/>
    <w:rsid w:val="00A238D0"/>
    <w:rsid w:val="00A242EA"/>
    <w:rsid w:val="00A24F14"/>
    <w:rsid w:val="00A25AD6"/>
    <w:rsid w:val="00A26327"/>
    <w:rsid w:val="00A33919"/>
    <w:rsid w:val="00A35EEA"/>
    <w:rsid w:val="00A3601F"/>
    <w:rsid w:val="00A36968"/>
    <w:rsid w:val="00A3710F"/>
    <w:rsid w:val="00A407D1"/>
    <w:rsid w:val="00A40BA3"/>
    <w:rsid w:val="00A41149"/>
    <w:rsid w:val="00A41349"/>
    <w:rsid w:val="00A430A8"/>
    <w:rsid w:val="00A44745"/>
    <w:rsid w:val="00A44F15"/>
    <w:rsid w:val="00A47716"/>
    <w:rsid w:val="00A47B7B"/>
    <w:rsid w:val="00A50621"/>
    <w:rsid w:val="00A53199"/>
    <w:rsid w:val="00A53AB2"/>
    <w:rsid w:val="00A54175"/>
    <w:rsid w:val="00A56809"/>
    <w:rsid w:val="00A57D1A"/>
    <w:rsid w:val="00A60D9A"/>
    <w:rsid w:val="00A62646"/>
    <w:rsid w:val="00A63A07"/>
    <w:rsid w:val="00A646C6"/>
    <w:rsid w:val="00A654A2"/>
    <w:rsid w:val="00A66335"/>
    <w:rsid w:val="00A67102"/>
    <w:rsid w:val="00A67183"/>
    <w:rsid w:val="00A6740F"/>
    <w:rsid w:val="00A70079"/>
    <w:rsid w:val="00A76391"/>
    <w:rsid w:val="00A76452"/>
    <w:rsid w:val="00A767CD"/>
    <w:rsid w:val="00A77427"/>
    <w:rsid w:val="00A81E0E"/>
    <w:rsid w:val="00A8211E"/>
    <w:rsid w:val="00A83ABD"/>
    <w:rsid w:val="00A83F5F"/>
    <w:rsid w:val="00A84DF8"/>
    <w:rsid w:val="00A857C4"/>
    <w:rsid w:val="00A863F0"/>
    <w:rsid w:val="00A86D3D"/>
    <w:rsid w:val="00A87718"/>
    <w:rsid w:val="00A9008A"/>
    <w:rsid w:val="00A9013E"/>
    <w:rsid w:val="00A915F3"/>
    <w:rsid w:val="00A939E1"/>
    <w:rsid w:val="00A94B17"/>
    <w:rsid w:val="00A94F1F"/>
    <w:rsid w:val="00A95347"/>
    <w:rsid w:val="00A954FE"/>
    <w:rsid w:val="00A957FB"/>
    <w:rsid w:val="00A959AD"/>
    <w:rsid w:val="00A966BA"/>
    <w:rsid w:val="00AA083C"/>
    <w:rsid w:val="00AA20D8"/>
    <w:rsid w:val="00AA2D5A"/>
    <w:rsid w:val="00AA33DF"/>
    <w:rsid w:val="00AA45D1"/>
    <w:rsid w:val="00AA471D"/>
    <w:rsid w:val="00AA4B1C"/>
    <w:rsid w:val="00AA56E0"/>
    <w:rsid w:val="00AA6188"/>
    <w:rsid w:val="00AA7AD0"/>
    <w:rsid w:val="00AA7E33"/>
    <w:rsid w:val="00AB1750"/>
    <w:rsid w:val="00AB1865"/>
    <w:rsid w:val="00AB265E"/>
    <w:rsid w:val="00AB2948"/>
    <w:rsid w:val="00AB33AB"/>
    <w:rsid w:val="00AB39FA"/>
    <w:rsid w:val="00AB3B30"/>
    <w:rsid w:val="00AB3FA6"/>
    <w:rsid w:val="00AB426C"/>
    <w:rsid w:val="00AB451C"/>
    <w:rsid w:val="00AB5087"/>
    <w:rsid w:val="00AB59F2"/>
    <w:rsid w:val="00AB79A2"/>
    <w:rsid w:val="00AC34A6"/>
    <w:rsid w:val="00AC3E62"/>
    <w:rsid w:val="00AC4C77"/>
    <w:rsid w:val="00AC5AF9"/>
    <w:rsid w:val="00AC6192"/>
    <w:rsid w:val="00AC7DE1"/>
    <w:rsid w:val="00AD1ECA"/>
    <w:rsid w:val="00AD2A32"/>
    <w:rsid w:val="00AD2F03"/>
    <w:rsid w:val="00AD3381"/>
    <w:rsid w:val="00AD4A55"/>
    <w:rsid w:val="00AD57FE"/>
    <w:rsid w:val="00AD6933"/>
    <w:rsid w:val="00AD6B7B"/>
    <w:rsid w:val="00AD77D7"/>
    <w:rsid w:val="00AD7CAB"/>
    <w:rsid w:val="00AD7E02"/>
    <w:rsid w:val="00AE0D6A"/>
    <w:rsid w:val="00AE10BE"/>
    <w:rsid w:val="00AE16C9"/>
    <w:rsid w:val="00AE3EF5"/>
    <w:rsid w:val="00AE4F2A"/>
    <w:rsid w:val="00AE5F33"/>
    <w:rsid w:val="00AE6088"/>
    <w:rsid w:val="00AE7CD0"/>
    <w:rsid w:val="00AF0AD5"/>
    <w:rsid w:val="00AF15E6"/>
    <w:rsid w:val="00AF2024"/>
    <w:rsid w:val="00AF228B"/>
    <w:rsid w:val="00AF51E7"/>
    <w:rsid w:val="00AF57F9"/>
    <w:rsid w:val="00AF6744"/>
    <w:rsid w:val="00AF68E1"/>
    <w:rsid w:val="00AF6E7E"/>
    <w:rsid w:val="00B01478"/>
    <w:rsid w:val="00B015DF"/>
    <w:rsid w:val="00B023B9"/>
    <w:rsid w:val="00B0283E"/>
    <w:rsid w:val="00B040C7"/>
    <w:rsid w:val="00B05620"/>
    <w:rsid w:val="00B07409"/>
    <w:rsid w:val="00B12E05"/>
    <w:rsid w:val="00B12EBE"/>
    <w:rsid w:val="00B1546F"/>
    <w:rsid w:val="00B16431"/>
    <w:rsid w:val="00B166A4"/>
    <w:rsid w:val="00B219B7"/>
    <w:rsid w:val="00B22EA4"/>
    <w:rsid w:val="00B24613"/>
    <w:rsid w:val="00B25038"/>
    <w:rsid w:val="00B251B2"/>
    <w:rsid w:val="00B27FF1"/>
    <w:rsid w:val="00B3159A"/>
    <w:rsid w:val="00B33465"/>
    <w:rsid w:val="00B35C09"/>
    <w:rsid w:val="00B36F26"/>
    <w:rsid w:val="00B379C5"/>
    <w:rsid w:val="00B4062A"/>
    <w:rsid w:val="00B4183F"/>
    <w:rsid w:val="00B41BAA"/>
    <w:rsid w:val="00B41FB2"/>
    <w:rsid w:val="00B42198"/>
    <w:rsid w:val="00B43E72"/>
    <w:rsid w:val="00B468F5"/>
    <w:rsid w:val="00B46AD2"/>
    <w:rsid w:val="00B512E1"/>
    <w:rsid w:val="00B5187A"/>
    <w:rsid w:val="00B52D7A"/>
    <w:rsid w:val="00B5502A"/>
    <w:rsid w:val="00B6038F"/>
    <w:rsid w:val="00B61788"/>
    <w:rsid w:val="00B61904"/>
    <w:rsid w:val="00B64BBE"/>
    <w:rsid w:val="00B64C88"/>
    <w:rsid w:val="00B658C1"/>
    <w:rsid w:val="00B67DE1"/>
    <w:rsid w:val="00B70CC6"/>
    <w:rsid w:val="00B71592"/>
    <w:rsid w:val="00B71A51"/>
    <w:rsid w:val="00B73894"/>
    <w:rsid w:val="00B73BA2"/>
    <w:rsid w:val="00B8193F"/>
    <w:rsid w:val="00B82A82"/>
    <w:rsid w:val="00B82B4C"/>
    <w:rsid w:val="00B83311"/>
    <w:rsid w:val="00B8473D"/>
    <w:rsid w:val="00B849F5"/>
    <w:rsid w:val="00B87808"/>
    <w:rsid w:val="00B90410"/>
    <w:rsid w:val="00B90E10"/>
    <w:rsid w:val="00B928B5"/>
    <w:rsid w:val="00B964CA"/>
    <w:rsid w:val="00BA195F"/>
    <w:rsid w:val="00BA31C4"/>
    <w:rsid w:val="00BA3962"/>
    <w:rsid w:val="00BA3B56"/>
    <w:rsid w:val="00BA420F"/>
    <w:rsid w:val="00BA4655"/>
    <w:rsid w:val="00BA74C5"/>
    <w:rsid w:val="00BA78B6"/>
    <w:rsid w:val="00BA7935"/>
    <w:rsid w:val="00BB047B"/>
    <w:rsid w:val="00BB1942"/>
    <w:rsid w:val="00BB2661"/>
    <w:rsid w:val="00BB3F3D"/>
    <w:rsid w:val="00BB417D"/>
    <w:rsid w:val="00BB4818"/>
    <w:rsid w:val="00BB4AF3"/>
    <w:rsid w:val="00BB4B7C"/>
    <w:rsid w:val="00BB5F52"/>
    <w:rsid w:val="00BB6398"/>
    <w:rsid w:val="00BB6861"/>
    <w:rsid w:val="00BB7062"/>
    <w:rsid w:val="00BC25EF"/>
    <w:rsid w:val="00BC2DAF"/>
    <w:rsid w:val="00BC47A9"/>
    <w:rsid w:val="00BC4FD3"/>
    <w:rsid w:val="00BC6827"/>
    <w:rsid w:val="00BC6C7A"/>
    <w:rsid w:val="00BC7C94"/>
    <w:rsid w:val="00BC7D9E"/>
    <w:rsid w:val="00BD0372"/>
    <w:rsid w:val="00BD1932"/>
    <w:rsid w:val="00BD347A"/>
    <w:rsid w:val="00BD44F5"/>
    <w:rsid w:val="00BD52FB"/>
    <w:rsid w:val="00BD5CEF"/>
    <w:rsid w:val="00BD606E"/>
    <w:rsid w:val="00BD7831"/>
    <w:rsid w:val="00BE0796"/>
    <w:rsid w:val="00BE318E"/>
    <w:rsid w:val="00BE3583"/>
    <w:rsid w:val="00BE3BE7"/>
    <w:rsid w:val="00BE4340"/>
    <w:rsid w:val="00BE586F"/>
    <w:rsid w:val="00BE5C41"/>
    <w:rsid w:val="00BE642B"/>
    <w:rsid w:val="00BF04A4"/>
    <w:rsid w:val="00BF0646"/>
    <w:rsid w:val="00BF15DD"/>
    <w:rsid w:val="00BF1C32"/>
    <w:rsid w:val="00BF49D6"/>
    <w:rsid w:val="00BF51AE"/>
    <w:rsid w:val="00BF7169"/>
    <w:rsid w:val="00BF76A6"/>
    <w:rsid w:val="00C0068D"/>
    <w:rsid w:val="00C01F23"/>
    <w:rsid w:val="00C03802"/>
    <w:rsid w:val="00C03FCB"/>
    <w:rsid w:val="00C044BE"/>
    <w:rsid w:val="00C04BAB"/>
    <w:rsid w:val="00C05130"/>
    <w:rsid w:val="00C0607B"/>
    <w:rsid w:val="00C06DEF"/>
    <w:rsid w:val="00C072C0"/>
    <w:rsid w:val="00C075A2"/>
    <w:rsid w:val="00C07985"/>
    <w:rsid w:val="00C107CB"/>
    <w:rsid w:val="00C118C4"/>
    <w:rsid w:val="00C11F58"/>
    <w:rsid w:val="00C120D7"/>
    <w:rsid w:val="00C132D1"/>
    <w:rsid w:val="00C139CA"/>
    <w:rsid w:val="00C13A7D"/>
    <w:rsid w:val="00C14393"/>
    <w:rsid w:val="00C17870"/>
    <w:rsid w:val="00C2221D"/>
    <w:rsid w:val="00C232FA"/>
    <w:rsid w:val="00C241A8"/>
    <w:rsid w:val="00C24690"/>
    <w:rsid w:val="00C24ABA"/>
    <w:rsid w:val="00C264CB"/>
    <w:rsid w:val="00C27826"/>
    <w:rsid w:val="00C30D11"/>
    <w:rsid w:val="00C31253"/>
    <w:rsid w:val="00C32A84"/>
    <w:rsid w:val="00C34D56"/>
    <w:rsid w:val="00C35129"/>
    <w:rsid w:val="00C351D4"/>
    <w:rsid w:val="00C35E00"/>
    <w:rsid w:val="00C37AAA"/>
    <w:rsid w:val="00C419DB"/>
    <w:rsid w:val="00C42BBE"/>
    <w:rsid w:val="00C457FF"/>
    <w:rsid w:val="00C476F1"/>
    <w:rsid w:val="00C51429"/>
    <w:rsid w:val="00C51CCD"/>
    <w:rsid w:val="00C51E8F"/>
    <w:rsid w:val="00C52CE9"/>
    <w:rsid w:val="00C52FC0"/>
    <w:rsid w:val="00C53C0C"/>
    <w:rsid w:val="00C53F9E"/>
    <w:rsid w:val="00C559E9"/>
    <w:rsid w:val="00C559F9"/>
    <w:rsid w:val="00C568E2"/>
    <w:rsid w:val="00C608C1"/>
    <w:rsid w:val="00C61074"/>
    <w:rsid w:val="00C63D4E"/>
    <w:rsid w:val="00C63EA9"/>
    <w:rsid w:val="00C63F74"/>
    <w:rsid w:val="00C64F65"/>
    <w:rsid w:val="00C665A0"/>
    <w:rsid w:val="00C66A6C"/>
    <w:rsid w:val="00C67725"/>
    <w:rsid w:val="00C67BD1"/>
    <w:rsid w:val="00C700F3"/>
    <w:rsid w:val="00C7092F"/>
    <w:rsid w:val="00C72C7C"/>
    <w:rsid w:val="00C76BB8"/>
    <w:rsid w:val="00C76CDA"/>
    <w:rsid w:val="00C76DDA"/>
    <w:rsid w:val="00C770F4"/>
    <w:rsid w:val="00C77A2A"/>
    <w:rsid w:val="00C80216"/>
    <w:rsid w:val="00C8022E"/>
    <w:rsid w:val="00C807B3"/>
    <w:rsid w:val="00C825C9"/>
    <w:rsid w:val="00C82771"/>
    <w:rsid w:val="00C82D99"/>
    <w:rsid w:val="00C841EE"/>
    <w:rsid w:val="00C85846"/>
    <w:rsid w:val="00C86CC3"/>
    <w:rsid w:val="00C86E37"/>
    <w:rsid w:val="00C901B1"/>
    <w:rsid w:val="00C9041D"/>
    <w:rsid w:val="00C90EBC"/>
    <w:rsid w:val="00C915F1"/>
    <w:rsid w:val="00C91B69"/>
    <w:rsid w:val="00C91CEC"/>
    <w:rsid w:val="00C9257B"/>
    <w:rsid w:val="00C92F3D"/>
    <w:rsid w:val="00C931B6"/>
    <w:rsid w:val="00C97064"/>
    <w:rsid w:val="00C979A3"/>
    <w:rsid w:val="00C97BDE"/>
    <w:rsid w:val="00CA2545"/>
    <w:rsid w:val="00CA26BC"/>
    <w:rsid w:val="00CA3856"/>
    <w:rsid w:val="00CA5A3F"/>
    <w:rsid w:val="00CA67E0"/>
    <w:rsid w:val="00CB0122"/>
    <w:rsid w:val="00CB0269"/>
    <w:rsid w:val="00CB0833"/>
    <w:rsid w:val="00CB0AA9"/>
    <w:rsid w:val="00CB18F5"/>
    <w:rsid w:val="00CB3C17"/>
    <w:rsid w:val="00CB728D"/>
    <w:rsid w:val="00CC008E"/>
    <w:rsid w:val="00CC02ED"/>
    <w:rsid w:val="00CC120C"/>
    <w:rsid w:val="00CC4D7F"/>
    <w:rsid w:val="00CC5212"/>
    <w:rsid w:val="00CC53D2"/>
    <w:rsid w:val="00CC5F09"/>
    <w:rsid w:val="00CC6088"/>
    <w:rsid w:val="00CC63EB"/>
    <w:rsid w:val="00CD01F2"/>
    <w:rsid w:val="00CD022A"/>
    <w:rsid w:val="00CD03BE"/>
    <w:rsid w:val="00CD0707"/>
    <w:rsid w:val="00CD175F"/>
    <w:rsid w:val="00CD1A25"/>
    <w:rsid w:val="00CD2E16"/>
    <w:rsid w:val="00CD65E7"/>
    <w:rsid w:val="00CD6A22"/>
    <w:rsid w:val="00CD6BD4"/>
    <w:rsid w:val="00CD7BFC"/>
    <w:rsid w:val="00CE2B95"/>
    <w:rsid w:val="00CE2C31"/>
    <w:rsid w:val="00CE2F1A"/>
    <w:rsid w:val="00CE2FC7"/>
    <w:rsid w:val="00CE3DFD"/>
    <w:rsid w:val="00CE41A1"/>
    <w:rsid w:val="00CE4DD0"/>
    <w:rsid w:val="00CF0808"/>
    <w:rsid w:val="00CF1A11"/>
    <w:rsid w:val="00CF30FC"/>
    <w:rsid w:val="00CF4286"/>
    <w:rsid w:val="00CF5CB2"/>
    <w:rsid w:val="00D01B9F"/>
    <w:rsid w:val="00D030B5"/>
    <w:rsid w:val="00D03B38"/>
    <w:rsid w:val="00D03F87"/>
    <w:rsid w:val="00D04CD4"/>
    <w:rsid w:val="00D0672C"/>
    <w:rsid w:val="00D07174"/>
    <w:rsid w:val="00D12095"/>
    <w:rsid w:val="00D12323"/>
    <w:rsid w:val="00D13139"/>
    <w:rsid w:val="00D17C36"/>
    <w:rsid w:val="00D21AEC"/>
    <w:rsid w:val="00D221E0"/>
    <w:rsid w:val="00D22D06"/>
    <w:rsid w:val="00D2384F"/>
    <w:rsid w:val="00D24772"/>
    <w:rsid w:val="00D26E91"/>
    <w:rsid w:val="00D27023"/>
    <w:rsid w:val="00D272A6"/>
    <w:rsid w:val="00D32448"/>
    <w:rsid w:val="00D3331E"/>
    <w:rsid w:val="00D3441D"/>
    <w:rsid w:val="00D34FDE"/>
    <w:rsid w:val="00D35297"/>
    <w:rsid w:val="00D355C4"/>
    <w:rsid w:val="00D3612A"/>
    <w:rsid w:val="00D37703"/>
    <w:rsid w:val="00D37DBF"/>
    <w:rsid w:val="00D37F25"/>
    <w:rsid w:val="00D409DB"/>
    <w:rsid w:val="00D42F4F"/>
    <w:rsid w:val="00D44141"/>
    <w:rsid w:val="00D44439"/>
    <w:rsid w:val="00D44E09"/>
    <w:rsid w:val="00D45CFC"/>
    <w:rsid w:val="00D4761B"/>
    <w:rsid w:val="00D50878"/>
    <w:rsid w:val="00D56A53"/>
    <w:rsid w:val="00D61C5E"/>
    <w:rsid w:val="00D62AB9"/>
    <w:rsid w:val="00D6324F"/>
    <w:rsid w:val="00D63458"/>
    <w:rsid w:val="00D66572"/>
    <w:rsid w:val="00D667CA"/>
    <w:rsid w:val="00D66D37"/>
    <w:rsid w:val="00D67A7E"/>
    <w:rsid w:val="00D70CD9"/>
    <w:rsid w:val="00D717FA"/>
    <w:rsid w:val="00D73A46"/>
    <w:rsid w:val="00D7475D"/>
    <w:rsid w:val="00D750CC"/>
    <w:rsid w:val="00D758DC"/>
    <w:rsid w:val="00D83B94"/>
    <w:rsid w:val="00D84369"/>
    <w:rsid w:val="00D84C8F"/>
    <w:rsid w:val="00D84EDF"/>
    <w:rsid w:val="00D86C85"/>
    <w:rsid w:val="00D873AD"/>
    <w:rsid w:val="00D87BED"/>
    <w:rsid w:val="00D901EB"/>
    <w:rsid w:val="00D90BEE"/>
    <w:rsid w:val="00D91919"/>
    <w:rsid w:val="00D91AAC"/>
    <w:rsid w:val="00D91C06"/>
    <w:rsid w:val="00D91C9F"/>
    <w:rsid w:val="00D92427"/>
    <w:rsid w:val="00D932B0"/>
    <w:rsid w:val="00D93FD1"/>
    <w:rsid w:val="00D95F36"/>
    <w:rsid w:val="00D963C1"/>
    <w:rsid w:val="00D964B4"/>
    <w:rsid w:val="00DA08F5"/>
    <w:rsid w:val="00DA1246"/>
    <w:rsid w:val="00DA14C6"/>
    <w:rsid w:val="00DA2ADC"/>
    <w:rsid w:val="00DA655E"/>
    <w:rsid w:val="00DA7357"/>
    <w:rsid w:val="00DB01E2"/>
    <w:rsid w:val="00DB0764"/>
    <w:rsid w:val="00DB320E"/>
    <w:rsid w:val="00DB3506"/>
    <w:rsid w:val="00DB7A9A"/>
    <w:rsid w:val="00DC3177"/>
    <w:rsid w:val="00DC3276"/>
    <w:rsid w:val="00DD05BD"/>
    <w:rsid w:val="00DD13AB"/>
    <w:rsid w:val="00DD171D"/>
    <w:rsid w:val="00DD1EC8"/>
    <w:rsid w:val="00DD2841"/>
    <w:rsid w:val="00DD2ABE"/>
    <w:rsid w:val="00DD37D8"/>
    <w:rsid w:val="00DD4EB5"/>
    <w:rsid w:val="00DD5902"/>
    <w:rsid w:val="00DD6AD6"/>
    <w:rsid w:val="00DE01A4"/>
    <w:rsid w:val="00DE2084"/>
    <w:rsid w:val="00DE3E40"/>
    <w:rsid w:val="00DE4597"/>
    <w:rsid w:val="00DE4F6D"/>
    <w:rsid w:val="00DE51BB"/>
    <w:rsid w:val="00DE5AE0"/>
    <w:rsid w:val="00DE5FD5"/>
    <w:rsid w:val="00DE643F"/>
    <w:rsid w:val="00DE6E39"/>
    <w:rsid w:val="00DF2789"/>
    <w:rsid w:val="00DF4415"/>
    <w:rsid w:val="00DF5C2E"/>
    <w:rsid w:val="00DF6840"/>
    <w:rsid w:val="00E007A2"/>
    <w:rsid w:val="00E007BD"/>
    <w:rsid w:val="00E010AB"/>
    <w:rsid w:val="00E015AD"/>
    <w:rsid w:val="00E0233F"/>
    <w:rsid w:val="00E02678"/>
    <w:rsid w:val="00E050EC"/>
    <w:rsid w:val="00E051C9"/>
    <w:rsid w:val="00E060BD"/>
    <w:rsid w:val="00E06262"/>
    <w:rsid w:val="00E0748A"/>
    <w:rsid w:val="00E111E4"/>
    <w:rsid w:val="00E112B6"/>
    <w:rsid w:val="00E128A9"/>
    <w:rsid w:val="00E143DA"/>
    <w:rsid w:val="00E144A2"/>
    <w:rsid w:val="00E14BA3"/>
    <w:rsid w:val="00E16744"/>
    <w:rsid w:val="00E177C2"/>
    <w:rsid w:val="00E2034B"/>
    <w:rsid w:val="00E21483"/>
    <w:rsid w:val="00E25953"/>
    <w:rsid w:val="00E27F5A"/>
    <w:rsid w:val="00E310C0"/>
    <w:rsid w:val="00E32BEA"/>
    <w:rsid w:val="00E32F5B"/>
    <w:rsid w:val="00E35CC0"/>
    <w:rsid w:val="00E3799F"/>
    <w:rsid w:val="00E37CAC"/>
    <w:rsid w:val="00E37DA2"/>
    <w:rsid w:val="00E40619"/>
    <w:rsid w:val="00E40F47"/>
    <w:rsid w:val="00E4121B"/>
    <w:rsid w:val="00E41641"/>
    <w:rsid w:val="00E42FA4"/>
    <w:rsid w:val="00E43ACF"/>
    <w:rsid w:val="00E4446E"/>
    <w:rsid w:val="00E45864"/>
    <w:rsid w:val="00E4622C"/>
    <w:rsid w:val="00E46402"/>
    <w:rsid w:val="00E46AA0"/>
    <w:rsid w:val="00E47F40"/>
    <w:rsid w:val="00E51CAE"/>
    <w:rsid w:val="00E51FFB"/>
    <w:rsid w:val="00E52DD3"/>
    <w:rsid w:val="00E53D7B"/>
    <w:rsid w:val="00E54422"/>
    <w:rsid w:val="00E5471E"/>
    <w:rsid w:val="00E54B1F"/>
    <w:rsid w:val="00E558A4"/>
    <w:rsid w:val="00E56B8C"/>
    <w:rsid w:val="00E56FEB"/>
    <w:rsid w:val="00E57181"/>
    <w:rsid w:val="00E576D9"/>
    <w:rsid w:val="00E6227A"/>
    <w:rsid w:val="00E65C76"/>
    <w:rsid w:val="00E65EA1"/>
    <w:rsid w:val="00E6605D"/>
    <w:rsid w:val="00E6611F"/>
    <w:rsid w:val="00E72CD3"/>
    <w:rsid w:val="00E74693"/>
    <w:rsid w:val="00E75676"/>
    <w:rsid w:val="00E757E7"/>
    <w:rsid w:val="00E82920"/>
    <w:rsid w:val="00E851BA"/>
    <w:rsid w:val="00E90510"/>
    <w:rsid w:val="00E9168B"/>
    <w:rsid w:val="00E923A0"/>
    <w:rsid w:val="00E9265B"/>
    <w:rsid w:val="00E92790"/>
    <w:rsid w:val="00E943F7"/>
    <w:rsid w:val="00E95253"/>
    <w:rsid w:val="00E95414"/>
    <w:rsid w:val="00E9668C"/>
    <w:rsid w:val="00E978F3"/>
    <w:rsid w:val="00EA0795"/>
    <w:rsid w:val="00EA1CB1"/>
    <w:rsid w:val="00EA1EC2"/>
    <w:rsid w:val="00EA6125"/>
    <w:rsid w:val="00EA6198"/>
    <w:rsid w:val="00EA6AFA"/>
    <w:rsid w:val="00EB3415"/>
    <w:rsid w:val="00EB5ADC"/>
    <w:rsid w:val="00EC0435"/>
    <w:rsid w:val="00EC0C3D"/>
    <w:rsid w:val="00EC13EC"/>
    <w:rsid w:val="00EC2295"/>
    <w:rsid w:val="00EC66A4"/>
    <w:rsid w:val="00EC7180"/>
    <w:rsid w:val="00ED209D"/>
    <w:rsid w:val="00ED33C0"/>
    <w:rsid w:val="00ED418D"/>
    <w:rsid w:val="00ED46C4"/>
    <w:rsid w:val="00ED5F88"/>
    <w:rsid w:val="00ED664B"/>
    <w:rsid w:val="00ED7359"/>
    <w:rsid w:val="00ED7C2E"/>
    <w:rsid w:val="00EE06D6"/>
    <w:rsid w:val="00EE1DBC"/>
    <w:rsid w:val="00EE1E6D"/>
    <w:rsid w:val="00EE4440"/>
    <w:rsid w:val="00EE5111"/>
    <w:rsid w:val="00EE5899"/>
    <w:rsid w:val="00EE60CB"/>
    <w:rsid w:val="00EE6895"/>
    <w:rsid w:val="00EE7E3E"/>
    <w:rsid w:val="00EF157F"/>
    <w:rsid w:val="00EF263C"/>
    <w:rsid w:val="00EF2730"/>
    <w:rsid w:val="00EF28D7"/>
    <w:rsid w:val="00EF2DFE"/>
    <w:rsid w:val="00EF59F9"/>
    <w:rsid w:val="00EF6064"/>
    <w:rsid w:val="00F002EE"/>
    <w:rsid w:val="00F0041E"/>
    <w:rsid w:val="00F00439"/>
    <w:rsid w:val="00F01D63"/>
    <w:rsid w:val="00F02BE1"/>
    <w:rsid w:val="00F03786"/>
    <w:rsid w:val="00F05E37"/>
    <w:rsid w:val="00F07897"/>
    <w:rsid w:val="00F07A53"/>
    <w:rsid w:val="00F07EF7"/>
    <w:rsid w:val="00F112AC"/>
    <w:rsid w:val="00F11FE7"/>
    <w:rsid w:val="00F130AD"/>
    <w:rsid w:val="00F16C66"/>
    <w:rsid w:val="00F2002D"/>
    <w:rsid w:val="00F20576"/>
    <w:rsid w:val="00F22093"/>
    <w:rsid w:val="00F227E8"/>
    <w:rsid w:val="00F24647"/>
    <w:rsid w:val="00F26374"/>
    <w:rsid w:val="00F26A9F"/>
    <w:rsid w:val="00F2722A"/>
    <w:rsid w:val="00F30DE4"/>
    <w:rsid w:val="00F32CC5"/>
    <w:rsid w:val="00F331B5"/>
    <w:rsid w:val="00F3396E"/>
    <w:rsid w:val="00F33FA0"/>
    <w:rsid w:val="00F34AF9"/>
    <w:rsid w:val="00F41E62"/>
    <w:rsid w:val="00F42564"/>
    <w:rsid w:val="00F45725"/>
    <w:rsid w:val="00F45F90"/>
    <w:rsid w:val="00F47B58"/>
    <w:rsid w:val="00F47BED"/>
    <w:rsid w:val="00F505BD"/>
    <w:rsid w:val="00F50E93"/>
    <w:rsid w:val="00F512AC"/>
    <w:rsid w:val="00F52523"/>
    <w:rsid w:val="00F53086"/>
    <w:rsid w:val="00F53521"/>
    <w:rsid w:val="00F53991"/>
    <w:rsid w:val="00F54890"/>
    <w:rsid w:val="00F551B8"/>
    <w:rsid w:val="00F55DCF"/>
    <w:rsid w:val="00F565EF"/>
    <w:rsid w:val="00F61722"/>
    <w:rsid w:val="00F617C6"/>
    <w:rsid w:val="00F6208E"/>
    <w:rsid w:val="00F62522"/>
    <w:rsid w:val="00F62EAC"/>
    <w:rsid w:val="00F633CE"/>
    <w:rsid w:val="00F66786"/>
    <w:rsid w:val="00F66A33"/>
    <w:rsid w:val="00F66F7C"/>
    <w:rsid w:val="00F678C3"/>
    <w:rsid w:val="00F70BA5"/>
    <w:rsid w:val="00F71818"/>
    <w:rsid w:val="00F73842"/>
    <w:rsid w:val="00F73B39"/>
    <w:rsid w:val="00F74981"/>
    <w:rsid w:val="00F750C0"/>
    <w:rsid w:val="00F75C04"/>
    <w:rsid w:val="00F80A01"/>
    <w:rsid w:val="00F81650"/>
    <w:rsid w:val="00F84434"/>
    <w:rsid w:val="00F85FF8"/>
    <w:rsid w:val="00F90692"/>
    <w:rsid w:val="00F92D73"/>
    <w:rsid w:val="00F94B24"/>
    <w:rsid w:val="00F95772"/>
    <w:rsid w:val="00F9596D"/>
    <w:rsid w:val="00FA0A5D"/>
    <w:rsid w:val="00FA27ED"/>
    <w:rsid w:val="00FA7332"/>
    <w:rsid w:val="00FB0919"/>
    <w:rsid w:val="00FB1F8D"/>
    <w:rsid w:val="00FB2CA2"/>
    <w:rsid w:val="00FB325E"/>
    <w:rsid w:val="00FB3344"/>
    <w:rsid w:val="00FB3652"/>
    <w:rsid w:val="00FB4289"/>
    <w:rsid w:val="00FB4F8E"/>
    <w:rsid w:val="00FC0149"/>
    <w:rsid w:val="00FC1824"/>
    <w:rsid w:val="00FC2985"/>
    <w:rsid w:val="00FC3853"/>
    <w:rsid w:val="00FC4DED"/>
    <w:rsid w:val="00FC6074"/>
    <w:rsid w:val="00FC6700"/>
    <w:rsid w:val="00FC7254"/>
    <w:rsid w:val="00FC7CBA"/>
    <w:rsid w:val="00FC7F0D"/>
    <w:rsid w:val="00FD008B"/>
    <w:rsid w:val="00FD0E0E"/>
    <w:rsid w:val="00FD12A2"/>
    <w:rsid w:val="00FD4020"/>
    <w:rsid w:val="00FD424D"/>
    <w:rsid w:val="00FD5803"/>
    <w:rsid w:val="00FD599F"/>
    <w:rsid w:val="00FE2CF0"/>
    <w:rsid w:val="00FE30F2"/>
    <w:rsid w:val="00FE3323"/>
    <w:rsid w:val="00FF20D4"/>
    <w:rsid w:val="00FF26B9"/>
    <w:rsid w:val="00FF2AF6"/>
    <w:rsid w:val="00FF3DA7"/>
    <w:rsid w:val="00FF3F44"/>
    <w:rsid w:val="00FF4757"/>
    <w:rsid w:val="00FF491C"/>
    <w:rsid w:val="00FF4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A2C2A1E"/>
  <w15:chartTrackingRefBased/>
  <w15:docId w15:val="{606BE184-8DC2-48FA-88C7-C63789FC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957E73"/>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957E73"/>
    <w:rPr>
      <w:rFonts w:ascii="Arial" w:hAnsi="Arial" w:cs="Arial"/>
      <w:b/>
      <w:bCs/>
      <w:i/>
      <w:iCs/>
      <w:sz w:val="28"/>
      <w:szCs w:val="28"/>
      <w:lang w:val="en-GB" w:eastAsia="en-US" w:bidi="ar-SA"/>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282D7E"/>
    <w:pPr>
      <w:numPr>
        <w:numId w:val="10"/>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133921"/>
    <w:pPr>
      <w:numPr>
        <w:ilvl w:val="1"/>
        <w:numId w:val="10"/>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4"/>
      <w:szCs w:val="24"/>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customStyle="1" w:styleId="UnresolvedMention1">
    <w:name w:val="Unresolved Mention1"/>
    <w:basedOn w:val="DefaultParagraphFont"/>
    <w:uiPriority w:val="99"/>
    <w:semiHidden/>
    <w:unhideWhenUsed/>
    <w:rsid w:val="00C979A3"/>
    <w:rPr>
      <w:color w:val="605E5C"/>
      <w:shd w:val="clear" w:color="auto" w:fill="E1DFDD"/>
    </w:rPr>
  </w:style>
  <w:style w:type="character" w:styleId="UnresolvedMention">
    <w:name w:val="Unresolved Mention"/>
    <w:basedOn w:val="DefaultParagraphFont"/>
    <w:uiPriority w:val="99"/>
    <w:semiHidden/>
    <w:unhideWhenUsed/>
    <w:rsid w:val="00A64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2565">
      <w:bodyDiv w:val="1"/>
      <w:marLeft w:val="0"/>
      <w:marRight w:val="0"/>
      <w:marTop w:val="0"/>
      <w:marBottom w:val="0"/>
      <w:divBdr>
        <w:top w:val="none" w:sz="0" w:space="0" w:color="auto"/>
        <w:left w:val="none" w:sz="0" w:space="0" w:color="auto"/>
        <w:bottom w:val="none" w:sz="0" w:space="0" w:color="auto"/>
        <w:right w:val="none" w:sz="0" w:space="0" w:color="auto"/>
      </w:divBdr>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378021542">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1504860224">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883638275">
      <w:bodyDiv w:val="1"/>
      <w:marLeft w:val="0"/>
      <w:marRight w:val="0"/>
      <w:marTop w:val="0"/>
      <w:marBottom w:val="0"/>
      <w:divBdr>
        <w:top w:val="none" w:sz="0" w:space="0" w:color="auto"/>
        <w:left w:val="none" w:sz="0" w:space="0" w:color="auto"/>
        <w:bottom w:val="none" w:sz="0" w:space="0" w:color="auto"/>
        <w:right w:val="none" w:sz="0" w:space="0" w:color="auto"/>
      </w:divBdr>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proposed/gid-ta10389/documents" TargetMode="External"/><Relationship Id="rId13" Type="http://schemas.openxmlformats.org/officeDocument/2006/relationships/hyperlink" Target="https://www.nice.org.uk/guidance/ta247" TargetMode="External"/><Relationship Id="rId18" Type="http://schemas.openxmlformats.org/officeDocument/2006/relationships/hyperlink" Target="https://www.nice.org.uk/guidance/ta466" TargetMode="External"/><Relationship Id="rId26" Type="http://schemas.openxmlformats.org/officeDocument/2006/relationships/hyperlink" Target="https://www.nice.org.uk/guidance/ta485" TargetMode="External"/><Relationship Id="rId3" Type="http://schemas.openxmlformats.org/officeDocument/2006/relationships/styles" Target="styles.xml"/><Relationship Id="rId21" Type="http://schemas.openxmlformats.org/officeDocument/2006/relationships/hyperlink" Target="https://www.nice.org.uk/guidance/ta247"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nice.org.uk/guidance/ta375" TargetMode="External"/><Relationship Id="rId17" Type="http://schemas.openxmlformats.org/officeDocument/2006/relationships/hyperlink" Target="https://www.nice.org.uk/guidance/ta480" TargetMode="External"/><Relationship Id="rId25" Type="http://schemas.openxmlformats.org/officeDocument/2006/relationships/hyperlink" Target="https://www.nice.org.uk/guidance/ta375" TargetMode="External"/><Relationship Id="rId33" Type="http://schemas.openxmlformats.org/officeDocument/2006/relationships/hyperlink" Target="https://www.nice.org.uk/get-involved/meetings-in-public/technology-appraisal-committee" TargetMode="External"/><Relationship Id="rId2" Type="http://schemas.openxmlformats.org/officeDocument/2006/relationships/numbering" Target="numbering.xml"/><Relationship Id="rId16" Type="http://schemas.openxmlformats.org/officeDocument/2006/relationships/hyperlink" Target="https://www.nice.org.uk/guidance/proposed/gid-ta10389/documents" TargetMode="External"/><Relationship Id="rId20" Type="http://schemas.openxmlformats.org/officeDocument/2006/relationships/hyperlink" Target="https://www.nice.org.uk/guidance/ta485" TargetMode="External"/><Relationship Id="rId29" Type="http://schemas.openxmlformats.org/officeDocument/2006/relationships/hyperlink" Target="http://www.nice.org.uk/guidance/ta3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ta415" TargetMode="External"/><Relationship Id="rId24" Type="http://schemas.openxmlformats.org/officeDocument/2006/relationships/hyperlink" Target="https://pathways.nice.org.uk/pathways/rheumatoid-arthritis" TargetMode="External"/><Relationship Id="rId32" Type="http://schemas.openxmlformats.org/officeDocument/2006/relationships/hyperlink" Target="https://www.nice.org.uk/Get-Involved/Meetings-in-public/Technology-appraisal-Committee/Committee-D-Member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ice.org.uk/guidance/ta195" TargetMode="External"/><Relationship Id="rId23" Type="http://schemas.openxmlformats.org/officeDocument/2006/relationships/hyperlink" Target="https://www.nice.org.uk/guidance/ta225" TargetMode="External"/><Relationship Id="rId28" Type="http://schemas.openxmlformats.org/officeDocument/2006/relationships/hyperlink" Target="http://www.nice.org.uk/guidance/ta375" TargetMode="External"/><Relationship Id="rId36" Type="http://schemas.openxmlformats.org/officeDocument/2006/relationships/fontTable" Target="fontTable.xml"/><Relationship Id="rId10" Type="http://schemas.openxmlformats.org/officeDocument/2006/relationships/hyperlink" Target="https://www.nice.org.uk/guidance/ta485" TargetMode="External"/><Relationship Id="rId19" Type="http://schemas.openxmlformats.org/officeDocument/2006/relationships/hyperlink" Target="https://www.nice.org.uk/guidance/ta375" TargetMode="External"/><Relationship Id="rId31" Type="http://schemas.openxmlformats.org/officeDocument/2006/relationships/hyperlink" Target="http://www.legislation.gov.uk/uksi/2013/259/contents/made" TargetMode="External"/><Relationship Id="rId4" Type="http://schemas.openxmlformats.org/officeDocument/2006/relationships/settings" Target="settings.xml"/><Relationship Id="rId9" Type="http://schemas.openxmlformats.org/officeDocument/2006/relationships/hyperlink" Target="http://www.nice.org.uk/article/pmg19/chapter/Foreword" TargetMode="External"/><Relationship Id="rId14" Type="http://schemas.openxmlformats.org/officeDocument/2006/relationships/hyperlink" Target="https://www.nice.org.uk/guidance/ta225" TargetMode="External"/><Relationship Id="rId22" Type="http://schemas.openxmlformats.org/officeDocument/2006/relationships/hyperlink" Target="https://www.nice.org.uk/guidance/ta195" TargetMode="External"/><Relationship Id="rId27" Type="http://schemas.openxmlformats.org/officeDocument/2006/relationships/hyperlink" Target="https://www.nice.org.uk/guidance/ta375" TargetMode="External"/><Relationship Id="rId30" Type="http://schemas.openxmlformats.org/officeDocument/2006/relationships/hyperlink" Target="http://www.nice.org.uk/guidance/ta375"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NICE\NICE%20Templates\Tech%20App\STA%20old%20and%20new%20process%20ACD%20and%20F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6F442-79AA-4923-8128-1D0803F3C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 old and new process ACD and FAD template</Template>
  <TotalTime>1</TotalTime>
  <Pages>25</Pages>
  <Words>6017</Words>
  <Characters>37590</Characters>
  <Application>Microsoft Office Word</Application>
  <DocSecurity>0</DocSecurity>
  <Lines>313</Lines>
  <Paragraphs>87</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43520</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Alan Moore</dc:creator>
  <cp:keywords/>
  <cp:lastModifiedBy>Ismahan Abdullah</cp:lastModifiedBy>
  <cp:revision>3</cp:revision>
  <cp:lastPrinted>2012-11-14T14:34:00Z</cp:lastPrinted>
  <dcterms:created xsi:type="dcterms:W3CDTF">2020-01-22T10:24:00Z</dcterms:created>
  <dcterms:modified xsi:type="dcterms:W3CDTF">2020-01-23T16:53:00Z</dcterms:modified>
</cp:coreProperties>
</file>