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00640" w14:textId="77777777" w:rsidR="000F48EC" w:rsidRPr="00D1229A" w:rsidRDefault="000F48EC" w:rsidP="0093671F">
      <w:pPr>
        <w:pStyle w:val="Title2"/>
      </w:pPr>
      <w:bookmarkStart w:id="0" w:name="_Hlk41895532"/>
      <w:r w:rsidRPr="00D1229A">
        <w:t>NATIONAL INSTITUTE FOR HEALTH AND C</w:t>
      </w:r>
      <w:r w:rsidR="00CC63EB" w:rsidRPr="00D1229A">
        <w:t>ARE</w:t>
      </w:r>
      <w:r w:rsidRPr="00D1229A">
        <w:t xml:space="preserve"> EXCELLENCE</w:t>
      </w:r>
    </w:p>
    <w:p w14:paraId="2FFC98DF" w14:textId="2D9C2052" w:rsidR="000F48EC" w:rsidRPr="00D1229A" w:rsidRDefault="007A2801" w:rsidP="000069F9">
      <w:pPr>
        <w:pStyle w:val="Title2"/>
      </w:pPr>
      <w:r w:rsidRPr="00D1229A">
        <w:t>Appraisal consultation document</w:t>
      </w:r>
    </w:p>
    <w:p w14:paraId="088171C4" w14:textId="2454FB2C" w:rsidR="000F48EC" w:rsidRPr="00D1229A" w:rsidRDefault="00E436C2" w:rsidP="00034110">
      <w:pPr>
        <w:pStyle w:val="Title1"/>
      </w:pPr>
      <w:r w:rsidRPr="00D1229A">
        <w:t>Caplacizumab for treating acute acquired thrombotic thrombocytopenic purpura</w:t>
      </w:r>
    </w:p>
    <w:p w14:paraId="68F61C01" w14:textId="4FA4AF0F" w:rsidR="007A2801" w:rsidRPr="00D1229A" w:rsidRDefault="007A2801" w:rsidP="00E3142A">
      <w:pPr>
        <w:pStyle w:val="Guidanceissueda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D1229A" w14:paraId="074584D7" w14:textId="77777777" w:rsidTr="00734F5A">
        <w:tc>
          <w:tcPr>
            <w:tcW w:w="8529" w:type="dxa"/>
            <w:shd w:val="clear" w:color="auto" w:fill="auto"/>
          </w:tcPr>
          <w:p w14:paraId="449D4E38" w14:textId="3F0CF0B2" w:rsidR="007A2801" w:rsidRPr="00D1229A" w:rsidRDefault="007A2801" w:rsidP="00734F5A">
            <w:pPr>
              <w:pStyle w:val="NICEnormalsinglespacing"/>
            </w:pPr>
            <w:r w:rsidRPr="00D1229A">
              <w:t xml:space="preserve">The Department of Health and Social Care has asked the National Institute for Health and Care Excellence (NICE) to produce guidance on using </w:t>
            </w:r>
            <w:r w:rsidR="00D1208B" w:rsidRPr="00D1229A">
              <w:t xml:space="preserve">caplacizumab </w:t>
            </w:r>
            <w:r w:rsidRPr="00D1229A">
              <w:t xml:space="preserve">in the NHS in </w:t>
            </w:r>
            <w:r w:rsidR="00584F0C" w:rsidRPr="00D1229A">
              <w:t>England. The</w:t>
            </w:r>
            <w:r w:rsidRPr="00D1229A">
              <w:t xml:space="preserve"> appraisal committee has considered the evidence submitted by the company and the views of non-company consultees and commentators, clinical experts and patient experts. </w:t>
            </w:r>
          </w:p>
          <w:p w14:paraId="61CE9DD9" w14:textId="6E83F470" w:rsidR="007A2801" w:rsidRPr="00D1229A" w:rsidRDefault="007A2801" w:rsidP="00734F5A">
            <w:pPr>
              <w:pStyle w:val="NICEnormalsinglespacing"/>
            </w:pPr>
            <w:r w:rsidRPr="00D1229A">
              <w:rPr>
                <w:b/>
              </w:rPr>
              <w:t>This document has been prepared for consultation with the consultees.</w:t>
            </w:r>
            <w:r w:rsidRPr="00D1229A">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w:t>
            </w:r>
            <w:hyperlink r:id="rId8" w:history="1">
              <w:r w:rsidRPr="00D1229A">
                <w:rPr>
                  <w:rStyle w:val="Hyperlink"/>
                </w:rPr>
                <w:t>committee papers</w:t>
              </w:r>
            </w:hyperlink>
            <w:r w:rsidRPr="00D1229A">
              <w:t>).</w:t>
            </w:r>
          </w:p>
          <w:p w14:paraId="4E8A7010" w14:textId="77777777" w:rsidR="007A2801" w:rsidRPr="00D1229A" w:rsidRDefault="007A2801" w:rsidP="00734F5A">
            <w:pPr>
              <w:pStyle w:val="NICEnormalsinglespacing"/>
            </w:pPr>
            <w:r w:rsidRPr="00D1229A">
              <w:t>The appraisal committee is interested in receiving comments on the following:</w:t>
            </w:r>
          </w:p>
          <w:p w14:paraId="2FF9F4AC" w14:textId="77777777" w:rsidR="007A2801" w:rsidRPr="00D1229A" w:rsidRDefault="007A2801" w:rsidP="00734F5A">
            <w:pPr>
              <w:pStyle w:val="Bulletleft1"/>
              <w:spacing w:line="240" w:lineRule="auto"/>
            </w:pPr>
            <w:r w:rsidRPr="00D1229A">
              <w:t>Has all of the relevant evidence been taken into account?</w:t>
            </w:r>
          </w:p>
          <w:p w14:paraId="232C42AD" w14:textId="77777777" w:rsidR="007A2801" w:rsidRPr="00D1229A" w:rsidRDefault="007A2801" w:rsidP="00734F5A">
            <w:pPr>
              <w:pStyle w:val="Bulletleft1"/>
              <w:spacing w:line="240" w:lineRule="auto"/>
            </w:pPr>
            <w:r w:rsidRPr="00D1229A">
              <w:t>Are the summaries of clinical and cost effectiveness reasonable interpretations of the evidence?</w:t>
            </w:r>
          </w:p>
          <w:p w14:paraId="7406B8AB" w14:textId="77777777" w:rsidR="007A2801" w:rsidRPr="00D1229A" w:rsidRDefault="007A2801" w:rsidP="00734F5A">
            <w:pPr>
              <w:pStyle w:val="Bulletleft1"/>
              <w:spacing w:line="240" w:lineRule="auto"/>
            </w:pPr>
            <w:r w:rsidRPr="00D1229A">
              <w:t>Are the recommendations sound and a suitable basis for guidance to the NHS?</w:t>
            </w:r>
          </w:p>
          <w:p w14:paraId="40E75F73" w14:textId="77777777" w:rsidR="007A2801" w:rsidRPr="00D1229A" w:rsidRDefault="007A2801" w:rsidP="00734F5A">
            <w:pPr>
              <w:pStyle w:val="Bulletleft1"/>
              <w:spacing w:line="240" w:lineRule="auto"/>
            </w:pPr>
            <w:r w:rsidRPr="00D1229A">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1105D937" w14:textId="77777777" w:rsidR="007A2801" w:rsidRPr="00D1229A" w:rsidRDefault="007A2801">
      <w:pPr>
        <w:rPr>
          <w:rFonts w:ascii="Arial" w:hAnsi="Arial"/>
        </w:rPr>
      </w:pPr>
      <w:r w:rsidRPr="00D1229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D1229A" w14:paraId="5AC54594" w14:textId="77777777" w:rsidTr="00734F5A">
        <w:tc>
          <w:tcPr>
            <w:tcW w:w="8529" w:type="dxa"/>
            <w:shd w:val="clear" w:color="auto" w:fill="auto"/>
          </w:tcPr>
          <w:p w14:paraId="286AD3CC" w14:textId="77777777" w:rsidR="007A2801" w:rsidRPr="00D1229A" w:rsidRDefault="007A2801" w:rsidP="00734F5A">
            <w:pPr>
              <w:pStyle w:val="NICEnormalsinglespacing"/>
              <w:rPr>
                <w:b/>
                <w:bCs/>
              </w:rPr>
            </w:pPr>
            <w:r w:rsidRPr="00D1229A">
              <w:rPr>
                <w:b/>
                <w:bCs/>
              </w:rPr>
              <w:lastRenderedPageBreak/>
              <w:t>Note that this document is not NICE's final guidance on this technology. The recommendations in section 1 may change after consultation.</w:t>
            </w:r>
          </w:p>
          <w:p w14:paraId="254BF128" w14:textId="77777777" w:rsidR="007A2801" w:rsidRPr="00D1229A" w:rsidRDefault="007A2801" w:rsidP="00734F5A">
            <w:pPr>
              <w:pStyle w:val="NICEnormalsinglespacing"/>
            </w:pPr>
            <w:r w:rsidRPr="00D1229A">
              <w:t>After consultation:</w:t>
            </w:r>
          </w:p>
          <w:p w14:paraId="6D6F6046" w14:textId="77777777" w:rsidR="007A2801" w:rsidRPr="00D1229A" w:rsidRDefault="007A2801" w:rsidP="00734F5A">
            <w:pPr>
              <w:pStyle w:val="Bulletleft1"/>
              <w:spacing w:line="240" w:lineRule="auto"/>
            </w:pPr>
            <w:r w:rsidRPr="00D1229A">
              <w:t>The appraisal committee will meet again to consider the evidence, this appraisal consultation document and comments from the consultees.</w:t>
            </w:r>
          </w:p>
          <w:p w14:paraId="64CD47FA" w14:textId="77777777" w:rsidR="007A2801" w:rsidRPr="00D1229A" w:rsidRDefault="007A2801" w:rsidP="00734F5A">
            <w:pPr>
              <w:pStyle w:val="Bulletleft1"/>
              <w:spacing w:line="240" w:lineRule="auto"/>
            </w:pPr>
            <w:r w:rsidRPr="00D1229A">
              <w:t>At that meeting, the committee will also consider comments made by people who are not consultees.</w:t>
            </w:r>
          </w:p>
          <w:p w14:paraId="324F270D" w14:textId="77777777" w:rsidR="007A2801" w:rsidRPr="00D1229A" w:rsidRDefault="007A2801" w:rsidP="00734F5A">
            <w:pPr>
              <w:pStyle w:val="Bulletleft1"/>
              <w:spacing w:line="240" w:lineRule="auto"/>
            </w:pPr>
            <w:r w:rsidRPr="00D1229A">
              <w:t>After considering these comments, the committee will prepare the final appraisal document.</w:t>
            </w:r>
          </w:p>
          <w:p w14:paraId="2199E069" w14:textId="2EA11E19" w:rsidR="007A2801" w:rsidRPr="00D1229A" w:rsidRDefault="007A2801" w:rsidP="00734F5A">
            <w:pPr>
              <w:pStyle w:val="Bulletleft1last"/>
              <w:spacing w:line="240" w:lineRule="auto"/>
            </w:pPr>
            <w:r w:rsidRPr="00D1229A">
              <w:t xml:space="preserve">Subject to any appeal by consultees, the final appraisal document may be used as the basis for NICE’s guidance on using </w:t>
            </w:r>
            <w:r w:rsidR="00792A4C" w:rsidRPr="00D1229A">
              <w:t>caplacizumab</w:t>
            </w:r>
            <w:r w:rsidRPr="00D1229A">
              <w:t xml:space="preserve"> in the NHS in England. </w:t>
            </w:r>
          </w:p>
          <w:p w14:paraId="2742E8F3" w14:textId="77777777" w:rsidR="007A2801" w:rsidRPr="00D1229A" w:rsidRDefault="007A2801" w:rsidP="00734F5A">
            <w:pPr>
              <w:pStyle w:val="NICEnormalsinglespacing"/>
            </w:pPr>
            <w:r w:rsidRPr="00D1229A">
              <w:t xml:space="preserve">For further details, see </w:t>
            </w:r>
            <w:hyperlink r:id="rId9" w:history="1">
              <w:r w:rsidRPr="00D1229A">
                <w:rPr>
                  <w:rStyle w:val="Hyperlink"/>
                </w:rPr>
                <w:t>NICE’s guide to the processes of technology appraisal</w:t>
              </w:r>
            </w:hyperlink>
            <w:r w:rsidRPr="00D1229A">
              <w:t>.</w:t>
            </w:r>
          </w:p>
          <w:p w14:paraId="4CEF6CB9" w14:textId="77777777" w:rsidR="007A2801" w:rsidRPr="00D1229A" w:rsidRDefault="007A2801" w:rsidP="00734F5A">
            <w:pPr>
              <w:pStyle w:val="NICEnormalsinglespacing"/>
              <w:rPr>
                <w:b/>
                <w:bCs/>
              </w:rPr>
            </w:pPr>
            <w:r w:rsidRPr="00D1229A">
              <w:rPr>
                <w:b/>
                <w:bCs/>
              </w:rPr>
              <w:t>The key dates for this appraisal are:</w:t>
            </w:r>
          </w:p>
          <w:p w14:paraId="182AC2C3" w14:textId="4138E458" w:rsidR="007A2801" w:rsidRPr="00D1229A" w:rsidRDefault="007A2801" w:rsidP="00734F5A">
            <w:pPr>
              <w:pStyle w:val="NICEnormalsinglespacing"/>
            </w:pPr>
            <w:r w:rsidRPr="00D1229A">
              <w:t xml:space="preserve">Closing date for comments: </w:t>
            </w:r>
            <w:r w:rsidR="00792A4C" w:rsidRPr="00D1229A">
              <w:t>26 June 2020</w:t>
            </w:r>
          </w:p>
          <w:p w14:paraId="3B7E663E" w14:textId="466C5353" w:rsidR="007A2801" w:rsidRPr="00D1229A" w:rsidRDefault="007A2801" w:rsidP="00734F5A">
            <w:pPr>
              <w:pStyle w:val="NICEnormalsinglespacing"/>
            </w:pPr>
            <w:r w:rsidRPr="00D1229A">
              <w:t xml:space="preserve">Second appraisal committee meeting: </w:t>
            </w:r>
            <w:r w:rsidR="00FB1CF9" w:rsidRPr="00D1229A">
              <w:t>16 July 2020</w:t>
            </w:r>
          </w:p>
          <w:p w14:paraId="7B252339" w14:textId="0F5399B2" w:rsidR="007A2801" w:rsidRPr="00D1229A" w:rsidRDefault="007A2801" w:rsidP="00734F5A">
            <w:pPr>
              <w:pStyle w:val="NICEnormalsinglespacing"/>
            </w:pPr>
            <w:r w:rsidRPr="00D1229A">
              <w:t xml:space="preserve">Details of membership of the appraisal committee are given in section </w:t>
            </w:r>
            <w:r w:rsidR="00934E0D">
              <w:t>5</w:t>
            </w:r>
          </w:p>
        </w:tc>
      </w:tr>
    </w:tbl>
    <w:p w14:paraId="5D0B32FA" w14:textId="77777777" w:rsidR="007A2801" w:rsidRPr="00D1229A" w:rsidRDefault="007A2801" w:rsidP="00C76DDA">
      <w:pPr>
        <w:pStyle w:val="NICEnormal"/>
      </w:pPr>
    </w:p>
    <w:p w14:paraId="11AF9676" w14:textId="77777777" w:rsidR="007A2801" w:rsidRPr="00D1229A" w:rsidRDefault="007A2801">
      <w:pPr>
        <w:rPr>
          <w:rFonts w:ascii="Arial" w:hAnsi="Arial"/>
        </w:rPr>
      </w:pPr>
      <w:r w:rsidRPr="00D1229A">
        <w:br w:type="page"/>
      </w:r>
    </w:p>
    <w:p w14:paraId="182BE717" w14:textId="77777777" w:rsidR="000F48EC" w:rsidRPr="00D1229A" w:rsidRDefault="00B379C5" w:rsidP="00F130AD">
      <w:pPr>
        <w:pStyle w:val="Numberedheading1"/>
      </w:pPr>
      <w:r w:rsidRPr="00D1229A">
        <w:lastRenderedPageBreak/>
        <w:t>Recommendations</w:t>
      </w:r>
    </w:p>
    <w:p w14:paraId="5E2DE592" w14:textId="617FA777" w:rsidR="007A2801" w:rsidRPr="00D1229A" w:rsidRDefault="00DC07CA" w:rsidP="00DC07CA">
      <w:pPr>
        <w:pStyle w:val="Numberedlevel2text"/>
        <w:rPr>
          <w:bCs w:val="0"/>
          <w:iCs w:val="0"/>
          <w:lang w:val="en-GB"/>
        </w:rPr>
      </w:pPr>
      <w:r w:rsidRPr="00D1229A">
        <w:rPr>
          <w:bCs w:val="0"/>
          <w:iCs w:val="0"/>
          <w:lang w:val="en-GB"/>
        </w:rPr>
        <w:t>Caplacizumab</w:t>
      </w:r>
      <w:r w:rsidR="00CC2C55" w:rsidRPr="00CC2C55">
        <w:rPr>
          <w:rStyle w:val="NICEnormalChar"/>
          <w:szCs w:val="28"/>
        </w:rPr>
        <w:t xml:space="preserve"> </w:t>
      </w:r>
      <w:r w:rsidR="00CC2C55" w:rsidRPr="00D1229A">
        <w:rPr>
          <w:rStyle w:val="NICEnormalChar"/>
          <w:szCs w:val="28"/>
        </w:rPr>
        <w:t>with plasma exchange and immunosuppression</w:t>
      </w:r>
      <w:r w:rsidRPr="00D1229A">
        <w:rPr>
          <w:bCs w:val="0"/>
          <w:iCs w:val="0"/>
          <w:lang w:val="en-GB"/>
        </w:rPr>
        <w:t xml:space="preserve"> </w:t>
      </w:r>
      <w:r w:rsidR="007A2801" w:rsidRPr="00D1229A">
        <w:rPr>
          <w:bCs w:val="0"/>
          <w:iCs w:val="0"/>
          <w:lang w:val="en-GB"/>
        </w:rPr>
        <w:t xml:space="preserve">is not recommended, within its marketing authorisation, for treating </w:t>
      </w:r>
      <w:r w:rsidRPr="00D1229A">
        <w:rPr>
          <w:bCs w:val="0"/>
          <w:iCs w:val="0"/>
          <w:lang w:val="en-GB"/>
        </w:rPr>
        <w:t xml:space="preserve">an </w:t>
      </w:r>
      <w:r w:rsidR="00014D28">
        <w:rPr>
          <w:bCs w:val="0"/>
          <w:iCs w:val="0"/>
          <w:lang w:val="en-GB"/>
        </w:rPr>
        <w:t xml:space="preserve">acute </w:t>
      </w:r>
      <w:r w:rsidRPr="00D1229A">
        <w:rPr>
          <w:bCs w:val="0"/>
          <w:iCs w:val="0"/>
          <w:lang w:val="en-GB"/>
        </w:rPr>
        <w:t>episode of acquired thrombotic thrombocytopenic purpura (TTP) in adults</w:t>
      </w:r>
      <w:r w:rsidR="000B6D9D">
        <w:rPr>
          <w:bCs w:val="0"/>
          <w:iCs w:val="0"/>
          <w:lang w:val="en-GB"/>
        </w:rPr>
        <w:t>,</w:t>
      </w:r>
      <w:r w:rsidRPr="00D1229A">
        <w:rPr>
          <w:bCs w:val="0"/>
          <w:iCs w:val="0"/>
          <w:lang w:val="en-GB"/>
        </w:rPr>
        <w:t xml:space="preserve"> and </w:t>
      </w:r>
      <w:r w:rsidR="000B6D9D">
        <w:rPr>
          <w:bCs w:val="0"/>
          <w:iCs w:val="0"/>
          <w:lang w:val="en-GB"/>
        </w:rPr>
        <w:t>in young people</w:t>
      </w:r>
      <w:r w:rsidRPr="00D1229A">
        <w:rPr>
          <w:bCs w:val="0"/>
          <w:iCs w:val="0"/>
          <w:lang w:val="en-GB"/>
        </w:rPr>
        <w:t xml:space="preserve"> </w:t>
      </w:r>
      <w:r w:rsidR="000B6D9D">
        <w:rPr>
          <w:bCs w:val="0"/>
          <w:iCs w:val="0"/>
          <w:lang w:val="en-GB"/>
        </w:rPr>
        <w:t xml:space="preserve">aged </w:t>
      </w:r>
      <w:r w:rsidRPr="00D1229A">
        <w:rPr>
          <w:bCs w:val="0"/>
          <w:iCs w:val="0"/>
          <w:lang w:val="en-GB"/>
        </w:rPr>
        <w:t>12</w:t>
      </w:r>
      <w:r w:rsidR="000B6D9D">
        <w:rPr>
          <w:bCs w:val="0"/>
          <w:iCs w:val="0"/>
          <w:lang w:val="en-GB"/>
        </w:rPr>
        <w:t> </w:t>
      </w:r>
      <w:r w:rsidRPr="00D1229A">
        <w:rPr>
          <w:bCs w:val="0"/>
          <w:iCs w:val="0"/>
          <w:lang w:val="en-GB"/>
        </w:rPr>
        <w:t xml:space="preserve">years </w:t>
      </w:r>
      <w:r w:rsidR="00CC2C55">
        <w:rPr>
          <w:bCs w:val="0"/>
          <w:iCs w:val="0"/>
          <w:lang w:val="en-GB"/>
        </w:rPr>
        <w:t>and</w:t>
      </w:r>
      <w:r w:rsidR="00CC2C55" w:rsidRPr="00D1229A">
        <w:rPr>
          <w:bCs w:val="0"/>
          <w:iCs w:val="0"/>
          <w:lang w:val="en-GB"/>
        </w:rPr>
        <w:t xml:space="preserve"> </w:t>
      </w:r>
      <w:r w:rsidRPr="00D1229A">
        <w:rPr>
          <w:bCs w:val="0"/>
          <w:iCs w:val="0"/>
          <w:lang w:val="en-GB"/>
        </w:rPr>
        <w:t xml:space="preserve">over </w:t>
      </w:r>
      <w:r w:rsidR="000B6D9D">
        <w:rPr>
          <w:bCs w:val="0"/>
          <w:iCs w:val="0"/>
          <w:lang w:val="en-GB"/>
        </w:rPr>
        <w:t xml:space="preserve">who </w:t>
      </w:r>
      <w:r w:rsidRPr="00D1229A">
        <w:rPr>
          <w:bCs w:val="0"/>
          <w:iCs w:val="0"/>
          <w:lang w:val="en-GB"/>
        </w:rPr>
        <w:t>weigh at least 40</w:t>
      </w:r>
      <w:r w:rsidR="000B6D9D">
        <w:rPr>
          <w:bCs w:val="0"/>
          <w:iCs w:val="0"/>
          <w:lang w:val="en-GB"/>
        </w:rPr>
        <w:t> </w:t>
      </w:r>
      <w:r w:rsidRPr="00D1229A">
        <w:rPr>
          <w:bCs w:val="0"/>
          <w:iCs w:val="0"/>
          <w:lang w:val="en-GB"/>
        </w:rPr>
        <w:t>k</w:t>
      </w:r>
      <w:r w:rsidR="0070518B">
        <w:rPr>
          <w:bCs w:val="0"/>
          <w:iCs w:val="0"/>
          <w:lang w:val="en-GB"/>
        </w:rPr>
        <w:t>g</w:t>
      </w:r>
      <w:r w:rsidR="000B6D9D">
        <w:rPr>
          <w:bCs w:val="0"/>
          <w:iCs w:val="0"/>
          <w:lang w:val="en-GB"/>
        </w:rPr>
        <w:t>.</w:t>
      </w:r>
    </w:p>
    <w:p w14:paraId="6A38AD46" w14:textId="7446EAAE" w:rsidR="002F2C1A" w:rsidRPr="00D1229A" w:rsidRDefault="002F2C1A" w:rsidP="00DC07CA">
      <w:pPr>
        <w:pStyle w:val="Numberedlevel2text"/>
        <w:numPr>
          <w:ilvl w:val="1"/>
          <w:numId w:val="1"/>
        </w:numPr>
        <w:rPr>
          <w:lang w:val="en-GB"/>
        </w:rPr>
      </w:pPr>
      <w:r w:rsidRPr="00D1229A">
        <w:rPr>
          <w:lang w:val="en-GB"/>
        </w:rPr>
        <w:t>Thi</w:t>
      </w:r>
      <w:r w:rsidR="007C7FB2" w:rsidRPr="00D1229A">
        <w:rPr>
          <w:lang w:val="en-GB"/>
        </w:rPr>
        <w:t>s</w:t>
      </w:r>
      <w:r w:rsidRPr="00D1229A">
        <w:rPr>
          <w:lang w:val="en-GB"/>
        </w:rPr>
        <w:t xml:space="preserve"> recommendation is</w:t>
      </w:r>
      <w:r w:rsidR="007C7FB2" w:rsidRPr="00D1229A">
        <w:rPr>
          <w:lang w:val="en-GB"/>
        </w:rPr>
        <w:t xml:space="preserve"> </w:t>
      </w:r>
      <w:r w:rsidRPr="00D1229A">
        <w:rPr>
          <w:lang w:val="en-GB"/>
        </w:rPr>
        <w:t>not intended to affect treatment wit</w:t>
      </w:r>
      <w:r w:rsidR="007C7FB2" w:rsidRPr="00D1229A">
        <w:rPr>
          <w:lang w:val="en-GB"/>
        </w:rPr>
        <w:t>h caplacizumab</w:t>
      </w:r>
      <w:r w:rsidRPr="00D1229A">
        <w:rPr>
          <w:lang w:val="en-GB"/>
        </w:rPr>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 </w:t>
      </w:r>
      <w:r w:rsidR="002C533E">
        <w:rPr>
          <w:lang w:val="en-GB"/>
        </w:rPr>
        <w:t>For</w:t>
      </w:r>
      <w:r w:rsidR="00E3142A">
        <w:rPr>
          <w:lang w:val="en-GB"/>
        </w:rPr>
        <w:t xml:space="preserve"> young people</w:t>
      </w:r>
      <w:r w:rsidR="002C533E">
        <w:rPr>
          <w:lang w:val="en-GB"/>
        </w:rPr>
        <w:t>,</w:t>
      </w:r>
      <w:r w:rsidR="00E3142A">
        <w:rPr>
          <w:lang w:val="en-GB"/>
        </w:rPr>
        <w:t xml:space="preserve"> t</w:t>
      </w:r>
      <w:r w:rsidRPr="00D1229A">
        <w:rPr>
          <w:lang w:val="en-GB"/>
        </w:rPr>
        <w:t>his decision should be made jointly by</w:t>
      </w:r>
      <w:r w:rsidR="002C533E">
        <w:rPr>
          <w:lang w:val="en-GB"/>
        </w:rPr>
        <w:t xml:space="preserve"> them,</w:t>
      </w:r>
      <w:r w:rsidRPr="00D1229A">
        <w:rPr>
          <w:lang w:val="en-GB"/>
        </w:rPr>
        <w:t xml:space="preserve"> the</w:t>
      </w:r>
      <w:r w:rsidR="002C533E">
        <w:rPr>
          <w:lang w:val="en-GB"/>
        </w:rPr>
        <w:t>ir</w:t>
      </w:r>
      <w:r w:rsidRPr="00D1229A">
        <w:rPr>
          <w:lang w:val="en-GB"/>
        </w:rPr>
        <w:t xml:space="preserve"> clinician</w:t>
      </w:r>
      <w:r w:rsidR="002C533E">
        <w:rPr>
          <w:lang w:val="en-GB"/>
        </w:rPr>
        <w:t xml:space="preserve">, </w:t>
      </w:r>
      <w:r w:rsidRPr="00D1229A">
        <w:rPr>
          <w:lang w:val="en-GB"/>
        </w:rPr>
        <w:t>and</w:t>
      </w:r>
      <w:r w:rsidR="000B6D9D">
        <w:rPr>
          <w:lang w:val="en-GB"/>
        </w:rPr>
        <w:t xml:space="preserve"> their</w:t>
      </w:r>
      <w:r w:rsidRPr="00D1229A">
        <w:rPr>
          <w:lang w:val="en-GB"/>
        </w:rPr>
        <w:t xml:space="preserve"> parents or carers.</w:t>
      </w:r>
    </w:p>
    <w:p w14:paraId="009E484E" w14:textId="77777777" w:rsidR="00C11F58" w:rsidRPr="00D1229A" w:rsidRDefault="00C11F58" w:rsidP="008522C6">
      <w:pPr>
        <w:pStyle w:val="NICEnormal"/>
        <w:rPr>
          <w:b/>
        </w:rPr>
      </w:pPr>
      <w:r w:rsidRPr="00D1229A">
        <w:rPr>
          <w:b/>
        </w:rPr>
        <w:t>Why the committee made these recommendations</w:t>
      </w:r>
    </w:p>
    <w:p w14:paraId="21C9FC5A" w14:textId="5BAFAC28" w:rsidR="00C35C19" w:rsidRDefault="00C35C19" w:rsidP="00C52CE9">
      <w:pPr>
        <w:pStyle w:val="NICEnormal"/>
      </w:pPr>
      <w:r>
        <w:t xml:space="preserve">Standard care for </w:t>
      </w:r>
      <w:r w:rsidR="00502755">
        <w:t xml:space="preserve">an </w:t>
      </w:r>
      <w:r w:rsidR="00C44203">
        <w:t xml:space="preserve">acute </w:t>
      </w:r>
      <w:r w:rsidR="00502755">
        <w:t xml:space="preserve">episode of </w:t>
      </w:r>
      <w:r>
        <w:t>a</w:t>
      </w:r>
      <w:r w:rsidR="00206A4C">
        <w:t xml:space="preserve">cquired </w:t>
      </w:r>
      <w:r>
        <w:t xml:space="preserve">TTP includes </w:t>
      </w:r>
      <w:r w:rsidRPr="00D1229A">
        <w:t>plasma exchange</w:t>
      </w:r>
      <w:r>
        <w:t xml:space="preserve"> and</w:t>
      </w:r>
      <w:r w:rsidRPr="00D1229A">
        <w:t xml:space="preserve"> immunosuppressant medic</w:t>
      </w:r>
      <w:r>
        <w:t>ines.</w:t>
      </w:r>
      <w:r w:rsidR="00EF3029">
        <w:t xml:space="preserve"> </w:t>
      </w:r>
      <w:r>
        <w:t>T</w:t>
      </w:r>
      <w:r w:rsidR="006B5238" w:rsidRPr="00D1229A">
        <w:t xml:space="preserve">rial </w:t>
      </w:r>
      <w:r>
        <w:t xml:space="preserve">results </w:t>
      </w:r>
      <w:r w:rsidR="006B5238" w:rsidRPr="00D1229A">
        <w:t>show that</w:t>
      </w:r>
      <w:r>
        <w:t>,</w:t>
      </w:r>
      <w:r w:rsidR="006B5238" w:rsidRPr="00D1229A">
        <w:t xml:space="preserve"> </w:t>
      </w:r>
      <w:r w:rsidRPr="00D1229A">
        <w:t>compared with standard care alone</w:t>
      </w:r>
      <w:r>
        <w:t>,</w:t>
      </w:r>
      <w:r w:rsidRPr="00D1229A">
        <w:t xml:space="preserve"> </w:t>
      </w:r>
      <w:r w:rsidR="00D65C4D" w:rsidRPr="00D1229A">
        <w:t>c</w:t>
      </w:r>
      <w:r w:rsidR="00AB52BE" w:rsidRPr="00D1229A">
        <w:t xml:space="preserve">aplacizumab </w:t>
      </w:r>
      <w:r w:rsidR="000B6D9D">
        <w:t>plus</w:t>
      </w:r>
      <w:r w:rsidR="00AB52BE" w:rsidRPr="00D1229A">
        <w:t xml:space="preserve"> standard care</w:t>
      </w:r>
      <w:r>
        <w:t xml:space="preserve"> reduces:</w:t>
      </w:r>
    </w:p>
    <w:p w14:paraId="16BE729A" w14:textId="60722B84" w:rsidR="00C35C19" w:rsidRDefault="00AB52BE" w:rsidP="00C35C19">
      <w:pPr>
        <w:pStyle w:val="Bulletleft1"/>
      </w:pPr>
      <w:r w:rsidRPr="00D1229A">
        <w:t>the time it takes to bring platelet levels back to normal</w:t>
      </w:r>
    </w:p>
    <w:p w14:paraId="2A8C0AEA" w14:textId="48F7E378" w:rsidR="00C35C19" w:rsidRDefault="00AB52BE" w:rsidP="00C35C19">
      <w:pPr>
        <w:pStyle w:val="Bulletleft1"/>
      </w:pPr>
      <w:r w:rsidRPr="00D1229A">
        <w:t xml:space="preserve">the number of plasma exchange treatments </w:t>
      </w:r>
      <w:r w:rsidR="00C35C19">
        <w:t>needed</w:t>
      </w:r>
    </w:p>
    <w:p w14:paraId="475E7E82" w14:textId="3593D6D6" w:rsidR="00C35C19" w:rsidRDefault="00AB52BE" w:rsidP="00BF70EC">
      <w:pPr>
        <w:pStyle w:val="Bulletleft1last"/>
      </w:pPr>
      <w:r w:rsidRPr="00D1229A">
        <w:t>time in hospital and intensive care.</w:t>
      </w:r>
    </w:p>
    <w:p w14:paraId="53488A50" w14:textId="5E9F3D9B" w:rsidR="00B8464A" w:rsidRPr="00D1229A" w:rsidRDefault="00C44203" w:rsidP="00672C53">
      <w:pPr>
        <w:pStyle w:val="NICEnormal"/>
      </w:pPr>
      <w:r>
        <w:t>Adding caplacizumab</w:t>
      </w:r>
      <w:r w:rsidR="00AB52BE" w:rsidRPr="00D1229A">
        <w:t xml:space="preserve"> </w:t>
      </w:r>
      <w:r w:rsidR="000B5345">
        <w:t>may</w:t>
      </w:r>
      <w:r w:rsidR="000B5345" w:rsidRPr="00D1229A">
        <w:t xml:space="preserve"> </w:t>
      </w:r>
      <w:r w:rsidR="00AB52BE" w:rsidRPr="00D1229A">
        <w:t>reduce</w:t>
      </w:r>
      <w:r w:rsidR="00C35C19">
        <w:t xml:space="preserve"> the</w:t>
      </w:r>
      <w:r w:rsidR="00AB52BE" w:rsidRPr="00D1229A">
        <w:t xml:space="preserve"> </w:t>
      </w:r>
      <w:r w:rsidR="00C35C19" w:rsidRPr="00D1229A">
        <w:t xml:space="preserve">long-term complications of </w:t>
      </w:r>
      <w:r w:rsidR="00206A4C">
        <w:t>acquired TTP</w:t>
      </w:r>
      <w:r w:rsidR="00C35C19">
        <w:t xml:space="preserve"> and risk of </w:t>
      </w:r>
      <w:r w:rsidR="00AB52BE" w:rsidRPr="00D1229A">
        <w:t>death around the time of an acute episode</w:t>
      </w:r>
      <w:r>
        <w:t xml:space="preserve">. </w:t>
      </w:r>
      <w:proofErr w:type="gramStart"/>
      <w:r>
        <w:t>But</w:t>
      </w:r>
      <w:r w:rsidRPr="00D1229A">
        <w:t>,</w:t>
      </w:r>
      <w:proofErr w:type="gramEnd"/>
      <w:r w:rsidRPr="00D1229A">
        <w:t xml:space="preserve"> the </w:t>
      </w:r>
      <w:r>
        <w:t>trial does not look at whether</w:t>
      </w:r>
      <w:r w:rsidRPr="00D1229A">
        <w:t xml:space="preserve"> </w:t>
      </w:r>
      <w:r>
        <w:t xml:space="preserve">adding </w:t>
      </w:r>
      <w:r w:rsidRPr="00D1229A">
        <w:t>caplacizumab improve</w:t>
      </w:r>
      <w:r>
        <w:t>s</w:t>
      </w:r>
      <w:r w:rsidRPr="00D1229A">
        <w:t xml:space="preserve"> either length or quality of life</w:t>
      </w:r>
      <w:r w:rsidR="00C40CC2">
        <w:t xml:space="preserve"> over the long</w:t>
      </w:r>
      <w:r w:rsidR="004B4795">
        <w:t xml:space="preserve"> </w:t>
      </w:r>
      <w:r w:rsidR="00C40CC2">
        <w:t>term.</w:t>
      </w:r>
      <w:r w:rsidR="00E85F16">
        <w:t xml:space="preserve"> </w:t>
      </w:r>
      <w:r w:rsidR="00C40CC2">
        <w:t xml:space="preserve">Alternative </w:t>
      </w:r>
      <w:r w:rsidR="004B4795">
        <w:t>ways</w:t>
      </w:r>
      <w:r w:rsidR="00AA39D1">
        <w:t xml:space="preserve"> estimat</w:t>
      </w:r>
      <w:r w:rsidR="004B4795">
        <w:t>ing</w:t>
      </w:r>
      <w:r w:rsidR="00AA39D1">
        <w:t xml:space="preserve"> these outcomes</w:t>
      </w:r>
      <w:r w:rsidR="00C40CC2">
        <w:t xml:space="preserve"> are not </w:t>
      </w:r>
      <w:r w:rsidR="004B4795">
        <w:t>proven</w:t>
      </w:r>
      <w:r w:rsidR="00C40CC2">
        <w:t>,</w:t>
      </w:r>
      <w:r w:rsidR="0023375C">
        <w:t xml:space="preserve"> </w:t>
      </w:r>
      <w:r>
        <w:t>so</w:t>
      </w:r>
      <w:r w:rsidR="00865F3B" w:rsidRPr="00D1229A">
        <w:t xml:space="preserve"> </w:t>
      </w:r>
      <w:proofErr w:type="gramStart"/>
      <w:r w:rsidR="00AB52BE" w:rsidRPr="00D1229A">
        <w:t xml:space="preserve">this </w:t>
      </w:r>
      <w:r w:rsidR="0023375C">
        <w:t>needs</w:t>
      </w:r>
      <w:proofErr w:type="gramEnd"/>
      <w:r w:rsidR="00AB52BE" w:rsidRPr="00D1229A">
        <w:t xml:space="preserve"> </w:t>
      </w:r>
      <w:r w:rsidR="00865F3B" w:rsidRPr="00D1229A">
        <w:t>confirm</w:t>
      </w:r>
      <w:r w:rsidR="0023375C">
        <w:t>ing</w:t>
      </w:r>
      <w:r w:rsidR="004F76B7" w:rsidRPr="00D1229A">
        <w:t>.</w:t>
      </w:r>
    </w:p>
    <w:p w14:paraId="4132299C" w14:textId="3BB39230" w:rsidR="004F76B7" w:rsidRPr="00D1229A" w:rsidRDefault="004F76B7" w:rsidP="00C52CE9">
      <w:pPr>
        <w:pStyle w:val="NICEnormal"/>
      </w:pPr>
      <w:r w:rsidRPr="00D1229A">
        <w:t xml:space="preserve">The limitations </w:t>
      </w:r>
      <w:r w:rsidR="00420692">
        <w:t xml:space="preserve">in the clinical evidence </w:t>
      </w:r>
      <w:r w:rsidRPr="00D1229A">
        <w:t>mean that the cost</w:t>
      </w:r>
      <w:r w:rsidR="00420692">
        <w:t>-</w:t>
      </w:r>
      <w:r w:rsidRPr="00D1229A">
        <w:t xml:space="preserve">effectiveness </w:t>
      </w:r>
      <w:r w:rsidR="00CD35D1">
        <w:t xml:space="preserve">estimates </w:t>
      </w:r>
      <w:r w:rsidRPr="00D1229A">
        <w:t xml:space="preserve">for caplacizumab compared with standard care </w:t>
      </w:r>
      <w:r w:rsidR="00CD35D1">
        <w:t>are very</w:t>
      </w:r>
      <w:r w:rsidR="00D65C4D" w:rsidRPr="00D1229A">
        <w:t xml:space="preserve"> uncertain</w:t>
      </w:r>
      <w:r w:rsidR="00420692">
        <w:t>.</w:t>
      </w:r>
      <w:r w:rsidR="00EF3029">
        <w:t xml:space="preserve"> </w:t>
      </w:r>
      <w:r w:rsidR="00EA4076">
        <w:t xml:space="preserve">However, they </w:t>
      </w:r>
      <w:r w:rsidR="00B94571">
        <w:t xml:space="preserve">may </w:t>
      </w:r>
      <w:r w:rsidR="00EA4076">
        <w:t>be</w:t>
      </w:r>
      <w:r w:rsidR="00EF3029">
        <w:t xml:space="preserve"> </w:t>
      </w:r>
      <w:r w:rsidR="00EF3029" w:rsidRPr="00883FF3">
        <w:t xml:space="preserve">higher than </w:t>
      </w:r>
      <w:r w:rsidR="00EF3029">
        <w:t xml:space="preserve">the range normally </w:t>
      </w:r>
      <w:r w:rsidR="001D59DB" w:rsidRPr="00D1229A">
        <w:t xml:space="preserve">considered a </w:t>
      </w:r>
      <w:r w:rsidR="000D0E17" w:rsidRPr="00D1229A">
        <w:t>cost-effective</w:t>
      </w:r>
      <w:r w:rsidR="001D59DB" w:rsidRPr="00D1229A">
        <w:t xml:space="preserve"> use of NHS resources.</w:t>
      </w:r>
      <w:r w:rsidR="00EF3029">
        <w:t xml:space="preserve"> So, caplacizumab is not recommended for treating acute </w:t>
      </w:r>
      <w:r w:rsidR="00206A4C">
        <w:t>acquired TTP</w:t>
      </w:r>
      <w:r w:rsidR="00EF3029">
        <w:t>.</w:t>
      </w:r>
    </w:p>
    <w:p w14:paraId="20EEFED3" w14:textId="54AF7F43" w:rsidR="00EA1CB1" w:rsidRPr="00D1229A" w:rsidRDefault="00EA1CB1" w:rsidP="00EA1CB1">
      <w:pPr>
        <w:pStyle w:val="Numberedheading1"/>
        <w:keepLines/>
      </w:pPr>
      <w:r w:rsidRPr="00D1229A">
        <w:lastRenderedPageBreak/>
        <w:t xml:space="preserve">Information about </w:t>
      </w:r>
      <w:r w:rsidR="008012B2" w:rsidRPr="00D1229A">
        <w:t>caplacizumab</w:t>
      </w:r>
    </w:p>
    <w:p w14:paraId="0BB2A8D7" w14:textId="3BC302F9" w:rsidR="00B82A82" w:rsidRPr="00D1229A" w:rsidRDefault="00B82A82" w:rsidP="00B82A82">
      <w:pPr>
        <w:pStyle w:val="Heading2"/>
      </w:pPr>
      <w:r w:rsidRPr="00D1229A">
        <w:t>Marketing authorisation indicatio</w:t>
      </w:r>
      <w:r w:rsidR="00267D9C" w:rsidRPr="00D1229A">
        <w:t>n</w:t>
      </w:r>
    </w:p>
    <w:p w14:paraId="6630D976" w14:textId="25A5C740" w:rsidR="00B82A82" w:rsidRPr="00D1229A" w:rsidRDefault="008012B2" w:rsidP="00267D9C">
      <w:pPr>
        <w:pStyle w:val="Numberedlevel2text"/>
        <w:numPr>
          <w:ilvl w:val="1"/>
          <w:numId w:val="1"/>
        </w:numPr>
        <w:rPr>
          <w:lang w:val="en-GB"/>
        </w:rPr>
      </w:pPr>
      <w:r w:rsidRPr="00D1229A">
        <w:rPr>
          <w:rStyle w:val="NICEnormalChar"/>
          <w:szCs w:val="28"/>
        </w:rPr>
        <w:t>Caplacizumab</w:t>
      </w:r>
      <w:r w:rsidR="00267D9C" w:rsidRPr="00D1229A">
        <w:rPr>
          <w:rStyle w:val="NICEnormalChar"/>
          <w:szCs w:val="28"/>
        </w:rPr>
        <w:t xml:space="preserve"> (Cablivi, Sanofi)</w:t>
      </w:r>
      <w:r w:rsidRPr="00D1229A">
        <w:rPr>
          <w:rStyle w:val="NICEnormalChar"/>
          <w:szCs w:val="28"/>
        </w:rPr>
        <w:t xml:space="preserve"> </w:t>
      </w:r>
      <w:r w:rsidR="00267D9C" w:rsidRPr="00D1229A">
        <w:rPr>
          <w:rStyle w:val="NICEnormalChar"/>
          <w:szCs w:val="28"/>
        </w:rPr>
        <w:t xml:space="preserve">has a marketing authorisation for treating adults </w:t>
      </w:r>
      <w:r w:rsidR="0070518B">
        <w:rPr>
          <w:rStyle w:val="NICEnormalChar"/>
          <w:szCs w:val="28"/>
        </w:rPr>
        <w:t>‘</w:t>
      </w:r>
      <w:r w:rsidR="00267D9C" w:rsidRPr="00D1229A">
        <w:rPr>
          <w:rStyle w:val="NICEnormalChar"/>
          <w:szCs w:val="28"/>
        </w:rPr>
        <w:t>experiencing an episode of acquired thrombotic thrombocytopenic purpura</w:t>
      </w:r>
      <w:r w:rsidR="0070518B">
        <w:rPr>
          <w:rStyle w:val="NICEnormalChar"/>
          <w:szCs w:val="28"/>
        </w:rPr>
        <w:t xml:space="preserve">, in conjunction </w:t>
      </w:r>
      <w:r w:rsidR="00267D9C" w:rsidRPr="00D1229A">
        <w:rPr>
          <w:rStyle w:val="NICEnormalChar"/>
          <w:szCs w:val="28"/>
        </w:rPr>
        <w:t>with plasma exchange and immunosuppression</w:t>
      </w:r>
      <w:r w:rsidR="0070518B">
        <w:rPr>
          <w:rStyle w:val="NICEnormalChar"/>
          <w:szCs w:val="28"/>
        </w:rPr>
        <w:t>’</w:t>
      </w:r>
      <w:r w:rsidR="00267D9C" w:rsidRPr="00D1229A">
        <w:rPr>
          <w:rStyle w:val="NICEnormalChar"/>
          <w:szCs w:val="28"/>
        </w:rPr>
        <w:t>.</w:t>
      </w:r>
      <w:r w:rsidR="00AA39D1">
        <w:rPr>
          <w:rStyle w:val="NICEnormalChar"/>
          <w:szCs w:val="28"/>
        </w:rPr>
        <w:t xml:space="preserve"> </w:t>
      </w:r>
      <w:r w:rsidR="00AA39D1" w:rsidRPr="00331D9B">
        <w:t xml:space="preserve">On </w:t>
      </w:r>
      <w:r w:rsidR="00AA39D1">
        <w:rPr>
          <w:rStyle w:val="Numberedlevel2textChar"/>
          <w:bCs/>
          <w:iCs/>
          <w:lang w:val="en-GB"/>
        </w:rPr>
        <w:t>30</w:t>
      </w:r>
      <w:r w:rsidR="007D07B3">
        <w:rPr>
          <w:rStyle w:val="Numberedlevel2textChar"/>
          <w:bCs/>
          <w:iCs/>
          <w:vertAlign w:val="superscript"/>
          <w:lang w:val="en-GB"/>
        </w:rPr>
        <w:t> </w:t>
      </w:r>
      <w:r w:rsidR="00AA39D1">
        <w:rPr>
          <w:lang w:val="en-GB"/>
        </w:rPr>
        <w:t>April 2020</w:t>
      </w:r>
      <w:r w:rsidR="007D07B3">
        <w:rPr>
          <w:lang w:val="en-GB"/>
        </w:rPr>
        <w:t>,</w:t>
      </w:r>
      <w:r w:rsidR="00AA39D1" w:rsidRPr="00331D9B">
        <w:t xml:space="preserve"> the </w:t>
      </w:r>
      <w:r w:rsidR="007D07B3">
        <w:rPr>
          <w:lang w:val="en-US"/>
        </w:rPr>
        <w:t xml:space="preserve">European Medicines Agency’s </w:t>
      </w:r>
      <w:r w:rsidR="00AA39D1" w:rsidRPr="00331D9B">
        <w:t>Committee for Medicinal Products for Human Use adopted a positive opinion recommending th</w:t>
      </w:r>
      <w:r w:rsidR="007D07B3">
        <w:rPr>
          <w:lang w:val="en-US"/>
        </w:rPr>
        <w:t>at</w:t>
      </w:r>
      <w:r w:rsidR="00AA39D1" w:rsidRPr="00331D9B">
        <w:t xml:space="preserve"> a marketing authorisation</w:t>
      </w:r>
      <w:r w:rsidR="00AA39D1">
        <w:rPr>
          <w:lang w:val="en-GB"/>
        </w:rPr>
        <w:t xml:space="preserve"> extension</w:t>
      </w:r>
      <w:r w:rsidR="00AA39D1" w:rsidRPr="00331D9B">
        <w:t xml:space="preserve"> </w:t>
      </w:r>
      <w:r w:rsidR="007D07B3">
        <w:rPr>
          <w:lang w:val="en-US"/>
        </w:rPr>
        <w:t xml:space="preserve">is granted </w:t>
      </w:r>
      <w:r w:rsidR="00AA39D1" w:rsidRPr="00331D9B">
        <w:t xml:space="preserve">for </w:t>
      </w:r>
      <w:proofErr w:type="spellStart"/>
      <w:r w:rsidR="00AA39D1">
        <w:rPr>
          <w:lang w:val="en-GB"/>
        </w:rPr>
        <w:t>caplacizumab</w:t>
      </w:r>
      <w:proofErr w:type="spellEnd"/>
      <w:r w:rsidR="00AA39D1">
        <w:rPr>
          <w:lang w:val="en-GB"/>
        </w:rPr>
        <w:t xml:space="preserve"> for </w:t>
      </w:r>
      <w:r w:rsidR="007D07B3" w:rsidRPr="00744EA3">
        <w:rPr>
          <w:lang w:val="en-GB"/>
        </w:rPr>
        <w:t>‘</w:t>
      </w:r>
      <w:r w:rsidR="007D07B3" w:rsidRPr="00670E27">
        <w:rPr>
          <w:lang w:val="en-GB"/>
        </w:rPr>
        <w:t>adolescents of 12</w:t>
      </w:r>
      <w:r w:rsidR="007D07B3">
        <w:rPr>
          <w:lang w:val="en-GB"/>
        </w:rPr>
        <w:t> </w:t>
      </w:r>
      <w:r w:rsidR="007D07B3" w:rsidRPr="00670E27">
        <w:rPr>
          <w:lang w:val="en-GB"/>
        </w:rPr>
        <w:t>years of age and older weighing at least 40 kg’</w:t>
      </w:r>
      <w:r w:rsidR="00AA39D1" w:rsidRPr="003356ED">
        <w:rPr>
          <w:lang w:val="en-GB"/>
        </w:rPr>
        <w:t>.</w:t>
      </w:r>
    </w:p>
    <w:p w14:paraId="7B1363EC" w14:textId="77777777" w:rsidR="00B82A82" w:rsidRPr="00D1229A" w:rsidRDefault="00B82A82" w:rsidP="00B82A82">
      <w:pPr>
        <w:pStyle w:val="Heading2"/>
      </w:pPr>
      <w:r w:rsidRPr="00D1229A">
        <w:t>Dosage in the marketing authorisation</w:t>
      </w:r>
    </w:p>
    <w:p w14:paraId="31ED4FB1" w14:textId="2C362526" w:rsidR="00B82A82" w:rsidRPr="00D1229A" w:rsidRDefault="00FE2CE3" w:rsidP="00E436C2">
      <w:pPr>
        <w:pStyle w:val="Numberedlevel2text"/>
        <w:numPr>
          <w:ilvl w:val="1"/>
          <w:numId w:val="1"/>
        </w:numPr>
        <w:rPr>
          <w:rStyle w:val="Numberedlevel2textChar"/>
          <w:lang w:val="en-GB"/>
        </w:rPr>
      </w:pPr>
      <w:r w:rsidRPr="00D1229A">
        <w:rPr>
          <w:lang w:val="en-GB"/>
        </w:rPr>
        <w:t xml:space="preserve">The dosage schedule is </w:t>
      </w:r>
      <w:r w:rsidR="00570524" w:rsidRPr="00D1229A">
        <w:rPr>
          <w:lang w:val="en-GB"/>
        </w:rPr>
        <w:t xml:space="preserve">available in </w:t>
      </w:r>
      <w:hyperlink r:id="rId10" w:history="1">
        <w:r w:rsidR="00570524" w:rsidRPr="00D1229A">
          <w:rPr>
            <w:rStyle w:val="Hyperlink"/>
            <w:lang w:val="en-GB"/>
          </w:rPr>
          <w:t>the summary of product characteristics</w:t>
        </w:r>
      </w:hyperlink>
      <w:r w:rsidR="00570524" w:rsidRPr="00D1229A">
        <w:rPr>
          <w:lang w:val="en-GB"/>
        </w:rPr>
        <w:t xml:space="preserve"> </w:t>
      </w:r>
    </w:p>
    <w:p w14:paraId="781715FC" w14:textId="77777777" w:rsidR="00B82A82" w:rsidRPr="00D1229A" w:rsidRDefault="00B82A82" w:rsidP="00B82A82">
      <w:pPr>
        <w:pStyle w:val="Heading2"/>
      </w:pPr>
      <w:r w:rsidRPr="00D1229A">
        <w:t>Price</w:t>
      </w:r>
    </w:p>
    <w:p w14:paraId="28B358D6" w14:textId="63D9B3B2" w:rsidR="00B82A82" w:rsidRPr="00D1229A" w:rsidRDefault="00205139" w:rsidP="00B82A82">
      <w:pPr>
        <w:pStyle w:val="Numberedlevel2text"/>
        <w:numPr>
          <w:ilvl w:val="1"/>
          <w:numId w:val="1"/>
        </w:numPr>
        <w:rPr>
          <w:lang w:val="en-GB"/>
        </w:rPr>
      </w:pPr>
      <w:r w:rsidRPr="00D1229A">
        <w:rPr>
          <w:rStyle w:val="NICEnormalChar"/>
        </w:rPr>
        <w:t>The list price of caplacizumab is £4,143 per 10</w:t>
      </w:r>
      <w:r w:rsidR="00E529DD">
        <w:rPr>
          <w:rStyle w:val="NICEnormalChar"/>
        </w:rPr>
        <w:t> </w:t>
      </w:r>
      <w:r w:rsidRPr="00D1229A">
        <w:rPr>
          <w:rStyle w:val="NICEnormalChar"/>
        </w:rPr>
        <w:t>mg vial</w:t>
      </w:r>
      <w:r w:rsidR="00E529DD">
        <w:rPr>
          <w:rStyle w:val="NICEnormalChar"/>
        </w:rPr>
        <w:t xml:space="preserve"> (excluding VAT; BNF online, May 2020)</w:t>
      </w:r>
      <w:r w:rsidRPr="00D1229A">
        <w:rPr>
          <w:rStyle w:val="NICEnormalChar"/>
        </w:rPr>
        <w:t xml:space="preserve">. </w:t>
      </w:r>
      <w:r w:rsidR="00B82A82" w:rsidRPr="00D1229A">
        <w:rPr>
          <w:lang w:val="en-GB"/>
        </w:rPr>
        <w:t>Costs may vary in different settings because of negotiated procurement discounts.</w:t>
      </w:r>
      <w:r w:rsidR="003801BE" w:rsidRPr="00D1229A">
        <w:rPr>
          <w:lang w:val="en-GB"/>
        </w:rPr>
        <w:t xml:space="preserve"> </w:t>
      </w:r>
      <w:r w:rsidR="004D5DFF">
        <w:rPr>
          <w:lang w:val="en-GB"/>
        </w:rPr>
        <w:t>The company has a commercial arrangement, which would have applied if the technology had been recommended.</w:t>
      </w:r>
    </w:p>
    <w:p w14:paraId="0E024A63" w14:textId="4C666992" w:rsidR="00F130AD" w:rsidRPr="00D1229A" w:rsidRDefault="00222BEA" w:rsidP="00F130AD">
      <w:pPr>
        <w:pStyle w:val="Numberedheading1"/>
      </w:pPr>
      <w:r w:rsidRPr="00D1229A">
        <w:t>Committee discussion</w:t>
      </w:r>
    </w:p>
    <w:p w14:paraId="0D91E9B3" w14:textId="31CF9E83" w:rsidR="0082790D" w:rsidRPr="00D1229A" w:rsidRDefault="0082790D" w:rsidP="0082790D">
      <w:pPr>
        <w:pStyle w:val="NICEnormal"/>
      </w:pPr>
      <w:r w:rsidRPr="00D1229A">
        <w:t>The appraisal committee (section</w:t>
      </w:r>
      <w:r w:rsidR="003E7F58">
        <w:t> </w:t>
      </w:r>
      <w:r w:rsidR="00AA39D1">
        <w:t>5</w:t>
      </w:r>
      <w:r w:rsidRPr="00D1229A">
        <w:t xml:space="preserve">) considered evidence submitted by Sanofi, a review of this submission by the evidence review group (ERG), the technical report, and responses from stakeholders. See the </w:t>
      </w:r>
      <w:hyperlink r:id="rId11" w:history="1">
        <w:r w:rsidRPr="00D1229A">
          <w:rPr>
            <w:rStyle w:val="Hyperlink"/>
          </w:rPr>
          <w:t>committee papers</w:t>
        </w:r>
      </w:hyperlink>
      <w:r w:rsidRPr="00D1229A">
        <w:t xml:space="preserve"> for full details of the evidence.</w:t>
      </w:r>
    </w:p>
    <w:p w14:paraId="081898DA" w14:textId="1DDCADE5" w:rsidR="00F53A7D" w:rsidRPr="00D1229A" w:rsidRDefault="00F53A7D" w:rsidP="00A655AB">
      <w:pPr>
        <w:pStyle w:val="NICEnormal"/>
      </w:pPr>
      <w:r w:rsidRPr="00D1229A">
        <w:t>The appraisal committee was aware that several issues were resolved during the technical engagement stage, and agreed that:</w:t>
      </w:r>
    </w:p>
    <w:p w14:paraId="32AC8C55" w14:textId="63D133EB" w:rsidR="00F53A7D" w:rsidRPr="00D1229A" w:rsidRDefault="00AC3514" w:rsidP="00A655AB">
      <w:pPr>
        <w:pStyle w:val="Bulletleft1"/>
      </w:pPr>
      <w:r>
        <w:lastRenderedPageBreak/>
        <w:t>i</w:t>
      </w:r>
      <w:r w:rsidR="00F53A7D" w:rsidRPr="00D1229A">
        <w:t xml:space="preserve">mbalances in </w:t>
      </w:r>
      <w:r w:rsidR="003E7F58">
        <w:t xml:space="preserve">the </w:t>
      </w:r>
      <w:r w:rsidR="00BF70EC">
        <w:t>proportion of people who had</w:t>
      </w:r>
      <w:r>
        <w:t xml:space="preserve"> </w:t>
      </w:r>
      <w:r w:rsidR="00F53A7D" w:rsidRPr="00D1229A">
        <w:t>rituxim</w:t>
      </w:r>
      <w:r w:rsidR="00BF70EC">
        <w:t>ab between</w:t>
      </w:r>
      <w:r>
        <w:t xml:space="preserve"> </w:t>
      </w:r>
      <w:r w:rsidR="00BF70EC">
        <w:t>t</w:t>
      </w:r>
      <w:r w:rsidR="00F53A7D" w:rsidRPr="00D1229A">
        <w:t xml:space="preserve">he arms of the HERCULES </w:t>
      </w:r>
      <w:r>
        <w:t xml:space="preserve">trial </w:t>
      </w:r>
      <w:r w:rsidR="00F53A7D" w:rsidRPr="00D1229A">
        <w:t>would not be expected to have a large effect on the cost</w:t>
      </w:r>
      <w:r>
        <w:t>-</w:t>
      </w:r>
      <w:r w:rsidR="00F53A7D" w:rsidRPr="00D1229A">
        <w:t>effectiveness estimates (issue</w:t>
      </w:r>
      <w:r>
        <w:t> </w:t>
      </w:r>
      <w:r w:rsidR="00F53A7D" w:rsidRPr="00D1229A">
        <w:t>2, see technical report page</w:t>
      </w:r>
      <w:r>
        <w:t> </w:t>
      </w:r>
      <w:r w:rsidR="00F53A7D" w:rsidRPr="00D1229A">
        <w:t>27)</w:t>
      </w:r>
    </w:p>
    <w:p w14:paraId="20906801" w14:textId="03FD87E0" w:rsidR="00F53A7D" w:rsidRPr="00D1229A" w:rsidRDefault="00AC3514" w:rsidP="00BF70EC">
      <w:pPr>
        <w:pStyle w:val="Bulletleft1last"/>
      </w:pPr>
      <w:r>
        <w:t>p</w:t>
      </w:r>
      <w:r w:rsidR="00F53A7D" w:rsidRPr="00D1229A">
        <w:t>rotocol violations in HERCULES would not be expected to have a large effect on the cost</w:t>
      </w:r>
      <w:r>
        <w:t>-</w:t>
      </w:r>
      <w:r w:rsidR="00F53A7D" w:rsidRPr="00D1229A">
        <w:t>effectiveness estimates (issue</w:t>
      </w:r>
      <w:r>
        <w:t> </w:t>
      </w:r>
      <w:r w:rsidR="00F53A7D" w:rsidRPr="00D1229A">
        <w:t>3, see technical report page</w:t>
      </w:r>
      <w:r>
        <w:t> </w:t>
      </w:r>
      <w:r w:rsidR="00F53A7D" w:rsidRPr="00D1229A">
        <w:t>29)</w:t>
      </w:r>
      <w:r>
        <w:t>.</w:t>
      </w:r>
    </w:p>
    <w:p w14:paraId="5EF2C102" w14:textId="337DFEF7" w:rsidR="00F53A7D" w:rsidRPr="00D1229A" w:rsidRDefault="00F53A7D" w:rsidP="00A655AB">
      <w:pPr>
        <w:pStyle w:val="NICEnormal"/>
        <w:ind w:left="60"/>
      </w:pPr>
      <w:r w:rsidRPr="00D1229A">
        <w:t>The company revised its base</w:t>
      </w:r>
      <w:r w:rsidR="00AC3514">
        <w:t>-</w:t>
      </w:r>
      <w:r w:rsidRPr="00D1229A">
        <w:t>case</w:t>
      </w:r>
      <w:r w:rsidR="00AC3514">
        <w:t xml:space="preserve"> incremental cost-effectiveness ratio (ICER)</w:t>
      </w:r>
      <w:r w:rsidRPr="00D1229A">
        <w:t xml:space="preserve"> during the technical engagement stage</w:t>
      </w:r>
      <w:r w:rsidR="00AC3514">
        <w:t>,</w:t>
      </w:r>
      <w:r w:rsidRPr="00D1229A">
        <w:t xml:space="preserve"> and it was no longer over £30,000 per </w:t>
      </w:r>
      <w:r w:rsidR="00AC3514">
        <w:t>quality-adjusted life year (</w:t>
      </w:r>
      <w:r w:rsidRPr="00D1229A">
        <w:t>QALY</w:t>
      </w:r>
      <w:r w:rsidR="00AC3514">
        <w:t>)</w:t>
      </w:r>
      <w:r w:rsidRPr="00D1229A">
        <w:t xml:space="preserve"> gained (issue</w:t>
      </w:r>
      <w:r w:rsidR="00AC3514">
        <w:t> </w:t>
      </w:r>
      <w:r w:rsidRPr="00D1229A">
        <w:t>11, see technical report page</w:t>
      </w:r>
      <w:r w:rsidR="00AC3514">
        <w:t> </w:t>
      </w:r>
      <w:r w:rsidRPr="00D1229A">
        <w:t>41)</w:t>
      </w:r>
      <w:r w:rsidR="00AC3514">
        <w:t>.</w:t>
      </w:r>
    </w:p>
    <w:p w14:paraId="21E350FB" w14:textId="6BC1A073" w:rsidR="00F53A7D" w:rsidRPr="00D1229A" w:rsidRDefault="00AC3514" w:rsidP="00A655AB">
      <w:pPr>
        <w:pStyle w:val="NICEnormal"/>
        <w:ind w:left="60"/>
      </w:pPr>
      <w:r>
        <w:t>The committee</w:t>
      </w:r>
      <w:r w:rsidRPr="00D1229A">
        <w:t xml:space="preserve"> </w:t>
      </w:r>
      <w:r w:rsidR="00F53A7D" w:rsidRPr="00D1229A">
        <w:t>recognised that there were remaining areas of uncertainty associated with the analyses presented and took these into account in its decision making. It discussed issues</w:t>
      </w:r>
      <w:r>
        <w:t> </w:t>
      </w:r>
      <w:r w:rsidR="00F53A7D" w:rsidRPr="00D1229A">
        <w:t>1, 4</w:t>
      </w:r>
      <w:r>
        <w:t> </w:t>
      </w:r>
      <w:r w:rsidR="00F53A7D" w:rsidRPr="00D1229A">
        <w:t>to</w:t>
      </w:r>
      <w:r>
        <w:t> </w:t>
      </w:r>
      <w:r w:rsidR="00F53A7D" w:rsidRPr="00D1229A">
        <w:t>10</w:t>
      </w:r>
      <w:r w:rsidR="00290600" w:rsidRPr="00D1229A">
        <w:t xml:space="preserve"> </w:t>
      </w:r>
      <w:r w:rsidR="00F53A7D" w:rsidRPr="00D1229A">
        <w:t>and</w:t>
      </w:r>
      <w:r>
        <w:t> </w:t>
      </w:r>
      <w:r w:rsidR="00F53A7D" w:rsidRPr="00D1229A">
        <w:t>12</w:t>
      </w:r>
      <w:r w:rsidR="003E7F58">
        <w:t>,</w:t>
      </w:r>
      <w:r w:rsidR="00F53A7D" w:rsidRPr="00D1229A">
        <w:t xml:space="preserve"> which were outstanding after the technical engagement stage.</w:t>
      </w:r>
    </w:p>
    <w:p w14:paraId="19EE5CD1" w14:textId="171D6ECD" w:rsidR="00723AF0" w:rsidRPr="00D1229A" w:rsidRDefault="00813AF8" w:rsidP="00813AF8">
      <w:pPr>
        <w:pStyle w:val="Heading2"/>
      </w:pPr>
      <w:r w:rsidRPr="00D1229A">
        <w:t>Current treatments and patient perspectives</w:t>
      </w:r>
    </w:p>
    <w:p w14:paraId="5F30652B" w14:textId="59C19CE9" w:rsidR="00813AF8" w:rsidRPr="00D1229A" w:rsidRDefault="00C4326B" w:rsidP="00813AF8">
      <w:pPr>
        <w:pStyle w:val="Heading3"/>
      </w:pPr>
      <w:r w:rsidRPr="00D1229A">
        <w:t>Acquired thrombotic thrombocytopeni</w:t>
      </w:r>
      <w:r w:rsidR="008C2DEF">
        <w:t>c purpura</w:t>
      </w:r>
      <w:r w:rsidR="00206A4C">
        <w:t xml:space="preserve"> (TTP)</w:t>
      </w:r>
      <w:r w:rsidR="00813AF8" w:rsidRPr="00D1229A">
        <w:t xml:space="preserve"> is a life-threatening condition associated with long</w:t>
      </w:r>
      <w:r w:rsidR="000D6F17">
        <w:t>-</w:t>
      </w:r>
      <w:r w:rsidR="00813AF8" w:rsidRPr="00D1229A">
        <w:t xml:space="preserve">term </w:t>
      </w:r>
      <w:r w:rsidR="003920EA" w:rsidRPr="00D1229A">
        <w:t>morbidity and mortality</w:t>
      </w:r>
    </w:p>
    <w:p w14:paraId="6EFA421C" w14:textId="5B29B75F" w:rsidR="00813AF8" w:rsidRPr="00D1229A" w:rsidRDefault="00434229" w:rsidP="00813AF8">
      <w:pPr>
        <w:pStyle w:val="Numberedlevel2text"/>
        <w:rPr>
          <w:lang w:val="en-GB"/>
        </w:rPr>
      </w:pPr>
      <w:r w:rsidRPr="00D1229A">
        <w:rPr>
          <w:lang w:val="en-GB"/>
        </w:rPr>
        <w:t xml:space="preserve">Acquired </w:t>
      </w:r>
      <w:r w:rsidR="00C4326B" w:rsidRPr="00D1229A">
        <w:rPr>
          <w:lang w:val="en-GB"/>
        </w:rPr>
        <w:t>TTP</w:t>
      </w:r>
      <w:r w:rsidRPr="00D1229A">
        <w:rPr>
          <w:lang w:val="en-GB"/>
        </w:rPr>
        <w:t xml:space="preserve"> is a</w:t>
      </w:r>
      <w:r w:rsidR="009143CF" w:rsidRPr="00D1229A">
        <w:rPr>
          <w:lang w:val="en-GB"/>
        </w:rPr>
        <w:t xml:space="preserve"> rare</w:t>
      </w:r>
      <w:r w:rsidRPr="00D1229A">
        <w:rPr>
          <w:lang w:val="en-GB"/>
        </w:rPr>
        <w:t xml:space="preserve"> autoimmune </w:t>
      </w:r>
      <w:r w:rsidR="008118E0">
        <w:rPr>
          <w:lang w:val="en-GB"/>
        </w:rPr>
        <w:t>condition</w:t>
      </w:r>
      <w:r w:rsidR="008118E0" w:rsidRPr="00D1229A">
        <w:rPr>
          <w:lang w:val="en-GB"/>
        </w:rPr>
        <w:t xml:space="preserve"> </w:t>
      </w:r>
      <w:r w:rsidR="00E05865" w:rsidRPr="00D1229A">
        <w:rPr>
          <w:lang w:val="en-GB"/>
        </w:rPr>
        <w:t>characterised by antibodies against ADAMTS13.</w:t>
      </w:r>
      <w:r w:rsidR="00EC4071" w:rsidRPr="00D1229A">
        <w:rPr>
          <w:lang w:val="en-GB"/>
        </w:rPr>
        <w:t xml:space="preserve"> </w:t>
      </w:r>
      <w:r w:rsidR="00DC55CB">
        <w:rPr>
          <w:lang w:val="en-GB"/>
        </w:rPr>
        <w:t xml:space="preserve">This is an enzyme that </w:t>
      </w:r>
      <w:r w:rsidR="00DC55CB" w:rsidRPr="00DC55CB">
        <w:rPr>
          <w:lang w:val="en-GB"/>
        </w:rPr>
        <w:t>cleaves von Willebrand factor, a large protein involved in blood clotting</w:t>
      </w:r>
      <w:r w:rsidR="00DC55CB">
        <w:rPr>
          <w:lang w:val="en-GB"/>
        </w:rPr>
        <w:t xml:space="preserve">. </w:t>
      </w:r>
      <w:r w:rsidR="00E05865" w:rsidRPr="00D1229A">
        <w:rPr>
          <w:lang w:val="en-GB"/>
        </w:rPr>
        <w:t>People wi</w:t>
      </w:r>
      <w:r w:rsidR="00290600" w:rsidRPr="00D1229A">
        <w:rPr>
          <w:lang w:val="en-GB"/>
        </w:rPr>
        <w:t>th</w:t>
      </w:r>
      <w:r w:rsidR="00E05865" w:rsidRPr="00D1229A">
        <w:rPr>
          <w:lang w:val="en-GB"/>
        </w:rPr>
        <w:t xml:space="preserve"> low levels of ADAMTS</w:t>
      </w:r>
      <w:r w:rsidR="00290600" w:rsidRPr="00D1229A">
        <w:rPr>
          <w:lang w:val="en-GB"/>
        </w:rPr>
        <w:t>13 activity</w:t>
      </w:r>
      <w:r w:rsidR="00E05865" w:rsidRPr="00D1229A">
        <w:rPr>
          <w:lang w:val="en-GB"/>
        </w:rPr>
        <w:t xml:space="preserve"> have a higher risk of clotting.</w:t>
      </w:r>
      <w:r w:rsidR="00EC4071" w:rsidRPr="00D1229A">
        <w:rPr>
          <w:lang w:val="en-GB"/>
        </w:rPr>
        <w:t xml:space="preserve"> </w:t>
      </w:r>
      <w:r w:rsidR="000D6F17">
        <w:rPr>
          <w:lang w:val="en-GB"/>
        </w:rPr>
        <w:t>The condition</w:t>
      </w:r>
      <w:r w:rsidR="00E05865" w:rsidRPr="00D1229A">
        <w:rPr>
          <w:lang w:val="en-GB"/>
        </w:rPr>
        <w:t xml:space="preserve"> </w:t>
      </w:r>
      <w:r w:rsidR="009C2B55" w:rsidRPr="00D1229A">
        <w:rPr>
          <w:lang w:val="en-GB"/>
        </w:rPr>
        <w:t xml:space="preserve">causes </w:t>
      </w:r>
      <w:r w:rsidRPr="00D1229A">
        <w:rPr>
          <w:lang w:val="en-GB"/>
        </w:rPr>
        <w:t>blood clot</w:t>
      </w:r>
      <w:r w:rsidR="00C44E12">
        <w:rPr>
          <w:lang w:val="en-GB"/>
        </w:rPr>
        <w:t>s</w:t>
      </w:r>
      <w:r w:rsidR="009C2B55" w:rsidRPr="00D1229A">
        <w:rPr>
          <w:lang w:val="en-GB"/>
        </w:rPr>
        <w:t xml:space="preserve"> in small blood vessels</w:t>
      </w:r>
      <w:r w:rsidR="000D6F17">
        <w:rPr>
          <w:lang w:val="en-GB"/>
        </w:rPr>
        <w:t>, which leads to</w:t>
      </w:r>
      <w:r w:rsidR="00477447" w:rsidRPr="00D1229A">
        <w:rPr>
          <w:lang w:val="en-GB"/>
        </w:rPr>
        <w:t xml:space="preserve"> </w:t>
      </w:r>
      <w:r w:rsidR="00E05865" w:rsidRPr="00D1229A">
        <w:rPr>
          <w:lang w:val="en-GB"/>
        </w:rPr>
        <w:t>decreas</w:t>
      </w:r>
      <w:r w:rsidR="000D6F17">
        <w:rPr>
          <w:lang w:val="en-GB"/>
        </w:rPr>
        <w:t>ed blood</w:t>
      </w:r>
      <w:r w:rsidR="00E05865" w:rsidRPr="00D1229A">
        <w:rPr>
          <w:lang w:val="en-GB"/>
        </w:rPr>
        <w:t xml:space="preserve"> flow and </w:t>
      </w:r>
      <w:r w:rsidR="000D6F17" w:rsidRPr="00D1229A">
        <w:rPr>
          <w:lang w:val="en-GB"/>
        </w:rPr>
        <w:t xml:space="preserve">oxygen </w:t>
      </w:r>
      <w:r w:rsidR="00E05865" w:rsidRPr="00D1229A">
        <w:rPr>
          <w:lang w:val="en-GB"/>
        </w:rPr>
        <w:t xml:space="preserve">supply to </w:t>
      </w:r>
      <w:r w:rsidR="00477447" w:rsidRPr="00D1229A">
        <w:rPr>
          <w:lang w:val="en-GB"/>
        </w:rPr>
        <w:t>vital organs such as the brain, heart and kidneys. This cause</w:t>
      </w:r>
      <w:r w:rsidR="00301529" w:rsidRPr="00D1229A">
        <w:rPr>
          <w:lang w:val="en-GB"/>
        </w:rPr>
        <w:t>s</w:t>
      </w:r>
      <w:r w:rsidR="00477447" w:rsidRPr="00D1229A">
        <w:rPr>
          <w:lang w:val="en-GB"/>
        </w:rPr>
        <w:t xml:space="preserve"> </w:t>
      </w:r>
      <w:r w:rsidR="003D7304" w:rsidRPr="00D1229A">
        <w:rPr>
          <w:lang w:val="en-GB"/>
        </w:rPr>
        <w:t xml:space="preserve">ischaemic </w:t>
      </w:r>
      <w:r w:rsidR="00477447" w:rsidRPr="00D1229A">
        <w:rPr>
          <w:lang w:val="en-GB"/>
        </w:rPr>
        <w:t xml:space="preserve">damage, </w:t>
      </w:r>
      <w:r w:rsidR="00E05865" w:rsidRPr="00D1229A">
        <w:rPr>
          <w:lang w:val="en-GB"/>
        </w:rPr>
        <w:t xml:space="preserve">can be </w:t>
      </w:r>
      <w:r w:rsidR="00477447" w:rsidRPr="00D1229A">
        <w:rPr>
          <w:lang w:val="en-GB"/>
        </w:rPr>
        <w:t>acutely life-threatening, and</w:t>
      </w:r>
      <w:r w:rsidR="00517819" w:rsidRPr="00D1229A">
        <w:rPr>
          <w:lang w:val="en-GB"/>
        </w:rPr>
        <w:t>,</w:t>
      </w:r>
      <w:r w:rsidR="00477447" w:rsidRPr="00D1229A">
        <w:rPr>
          <w:lang w:val="en-GB"/>
        </w:rPr>
        <w:t xml:space="preserve"> in the longer term</w:t>
      </w:r>
      <w:r w:rsidR="00517819" w:rsidRPr="00D1229A">
        <w:rPr>
          <w:lang w:val="en-GB"/>
        </w:rPr>
        <w:t>,</w:t>
      </w:r>
      <w:r w:rsidR="00477447" w:rsidRPr="00D1229A">
        <w:rPr>
          <w:lang w:val="en-GB"/>
        </w:rPr>
        <w:t xml:space="preserve"> </w:t>
      </w:r>
      <w:r w:rsidR="00C44E12">
        <w:rPr>
          <w:lang w:val="en-GB"/>
        </w:rPr>
        <w:t>may cause</w:t>
      </w:r>
      <w:r w:rsidR="00477447" w:rsidRPr="00D1229A">
        <w:rPr>
          <w:lang w:val="en-GB"/>
        </w:rPr>
        <w:t xml:space="preserve"> cognitive deficits, depression, hypertension and a shortened life expectancy</w:t>
      </w:r>
      <w:r w:rsidR="009143CF" w:rsidRPr="00D1229A">
        <w:rPr>
          <w:lang w:val="en-GB"/>
        </w:rPr>
        <w:t xml:space="preserve">. </w:t>
      </w:r>
      <w:r w:rsidR="00C44E12">
        <w:rPr>
          <w:lang w:val="en-GB"/>
        </w:rPr>
        <w:t>One</w:t>
      </w:r>
      <w:r w:rsidRPr="00D1229A">
        <w:rPr>
          <w:lang w:val="en-GB"/>
        </w:rPr>
        <w:t xml:space="preserve"> clinical expert stated that </w:t>
      </w:r>
      <w:r w:rsidR="00206A4C">
        <w:rPr>
          <w:lang w:val="en-GB"/>
        </w:rPr>
        <w:t>acquired TTP</w:t>
      </w:r>
      <w:r w:rsidRPr="00D1229A">
        <w:rPr>
          <w:lang w:val="en-GB"/>
        </w:rPr>
        <w:t xml:space="preserve"> is the most dangerous acute illness in haematology</w:t>
      </w:r>
      <w:r w:rsidR="00B31DE0" w:rsidRPr="00D1229A">
        <w:rPr>
          <w:lang w:val="en-GB"/>
        </w:rPr>
        <w:t>, with</w:t>
      </w:r>
      <w:r w:rsidR="003D7304" w:rsidRPr="00D1229A">
        <w:rPr>
          <w:lang w:val="en-GB"/>
        </w:rPr>
        <w:t xml:space="preserve"> some</w:t>
      </w:r>
      <w:r w:rsidR="00B31DE0" w:rsidRPr="00D1229A">
        <w:rPr>
          <w:lang w:val="en-GB"/>
        </w:rPr>
        <w:t xml:space="preserve"> </w:t>
      </w:r>
      <w:r w:rsidR="00413E87">
        <w:rPr>
          <w:lang w:val="en-GB"/>
        </w:rPr>
        <w:t>people with the condition</w:t>
      </w:r>
      <w:r w:rsidR="00413E87" w:rsidRPr="00D1229A">
        <w:rPr>
          <w:lang w:val="en-GB"/>
        </w:rPr>
        <w:t xml:space="preserve"> </w:t>
      </w:r>
      <w:r w:rsidR="00B31DE0" w:rsidRPr="00D1229A">
        <w:rPr>
          <w:lang w:val="en-GB"/>
        </w:rPr>
        <w:t>transitioning from showing no symptoms to death within hours</w:t>
      </w:r>
      <w:r w:rsidR="009143CF" w:rsidRPr="00D1229A">
        <w:rPr>
          <w:lang w:val="en-GB"/>
        </w:rPr>
        <w:t>. Although</w:t>
      </w:r>
      <w:r w:rsidR="00C44E12">
        <w:rPr>
          <w:lang w:val="en-GB"/>
        </w:rPr>
        <w:t xml:space="preserve"> there are</w:t>
      </w:r>
      <w:r w:rsidR="009143CF" w:rsidRPr="00D1229A">
        <w:rPr>
          <w:lang w:val="en-GB"/>
        </w:rPr>
        <w:t xml:space="preserve"> </w:t>
      </w:r>
      <w:r w:rsidR="0085794B" w:rsidRPr="00D1229A">
        <w:rPr>
          <w:lang w:val="en-GB"/>
        </w:rPr>
        <w:t xml:space="preserve">treatments for </w:t>
      </w:r>
      <w:r w:rsidR="00206A4C">
        <w:rPr>
          <w:lang w:val="en-GB"/>
        </w:rPr>
        <w:t>acquired TTP</w:t>
      </w:r>
      <w:r w:rsidR="009143CF" w:rsidRPr="00D1229A">
        <w:rPr>
          <w:lang w:val="en-GB"/>
        </w:rPr>
        <w:t xml:space="preserve"> (see </w:t>
      </w:r>
      <w:r w:rsidR="003920EA" w:rsidRPr="00D1229A">
        <w:rPr>
          <w:lang w:val="en-GB"/>
        </w:rPr>
        <w:t>section</w:t>
      </w:r>
      <w:r w:rsidR="00C44E12">
        <w:rPr>
          <w:lang w:val="en-GB"/>
        </w:rPr>
        <w:t> </w:t>
      </w:r>
      <w:r w:rsidR="009143CF" w:rsidRPr="00D1229A">
        <w:rPr>
          <w:lang w:val="en-GB"/>
        </w:rPr>
        <w:t>3.2)</w:t>
      </w:r>
      <w:r w:rsidR="003D7304" w:rsidRPr="00D1229A">
        <w:rPr>
          <w:lang w:val="en-GB"/>
        </w:rPr>
        <w:t xml:space="preserve">, </w:t>
      </w:r>
      <w:r w:rsidR="009143CF" w:rsidRPr="00D1229A">
        <w:rPr>
          <w:lang w:val="en-GB"/>
        </w:rPr>
        <w:t xml:space="preserve">people can relapse. </w:t>
      </w:r>
      <w:r w:rsidR="00C44E12">
        <w:rPr>
          <w:lang w:val="en-GB"/>
        </w:rPr>
        <w:t>The p</w:t>
      </w:r>
      <w:r w:rsidR="009143CF" w:rsidRPr="00D1229A">
        <w:rPr>
          <w:lang w:val="en-GB"/>
        </w:rPr>
        <w:t xml:space="preserve">atient experts </w:t>
      </w:r>
      <w:r w:rsidR="00C44E12">
        <w:rPr>
          <w:lang w:val="en-GB"/>
        </w:rPr>
        <w:t>explained that</w:t>
      </w:r>
      <w:r w:rsidR="009143CF" w:rsidRPr="00D1229A">
        <w:rPr>
          <w:lang w:val="en-GB"/>
        </w:rPr>
        <w:t xml:space="preserve"> </w:t>
      </w:r>
      <w:r w:rsidR="00206A4C">
        <w:rPr>
          <w:lang w:val="en-GB"/>
        </w:rPr>
        <w:t>acquired TTP</w:t>
      </w:r>
      <w:r w:rsidR="009143CF" w:rsidRPr="00D1229A">
        <w:rPr>
          <w:lang w:val="en-GB"/>
        </w:rPr>
        <w:t xml:space="preserve"> </w:t>
      </w:r>
      <w:r w:rsidR="00C44E12">
        <w:rPr>
          <w:lang w:val="en-GB"/>
        </w:rPr>
        <w:t xml:space="preserve">can have a big effect </w:t>
      </w:r>
      <w:r w:rsidR="009143CF" w:rsidRPr="00D1229A">
        <w:rPr>
          <w:lang w:val="en-GB"/>
        </w:rPr>
        <w:t>on quality of life</w:t>
      </w:r>
      <w:r w:rsidR="002D6114" w:rsidRPr="00D1229A">
        <w:rPr>
          <w:lang w:val="en-GB"/>
        </w:rPr>
        <w:t xml:space="preserve"> </w:t>
      </w:r>
      <w:r w:rsidR="0085794B" w:rsidRPr="00D1229A">
        <w:rPr>
          <w:lang w:val="en-GB"/>
        </w:rPr>
        <w:t>and</w:t>
      </w:r>
      <w:r w:rsidR="00C44E12" w:rsidRPr="00D1229A">
        <w:rPr>
          <w:lang w:val="en-GB"/>
        </w:rPr>
        <w:t>,</w:t>
      </w:r>
      <w:r w:rsidR="0085794B" w:rsidRPr="00D1229A">
        <w:rPr>
          <w:lang w:val="en-GB"/>
        </w:rPr>
        <w:t xml:space="preserve"> </w:t>
      </w:r>
      <w:r w:rsidR="002D6114" w:rsidRPr="00D1229A">
        <w:rPr>
          <w:lang w:val="en-GB"/>
        </w:rPr>
        <w:t>i</w:t>
      </w:r>
      <w:r w:rsidR="009143CF" w:rsidRPr="00D1229A">
        <w:rPr>
          <w:lang w:val="en-GB"/>
        </w:rPr>
        <w:t>n particular</w:t>
      </w:r>
      <w:r w:rsidR="00C44E12">
        <w:rPr>
          <w:lang w:val="en-GB"/>
        </w:rPr>
        <w:t>,</w:t>
      </w:r>
      <w:r w:rsidR="009143CF" w:rsidRPr="00D1229A">
        <w:rPr>
          <w:lang w:val="en-GB"/>
        </w:rPr>
        <w:t xml:space="preserve"> on mental health.</w:t>
      </w:r>
      <w:r w:rsidR="00625F56" w:rsidRPr="00D1229A">
        <w:rPr>
          <w:lang w:val="en-GB"/>
        </w:rPr>
        <w:t xml:space="preserve"> </w:t>
      </w:r>
      <w:r w:rsidR="006B0A56" w:rsidRPr="00D1229A">
        <w:rPr>
          <w:lang w:val="en-GB"/>
        </w:rPr>
        <w:t xml:space="preserve">People </w:t>
      </w:r>
      <w:r w:rsidR="00C44E12">
        <w:rPr>
          <w:lang w:val="en-GB"/>
        </w:rPr>
        <w:t xml:space="preserve">with </w:t>
      </w:r>
      <w:r w:rsidR="006B0A56" w:rsidRPr="00D1229A">
        <w:rPr>
          <w:lang w:val="en-GB"/>
        </w:rPr>
        <w:t xml:space="preserve">newly diagnosed </w:t>
      </w:r>
      <w:r w:rsidR="00206A4C">
        <w:rPr>
          <w:lang w:val="en-GB"/>
        </w:rPr>
        <w:t>acquired TTP</w:t>
      </w:r>
      <w:r w:rsidR="006B0A56" w:rsidRPr="00D1229A">
        <w:rPr>
          <w:lang w:val="en-GB"/>
        </w:rPr>
        <w:t xml:space="preserve"> are likely to be</w:t>
      </w:r>
      <w:r w:rsidR="002D6114" w:rsidRPr="00D1229A">
        <w:rPr>
          <w:lang w:val="en-GB"/>
        </w:rPr>
        <w:t xml:space="preserve"> </w:t>
      </w:r>
      <w:r w:rsidR="002D6114" w:rsidRPr="00D1229A">
        <w:rPr>
          <w:lang w:val="en-GB"/>
        </w:rPr>
        <w:lastRenderedPageBreak/>
        <w:t>anxi</w:t>
      </w:r>
      <w:r w:rsidR="006B0A56" w:rsidRPr="00D1229A">
        <w:rPr>
          <w:lang w:val="en-GB"/>
        </w:rPr>
        <w:t>ous</w:t>
      </w:r>
      <w:r w:rsidR="00C44E12">
        <w:rPr>
          <w:lang w:val="en-GB"/>
        </w:rPr>
        <w:t>,</w:t>
      </w:r>
      <w:r w:rsidR="006B0A56" w:rsidRPr="00D1229A">
        <w:rPr>
          <w:lang w:val="en-GB"/>
        </w:rPr>
        <w:t xml:space="preserve"> which</w:t>
      </w:r>
      <w:r w:rsidR="002D6114" w:rsidRPr="00D1229A">
        <w:rPr>
          <w:lang w:val="en-GB"/>
        </w:rPr>
        <w:t xml:space="preserve"> is </w:t>
      </w:r>
      <w:r w:rsidR="006B0A56" w:rsidRPr="00D1229A">
        <w:rPr>
          <w:lang w:val="en-GB"/>
        </w:rPr>
        <w:t xml:space="preserve">made worse by </w:t>
      </w:r>
      <w:r w:rsidR="00C44E12">
        <w:rPr>
          <w:lang w:val="en-GB"/>
        </w:rPr>
        <w:t>them</w:t>
      </w:r>
      <w:r w:rsidR="006B0A56" w:rsidRPr="00D1229A">
        <w:rPr>
          <w:lang w:val="en-GB"/>
        </w:rPr>
        <w:t xml:space="preserve"> </w:t>
      </w:r>
      <w:r w:rsidR="004C12C1" w:rsidRPr="00D1229A">
        <w:rPr>
          <w:lang w:val="en-GB"/>
        </w:rPr>
        <w:t xml:space="preserve">never </w:t>
      </w:r>
      <w:r w:rsidR="006B0A56" w:rsidRPr="00D1229A">
        <w:rPr>
          <w:lang w:val="en-GB"/>
        </w:rPr>
        <w:t xml:space="preserve">having </w:t>
      </w:r>
      <w:r w:rsidR="004C12C1" w:rsidRPr="00D1229A">
        <w:rPr>
          <w:lang w:val="en-GB"/>
        </w:rPr>
        <w:t xml:space="preserve">heard of the </w:t>
      </w:r>
      <w:r w:rsidR="008118E0">
        <w:rPr>
          <w:lang w:val="en-GB"/>
        </w:rPr>
        <w:t>condition</w:t>
      </w:r>
      <w:r w:rsidR="003920EA" w:rsidRPr="00D1229A">
        <w:rPr>
          <w:lang w:val="en-GB"/>
        </w:rPr>
        <w:t xml:space="preserve">. </w:t>
      </w:r>
      <w:r w:rsidR="007C0E72" w:rsidRPr="00D1229A">
        <w:rPr>
          <w:lang w:val="en-GB"/>
        </w:rPr>
        <w:t>E</w:t>
      </w:r>
      <w:r w:rsidR="002D6114" w:rsidRPr="00D1229A">
        <w:rPr>
          <w:lang w:val="en-GB"/>
        </w:rPr>
        <w:t xml:space="preserve">ven </w:t>
      </w:r>
      <w:r w:rsidR="008304AB" w:rsidRPr="00D1229A">
        <w:rPr>
          <w:lang w:val="en-GB"/>
        </w:rPr>
        <w:t>w</w:t>
      </w:r>
      <w:r w:rsidR="00625F56" w:rsidRPr="00D1229A">
        <w:rPr>
          <w:lang w:val="en-GB"/>
        </w:rPr>
        <w:t xml:space="preserve">hen </w:t>
      </w:r>
      <w:r w:rsidR="00206A4C">
        <w:rPr>
          <w:lang w:val="en-GB"/>
        </w:rPr>
        <w:t>acquired TTP</w:t>
      </w:r>
      <w:r w:rsidR="00625F56" w:rsidRPr="00D1229A">
        <w:rPr>
          <w:lang w:val="en-GB"/>
        </w:rPr>
        <w:t xml:space="preserve"> is in </w:t>
      </w:r>
      <w:r w:rsidR="006B0A56" w:rsidRPr="00D1229A">
        <w:rPr>
          <w:lang w:val="en-GB"/>
        </w:rPr>
        <w:t>‘</w:t>
      </w:r>
      <w:r w:rsidR="00625F56" w:rsidRPr="00D1229A">
        <w:rPr>
          <w:lang w:val="en-GB"/>
        </w:rPr>
        <w:t>remission</w:t>
      </w:r>
      <w:r w:rsidR="006B0A56" w:rsidRPr="00D1229A">
        <w:rPr>
          <w:lang w:val="en-GB"/>
        </w:rPr>
        <w:t>’</w:t>
      </w:r>
      <w:r w:rsidR="002D6114" w:rsidRPr="00D1229A">
        <w:rPr>
          <w:lang w:val="en-GB"/>
        </w:rPr>
        <w:t>,</w:t>
      </w:r>
      <w:r w:rsidR="00792A4C" w:rsidRPr="00D1229A">
        <w:rPr>
          <w:lang w:val="en-GB"/>
        </w:rPr>
        <w:t xml:space="preserve"> </w:t>
      </w:r>
      <w:r w:rsidR="00413E87">
        <w:rPr>
          <w:lang w:val="en-GB"/>
        </w:rPr>
        <w:t xml:space="preserve">people with </w:t>
      </w:r>
      <w:r w:rsidR="008118E0">
        <w:rPr>
          <w:lang w:val="en-GB"/>
        </w:rPr>
        <w:t>the condition</w:t>
      </w:r>
      <w:r w:rsidR="00413E87" w:rsidRPr="00D1229A">
        <w:rPr>
          <w:lang w:val="en-GB"/>
        </w:rPr>
        <w:t xml:space="preserve"> </w:t>
      </w:r>
      <w:r w:rsidR="006B0A56" w:rsidRPr="00D1229A">
        <w:rPr>
          <w:lang w:val="en-GB"/>
        </w:rPr>
        <w:t xml:space="preserve">fear </w:t>
      </w:r>
      <w:r w:rsidR="00792A4C" w:rsidRPr="00D1229A">
        <w:rPr>
          <w:lang w:val="en-GB"/>
        </w:rPr>
        <w:t>relapse.</w:t>
      </w:r>
      <w:r w:rsidR="00625F56" w:rsidRPr="00D1229A">
        <w:rPr>
          <w:lang w:val="en-GB"/>
        </w:rPr>
        <w:t xml:space="preserve"> </w:t>
      </w:r>
      <w:r w:rsidR="00EB483C">
        <w:rPr>
          <w:lang w:val="en-GB"/>
        </w:rPr>
        <w:t>Also, t</w:t>
      </w:r>
      <w:r w:rsidR="002D6114" w:rsidRPr="00D1229A">
        <w:rPr>
          <w:lang w:val="en-GB"/>
        </w:rPr>
        <w:t xml:space="preserve">he </w:t>
      </w:r>
      <w:r w:rsidR="00625F56" w:rsidRPr="00D1229A">
        <w:rPr>
          <w:lang w:val="en-GB"/>
        </w:rPr>
        <w:t xml:space="preserve">signs </w:t>
      </w:r>
      <w:r w:rsidR="002D6114" w:rsidRPr="00D1229A">
        <w:rPr>
          <w:lang w:val="en-GB"/>
        </w:rPr>
        <w:t xml:space="preserve">and symptoms </w:t>
      </w:r>
      <w:r w:rsidR="00625F56" w:rsidRPr="00D1229A">
        <w:rPr>
          <w:lang w:val="en-GB"/>
        </w:rPr>
        <w:t xml:space="preserve">of relapse </w:t>
      </w:r>
      <w:r w:rsidR="006B0A56" w:rsidRPr="00D1229A">
        <w:rPr>
          <w:lang w:val="en-GB"/>
        </w:rPr>
        <w:t xml:space="preserve">may be </w:t>
      </w:r>
      <w:r w:rsidR="00301529" w:rsidRPr="00D1229A">
        <w:rPr>
          <w:lang w:val="en-GB"/>
        </w:rPr>
        <w:t>non-specific</w:t>
      </w:r>
      <w:r w:rsidR="00EB483C">
        <w:rPr>
          <w:lang w:val="en-GB"/>
        </w:rPr>
        <w:t>. O</w:t>
      </w:r>
      <w:r w:rsidR="002D6114" w:rsidRPr="00D1229A">
        <w:rPr>
          <w:lang w:val="en-GB"/>
        </w:rPr>
        <w:t xml:space="preserve">ne patient </w:t>
      </w:r>
      <w:r w:rsidR="00C44E12">
        <w:rPr>
          <w:lang w:val="en-GB"/>
        </w:rPr>
        <w:t xml:space="preserve">expert </w:t>
      </w:r>
      <w:r w:rsidR="002D6114" w:rsidRPr="00D1229A">
        <w:rPr>
          <w:lang w:val="en-GB"/>
        </w:rPr>
        <w:t xml:space="preserve">suggested </w:t>
      </w:r>
      <w:r w:rsidR="00C44E12">
        <w:rPr>
          <w:lang w:val="en-GB"/>
        </w:rPr>
        <w:t xml:space="preserve">that </w:t>
      </w:r>
      <w:r w:rsidR="002D6114" w:rsidRPr="00D1229A">
        <w:rPr>
          <w:lang w:val="en-GB"/>
        </w:rPr>
        <w:t xml:space="preserve">anxiety itself </w:t>
      </w:r>
      <w:r w:rsidR="00301529" w:rsidRPr="00D1229A">
        <w:rPr>
          <w:lang w:val="en-GB"/>
        </w:rPr>
        <w:t>is</w:t>
      </w:r>
      <w:r w:rsidR="002D6114" w:rsidRPr="00D1229A">
        <w:rPr>
          <w:lang w:val="en-GB"/>
        </w:rPr>
        <w:t xml:space="preserve"> a symptom of </w:t>
      </w:r>
      <w:r w:rsidR="004C12C1" w:rsidRPr="00D1229A">
        <w:rPr>
          <w:lang w:val="en-GB"/>
        </w:rPr>
        <w:t>an</w:t>
      </w:r>
      <w:r w:rsidR="002D6114" w:rsidRPr="00D1229A">
        <w:rPr>
          <w:lang w:val="en-GB"/>
        </w:rPr>
        <w:t xml:space="preserve"> </w:t>
      </w:r>
      <w:r w:rsidR="00301529" w:rsidRPr="00D1229A">
        <w:rPr>
          <w:lang w:val="en-GB"/>
        </w:rPr>
        <w:t>up</w:t>
      </w:r>
      <w:r w:rsidR="002D6114" w:rsidRPr="00D1229A">
        <w:rPr>
          <w:lang w:val="en-GB"/>
        </w:rPr>
        <w:t xml:space="preserve">coming relapse and </w:t>
      </w:r>
      <w:r w:rsidR="003920EA" w:rsidRPr="00D1229A">
        <w:rPr>
          <w:lang w:val="en-GB"/>
        </w:rPr>
        <w:t xml:space="preserve">can </w:t>
      </w:r>
      <w:r w:rsidR="002D6114" w:rsidRPr="00D1229A">
        <w:rPr>
          <w:lang w:val="en-GB"/>
        </w:rPr>
        <w:t>lead to long</w:t>
      </w:r>
      <w:r w:rsidR="00C44E12">
        <w:rPr>
          <w:lang w:val="en-GB"/>
        </w:rPr>
        <w:t>-</w:t>
      </w:r>
      <w:r w:rsidR="002D6114" w:rsidRPr="00D1229A">
        <w:rPr>
          <w:lang w:val="en-GB"/>
        </w:rPr>
        <w:t xml:space="preserve">term </w:t>
      </w:r>
      <w:r w:rsidR="00625F56" w:rsidRPr="00D1229A">
        <w:rPr>
          <w:lang w:val="en-GB"/>
        </w:rPr>
        <w:t xml:space="preserve">depression. </w:t>
      </w:r>
      <w:r w:rsidR="0074603B" w:rsidRPr="00D1229A">
        <w:rPr>
          <w:lang w:val="en-GB"/>
        </w:rPr>
        <w:t xml:space="preserve">The committee concluded that </w:t>
      </w:r>
      <w:r w:rsidR="00206A4C">
        <w:rPr>
          <w:lang w:val="en-GB"/>
        </w:rPr>
        <w:t>acquired TTP</w:t>
      </w:r>
      <w:r w:rsidR="0074603B" w:rsidRPr="00D1229A">
        <w:rPr>
          <w:lang w:val="en-GB"/>
        </w:rPr>
        <w:t xml:space="preserve"> is a life</w:t>
      </w:r>
      <w:r w:rsidR="008304AB" w:rsidRPr="00D1229A">
        <w:rPr>
          <w:lang w:val="en-GB"/>
        </w:rPr>
        <w:t>-</w:t>
      </w:r>
      <w:r w:rsidR="0074603B" w:rsidRPr="00D1229A">
        <w:rPr>
          <w:lang w:val="en-GB"/>
        </w:rPr>
        <w:t>threatening</w:t>
      </w:r>
      <w:r w:rsidR="00301529" w:rsidRPr="00D1229A">
        <w:rPr>
          <w:lang w:val="en-GB"/>
        </w:rPr>
        <w:t>, stressful</w:t>
      </w:r>
      <w:r w:rsidR="0074603B" w:rsidRPr="00D1229A">
        <w:rPr>
          <w:lang w:val="en-GB"/>
        </w:rPr>
        <w:t xml:space="preserve"> condition associated with </w:t>
      </w:r>
      <w:r w:rsidR="00EB483C">
        <w:rPr>
          <w:lang w:val="en-GB"/>
        </w:rPr>
        <w:t>long-term</w:t>
      </w:r>
      <w:r w:rsidR="0074603B" w:rsidRPr="00D1229A">
        <w:rPr>
          <w:lang w:val="en-GB"/>
        </w:rPr>
        <w:t xml:space="preserve"> </w:t>
      </w:r>
      <w:r w:rsidR="003920EA" w:rsidRPr="00D1229A">
        <w:rPr>
          <w:lang w:val="en-GB"/>
        </w:rPr>
        <w:t>morbidity and mortality</w:t>
      </w:r>
      <w:r w:rsidR="0074603B" w:rsidRPr="00D1229A">
        <w:rPr>
          <w:lang w:val="en-GB"/>
        </w:rPr>
        <w:t>.</w:t>
      </w:r>
    </w:p>
    <w:p w14:paraId="09A7E349" w14:textId="66218C8D" w:rsidR="00EC6DB7" w:rsidRPr="00D1229A" w:rsidRDefault="00EC6DB7" w:rsidP="00EC6DB7">
      <w:pPr>
        <w:pStyle w:val="Heading3"/>
      </w:pPr>
      <w:r w:rsidRPr="00D1229A">
        <w:t>Caplacizumab is</w:t>
      </w:r>
      <w:r w:rsidR="00517819" w:rsidRPr="00D1229A">
        <w:t xml:space="preserve"> added on to, but does not replace, existing treatment</w:t>
      </w:r>
      <w:r w:rsidRPr="00D1229A">
        <w:t xml:space="preserve"> </w:t>
      </w:r>
      <w:r w:rsidR="00EB483C">
        <w:t>with</w:t>
      </w:r>
      <w:r w:rsidR="00EB483C" w:rsidRPr="00D1229A">
        <w:t xml:space="preserve"> </w:t>
      </w:r>
      <w:r w:rsidRPr="00D1229A">
        <w:t xml:space="preserve">plasma exchange </w:t>
      </w:r>
      <w:r w:rsidR="00517819" w:rsidRPr="00D1229A">
        <w:t>and</w:t>
      </w:r>
      <w:r w:rsidR="006D03E7" w:rsidRPr="00D1229A">
        <w:t xml:space="preserve"> </w:t>
      </w:r>
      <w:r w:rsidR="00EC4071" w:rsidRPr="00D1229A">
        <w:t>immunosuppressants</w:t>
      </w:r>
    </w:p>
    <w:p w14:paraId="324A2C92" w14:textId="62319708" w:rsidR="00EC6DB7" w:rsidRPr="00D1229A" w:rsidRDefault="00EB483C" w:rsidP="00D03251">
      <w:pPr>
        <w:pStyle w:val="Numberedlevel2text"/>
        <w:rPr>
          <w:lang w:val="en-GB"/>
        </w:rPr>
      </w:pPr>
      <w:r>
        <w:rPr>
          <w:lang w:val="en-GB"/>
        </w:rPr>
        <w:t>After</w:t>
      </w:r>
      <w:r w:rsidRPr="00D1229A">
        <w:rPr>
          <w:lang w:val="en-GB"/>
        </w:rPr>
        <w:t xml:space="preserve"> </w:t>
      </w:r>
      <w:r w:rsidR="006D03E7" w:rsidRPr="00D1229A">
        <w:rPr>
          <w:lang w:val="en-GB"/>
        </w:rPr>
        <w:t xml:space="preserve">diagnosis of an acute episode of </w:t>
      </w:r>
      <w:r w:rsidR="00206A4C">
        <w:rPr>
          <w:lang w:val="en-GB"/>
        </w:rPr>
        <w:t>acquired TTP</w:t>
      </w:r>
      <w:r w:rsidR="00301529" w:rsidRPr="00D1229A">
        <w:rPr>
          <w:lang w:val="en-GB"/>
        </w:rPr>
        <w:t xml:space="preserve">, </w:t>
      </w:r>
      <w:r w:rsidR="006D03E7" w:rsidRPr="00D1229A">
        <w:rPr>
          <w:lang w:val="en-GB"/>
        </w:rPr>
        <w:t>c</w:t>
      </w:r>
      <w:r w:rsidR="00390AFC" w:rsidRPr="00D1229A">
        <w:rPr>
          <w:lang w:val="en-GB"/>
        </w:rPr>
        <w:t xml:space="preserve">urrent </w:t>
      </w:r>
      <w:r w:rsidR="00DF501F">
        <w:rPr>
          <w:lang w:val="en-GB"/>
        </w:rPr>
        <w:t xml:space="preserve">standard </w:t>
      </w:r>
      <w:r w:rsidR="00390AFC" w:rsidRPr="00D1229A">
        <w:rPr>
          <w:lang w:val="en-GB"/>
        </w:rPr>
        <w:t>treatment i</w:t>
      </w:r>
      <w:r w:rsidR="0074603B" w:rsidRPr="00D1229A">
        <w:rPr>
          <w:lang w:val="en-GB"/>
        </w:rPr>
        <w:t xml:space="preserve">nvolves plasma exchange, </w:t>
      </w:r>
      <w:r w:rsidR="005E3900" w:rsidRPr="00D1229A">
        <w:rPr>
          <w:lang w:val="en-GB"/>
        </w:rPr>
        <w:t>ideally within 48</w:t>
      </w:r>
      <w:r>
        <w:rPr>
          <w:lang w:val="en-GB"/>
        </w:rPr>
        <w:t> </w:t>
      </w:r>
      <w:r w:rsidR="005E3900" w:rsidRPr="00D1229A">
        <w:rPr>
          <w:lang w:val="en-GB"/>
        </w:rPr>
        <w:t>hours of diagnosis</w:t>
      </w:r>
      <w:r w:rsidR="00311F5A" w:rsidRPr="00D1229A">
        <w:rPr>
          <w:lang w:val="en-GB"/>
        </w:rPr>
        <w:t xml:space="preserve">. </w:t>
      </w:r>
      <w:r w:rsidR="00DC55CB">
        <w:rPr>
          <w:lang w:val="en-GB"/>
        </w:rPr>
        <w:t>This</w:t>
      </w:r>
      <w:r w:rsidR="00311F5A" w:rsidRPr="00D1229A">
        <w:rPr>
          <w:lang w:val="en-GB"/>
        </w:rPr>
        <w:t xml:space="preserve"> i</w:t>
      </w:r>
      <w:r w:rsidR="00301529" w:rsidRPr="00D1229A">
        <w:rPr>
          <w:lang w:val="en-GB"/>
        </w:rPr>
        <w:t>nvolves</w:t>
      </w:r>
      <w:r w:rsidR="006D03E7" w:rsidRPr="00D1229A">
        <w:rPr>
          <w:lang w:val="en-GB"/>
        </w:rPr>
        <w:t xml:space="preserve"> </w:t>
      </w:r>
      <w:r w:rsidR="0074603B" w:rsidRPr="00D1229A">
        <w:rPr>
          <w:lang w:val="en-GB"/>
        </w:rPr>
        <w:t>filter</w:t>
      </w:r>
      <w:r w:rsidR="00746C86" w:rsidRPr="00D1229A">
        <w:rPr>
          <w:lang w:val="en-GB"/>
        </w:rPr>
        <w:t>ing</w:t>
      </w:r>
      <w:r w:rsidR="0074603B" w:rsidRPr="00D1229A">
        <w:rPr>
          <w:lang w:val="en-GB"/>
        </w:rPr>
        <w:t xml:space="preserve"> blood to remove the </w:t>
      </w:r>
      <w:r w:rsidR="00301529" w:rsidRPr="00D1229A">
        <w:rPr>
          <w:lang w:val="en-GB"/>
        </w:rPr>
        <w:t xml:space="preserve">antibody-containing </w:t>
      </w:r>
      <w:r w:rsidR="0074603B" w:rsidRPr="00D1229A">
        <w:rPr>
          <w:lang w:val="en-GB"/>
        </w:rPr>
        <w:t>plasma</w:t>
      </w:r>
      <w:r w:rsidR="00DC55CB">
        <w:rPr>
          <w:lang w:val="en-GB"/>
        </w:rPr>
        <w:t>,</w:t>
      </w:r>
      <w:r w:rsidR="009F4D64" w:rsidRPr="00D1229A">
        <w:rPr>
          <w:lang w:val="en-GB"/>
        </w:rPr>
        <w:t xml:space="preserve"> </w:t>
      </w:r>
      <w:r w:rsidR="0074603B" w:rsidRPr="00D1229A">
        <w:rPr>
          <w:lang w:val="en-GB"/>
        </w:rPr>
        <w:t xml:space="preserve">and replacing </w:t>
      </w:r>
      <w:r w:rsidR="006D03E7" w:rsidRPr="00D1229A">
        <w:rPr>
          <w:lang w:val="en-GB"/>
        </w:rPr>
        <w:t xml:space="preserve">discarded plasma </w:t>
      </w:r>
      <w:r w:rsidR="0074603B" w:rsidRPr="00D1229A">
        <w:rPr>
          <w:lang w:val="en-GB"/>
        </w:rPr>
        <w:t xml:space="preserve">with donated plasma </w:t>
      </w:r>
      <w:r w:rsidR="00390AFC" w:rsidRPr="00D1229A">
        <w:rPr>
          <w:lang w:val="en-GB"/>
        </w:rPr>
        <w:t>to replace ADAMTS13</w:t>
      </w:r>
      <w:r w:rsidR="0074603B" w:rsidRPr="00D1229A">
        <w:rPr>
          <w:lang w:val="en-GB"/>
        </w:rPr>
        <w:t>.</w:t>
      </w:r>
      <w:r w:rsidR="00600304" w:rsidRPr="00D1229A">
        <w:rPr>
          <w:lang w:val="en-GB"/>
        </w:rPr>
        <w:t xml:space="preserve"> </w:t>
      </w:r>
      <w:r w:rsidR="005E3900" w:rsidRPr="00D1229A">
        <w:rPr>
          <w:lang w:val="en-GB"/>
        </w:rPr>
        <w:t xml:space="preserve">Immunosuppressant drugs </w:t>
      </w:r>
      <w:r w:rsidR="00AD2AD1" w:rsidRPr="00D1229A">
        <w:rPr>
          <w:lang w:val="en-GB"/>
        </w:rPr>
        <w:t xml:space="preserve">such as </w:t>
      </w:r>
      <w:r w:rsidR="005E3900" w:rsidRPr="00D1229A">
        <w:rPr>
          <w:lang w:val="en-GB"/>
        </w:rPr>
        <w:t xml:space="preserve">corticosteroids and rituximab </w:t>
      </w:r>
      <w:r w:rsidR="00DC55CB">
        <w:rPr>
          <w:lang w:val="en-GB"/>
        </w:rPr>
        <w:t xml:space="preserve">are used to </w:t>
      </w:r>
      <w:r w:rsidR="005E3900" w:rsidRPr="00D1229A">
        <w:rPr>
          <w:lang w:val="en-GB"/>
        </w:rPr>
        <w:t xml:space="preserve">treat the underlying autoimmune </w:t>
      </w:r>
      <w:r w:rsidR="008118E0">
        <w:rPr>
          <w:lang w:val="en-GB"/>
        </w:rPr>
        <w:t>condition</w:t>
      </w:r>
      <w:r w:rsidR="00DC55CB">
        <w:rPr>
          <w:lang w:val="en-GB"/>
        </w:rPr>
        <w:t>, with the aim of limiting how many</w:t>
      </w:r>
      <w:r w:rsidR="005E3900" w:rsidRPr="00D1229A">
        <w:rPr>
          <w:lang w:val="en-GB"/>
        </w:rPr>
        <w:t xml:space="preserve"> antibodies against ADAMTS13</w:t>
      </w:r>
      <w:r w:rsidR="00DC55CB">
        <w:rPr>
          <w:lang w:val="en-GB"/>
        </w:rPr>
        <w:t xml:space="preserve"> are made</w:t>
      </w:r>
      <w:r w:rsidR="005E3900" w:rsidRPr="00D1229A">
        <w:rPr>
          <w:lang w:val="en-GB"/>
        </w:rPr>
        <w:t xml:space="preserve">. </w:t>
      </w:r>
      <w:r w:rsidR="006D1C1B" w:rsidRPr="00D1229A">
        <w:rPr>
          <w:lang w:val="en-GB"/>
        </w:rPr>
        <w:t xml:space="preserve">Caplacizumab </w:t>
      </w:r>
      <w:r w:rsidR="00311F5A" w:rsidRPr="00D1229A">
        <w:rPr>
          <w:lang w:val="en-GB"/>
        </w:rPr>
        <w:t xml:space="preserve">binds to </w:t>
      </w:r>
      <w:r w:rsidR="006D1C1B" w:rsidRPr="00D1229A">
        <w:rPr>
          <w:lang w:val="en-GB"/>
        </w:rPr>
        <w:t>von Willebrand factor</w:t>
      </w:r>
      <w:r w:rsidR="0028174F" w:rsidRPr="00D1229A">
        <w:rPr>
          <w:lang w:val="en-GB"/>
        </w:rPr>
        <w:t xml:space="preserve">, </w:t>
      </w:r>
      <w:r w:rsidR="00D03251" w:rsidRPr="00D1229A">
        <w:rPr>
          <w:lang w:val="en-GB"/>
        </w:rPr>
        <w:t xml:space="preserve">inhibiting it from interacting with platelets, and </w:t>
      </w:r>
      <w:r w:rsidR="00311F5A" w:rsidRPr="00D1229A">
        <w:rPr>
          <w:lang w:val="en-GB"/>
        </w:rPr>
        <w:t>prevent</w:t>
      </w:r>
      <w:r w:rsidR="00D03251" w:rsidRPr="00D1229A">
        <w:rPr>
          <w:lang w:val="en-GB"/>
        </w:rPr>
        <w:t>ing</w:t>
      </w:r>
      <w:r w:rsidR="00311F5A" w:rsidRPr="00D1229A">
        <w:rPr>
          <w:lang w:val="en-GB"/>
        </w:rPr>
        <w:t xml:space="preserve"> clots</w:t>
      </w:r>
      <w:r w:rsidR="006D1C1B" w:rsidRPr="00D1229A">
        <w:rPr>
          <w:lang w:val="en-GB"/>
        </w:rPr>
        <w:t xml:space="preserve">. </w:t>
      </w:r>
      <w:r w:rsidR="00BC5A51" w:rsidRPr="00D1229A">
        <w:rPr>
          <w:lang w:val="en-GB"/>
        </w:rPr>
        <w:t>The first dose is given intravenously</w:t>
      </w:r>
      <w:r w:rsidR="00BE1E04" w:rsidRPr="00D1229A">
        <w:rPr>
          <w:lang w:val="en-GB"/>
        </w:rPr>
        <w:t xml:space="preserve"> at the first plasma exchange</w:t>
      </w:r>
      <w:r w:rsidR="00FB4FAB">
        <w:rPr>
          <w:lang w:val="en-GB"/>
        </w:rPr>
        <w:t>. T</w:t>
      </w:r>
      <w:r w:rsidR="00BC5A51" w:rsidRPr="00D1229A">
        <w:rPr>
          <w:lang w:val="en-GB"/>
        </w:rPr>
        <w:t xml:space="preserve">he </w:t>
      </w:r>
      <w:r w:rsidR="00693EBD" w:rsidRPr="00D1229A">
        <w:rPr>
          <w:lang w:val="en-GB"/>
        </w:rPr>
        <w:t>subsequent doses</w:t>
      </w:r>
      <w:r w:rsidR="006D1C1B" w:rsidRPr="00D1229A">
        <w:rPr>
          <w:lang w:val="en-GB"/>
        </w:rPr>
        <w:t xml:space="preserve"> </w:t>
      </w:r>
      <w:r w:rsidR="00FB4FAB">
        <w:rPr>
          <w:lang w:val="en-GB"/>
        </w:rPr>
        <w:t xml:space="preserve">are </w:t>
      </w:r>
      <w:r w:rsidR="00693EBD" w:rsidRPr="00D1229A">
        <w:rPr>
          <w:lang w:val="en-GB"/>
        </w:rPr>
        <w:t xml:space="preserve">given subcutaneously </w:t>
      </w:r>
      <w:r w:rsidR="00FB4FAB">
        <w:rPr>
          <w:lang w:val="en-GB"/>
        </w:rPr>
        <w:t xml:space="preserve">daily </w:t>
      </w:r>
      <w:r w:rsidR="002B4DA8" w:rsidRPr="00D1229A">
        <w:rPr>
          <w:lang w:val="en-GB"/>
        </w:rPr>
        <w:t>for up to 30</w:t>
      </w:r>
      <w:r w:rsidR="00FB4FAB">
        <w:rPr>
          <w:lang w:val="en-GB"/>
        </w:rPr>
        <w:t> </w:t>
      </w:r>
      <w:r w:rsidR="002B4DA8" w:rsidRPr="00D1229A">
        <w:rPr>
          <w:lang w:val="en-GB"/>
        </w:rPr>
        <w:t>days after stopping plasma exchange</w:t>
      </w:r>
      <w:r w:rsidR="00FB4FAB">
        <w:rPr>
          <w:lang w:val="en-GB"/>
        </w:rPr>
        <w:t>,</w:t>
      </w:r>
      <w:r w:rsidR="00BE1E04" w:rsidRPr="00D1229A">
        <w:rPr>
          <w:lang w:val="en-GB"/>
        </w:rPr>
        <w:t xml:space="preserve"> </w:t>
      </w:r>
      <w:r w:rsidR="002B4DA8" w:rsidRPr="00D1229A">
        <w:rPr>
          <w:lang w:val="en-GB"/>
        </w:rPr>
        <w:t xml:space="preserve">or until ADAMTS13 levels normalise. </w:t>
      </w:r>
      <w:r w:rsidR="00600304" w:rsidRPr="00D1229A">
        <w:rPr>
          <w:lang w:val="en-GB"/>
        </w:rPr>
        <w:t>The clinical experts stated that control</w:t>
      </w:r>
      <w:r w:rsidR="00BE1E04" w:rsidRPr="00D1229A">
        <w:rPr>
          <w:lang w:val="en-GB"/>
        </w:rPr>
        <w:t>ling</w:t>
      </w:r>
      <w:r w:rsidR="00600304" w:rsidRPr="00D1229A">
        <w:rPr>
          <w:lang w:val="en-GB"/>
        </w:rPr>
        <w:t xml:space="preserve"> </w:t>
      </w:r>
      <w:r w:rsidR="00FB4FAB">
        <w:rPr>
          <w:lang w:val="en-GB"/>
        </w:rPr>
        <w:t xml:space="preserve">the </w:t>
      </w:r>
      <w:r w:rsidR="00600304" w:rsidRPr="00D1229A">
        <w:rPr>
          <w:lang w:val="en-GB"/>
        </w:rPr>
        <w:t xml:space="preserve">underlying immune </w:t>
      </w:r>
      <w:r w:rsidR="008118E0">
        <w:rPr>
          <w:lang w:val="en-GB"/>
        </w:rPr>
        <w:t>condition can</w:t>
      </w:r>
      <w:r w:rsidR="00600304" w:rsidRPr="00D1229A">
        <w:rPr>
          <w:lang w:val="en-GB"/>
        </w:rPr>
        <w:t xml:space="preserve"> take up to 10</w:t>
      </w:r>
      <w:r w:rsidR="00FB4FAB">
        <w:rPr>
          <w:lang w:val="en-GB"/>
        </w:rPr>
        <w:t> </w:t>
      </w:r>
      <w:r w:rsidR="00600304" w:rsidRPr="00D1229A">
        <w:rPr>
          <w:lang w:val="en-GB"/>
        </w:rPr>
        <w:t>days with rituximab</w:t>
      </w:r>
      <w:r w:rsidR="00FB4FAB">
        <w:rPr>
          <w:lang w:val="en-GB"/>
        </w:rPr>
        <w:t xml:space="preserve"> treatment,</w:t>
      </w:r>
      <w:r w:rsidR="00600304" w:rsidRPr="00D1229A">
        <w:rPr>
          <w:lang w:val="en-GB"/>
        </w:rPr>
        <w:t xml:space="preserve"> and</w:t>
      </w:r>
      <w:r w:rsidR="00FB4FAB">
        <w:rPr>
          <w:lang w:val="en-GB"/>
        </w:rPr>
        <w:t xml:space="preserve"> that</w:t>
      </w:r>
      <w:r w:rsidR="00600304" w:rsidRPr="00D1229A">
        <w:rPr>
          <w:lang w:val="en-GB"/>
        </w:rPr>
        <w:t xml:space="preserve"> caplacizumab </w:t>
      </w:r>
      <w:r w:rsidR="00FB4FAB" w:rsidRPr="00D1229A">
        <w:rPr>
          <w:lang w:val="en-GB"/>
        </w:rPr>
        <w:t>treat</w:t>
      </w:r>
      <w:r w:rsidR="00FB4FAB">
        <w:rPr>
          <w:lang w:val="en-GB"/>
        </w:rPr>
        <w:t>ment</w:t>
      </w:r>
      <w:r w:rsidR="00FB4FAB" w:rsidRPr="00D1229A">
        <w:rPr>
          <w:lang w:val="en-GB"/>
        </w:rPr>
        <w:t xml:space="preserve"> </w:t>
      </w:r>
      <w:r w:rsidR="00D03251" w:rsidRPr="00D1229A">
        <w:rPr>
          <w:lang w:val="en-GB"/>
        </w:rPr>
        <w:t xml:space="preserve">aims </w:t>
      </w:r>
      <w:r w:rsidR="00600304" w:rsidRPr="00D1229A">
        <w:rPr>
          <w:lang w:val="en-GB"/>
        </w:rPr>
        <w:t>to reduce blood clot</w:t>
      </w:r>
      <w:r w:rsidR="00FB4FAB">
        <w:rPr>
          <w:lang w:val="en-GB"/>
        </w:rPr>
        <w:t xml:space="preserve"> formation during</w:t>
      </w:r>
      <w:r w:rsidR="00600304" w:rsidRPr="00D1229A">
        <w:rPr>
          <w:lang w:val="en-GB"/>
        </w:rPr>
        <w:t xml:space="preserve"> this time. </w:t>
      </w:r>
      <w:r w:rsidR="003E3D04" w:rsidRPr="00D1229A">
        <w:rPr>
          <w:lang w:val="en-GB"/>
        </w:rPr>
        <w:t xml:space="preserve">The clinical experts explained that the longer blood vessels remained blocked, the higher the </w:t>
      </w:r>
      <w:r w:rsidR="00AD2AD1" w:rsidRPr="00D1229A">
        <w:rPr>
          <w:lang w:val="en-GB"/>
        </w:rPr>
        <w:t xml:space="preserve">morbidity and </w:t>
      </w:r>
      <w:r w:rsidR="003E3D04" w:rsidRPr="00D1229A">
        <w:rPr>
          <w:lang w:val="en-GB"/>
        </w:rPr>
        <w:t>mortality</w:t>
      </w:r>
      <w:r w:rsidR="00FB4FAB" w:rsidRPr="00FB4FAB">
        <w:rPr>
          <w:lang w:val="en-GB"/>
        </w:rPr>
        <w:t xml:space="preserve"> </w:t>
      </w:r>
      <w:r w:rsidR="00FB4FAB" w:rsidRPr="00D1229A">
        <w:rPr>
          <w:lang w:val="en-GB"/>
        </w:rPr>
        <w:t>risk</w:t>
      </w:r>
      <w:r w:rsidR="003E3D04" w:rsidRPr="00D1229A">
        <w:rPr>
          <w:lang w:val="en-GB"/>
        </w:rPr>
        <w:t xml:space="preserve">. </w:t>
      </w:r>
      <w:r w:rsidR="00600304" w:rsidRPr="00D1229A">
        <w:rPr>
          <w:lang w:val="en-GB"/>
        </w:rPr>
        <w:t>The</w:t>
      </w:r>
      <w:r w:rsidR="008304AB" w:rsidRPr="00D1229A">
        <w:rPr>
          <w:lang w:val="en-GB"/>
        </w:rPr>
        <w:t>y further</w:t>
      </w:r>
      <w:r w:rsidR="00600304" w:rsidRPr="00D1229A">
        <w:rPr>
          <w:lang w:val="en-GB"/>
        </w:rPr>
        <w:t xml:space="preserve"> stated that</w:t>
      </w:r>
      <w:r w:rsidR="00FB4FAB">
        <w:rPr>
          <w:lang w:val="en-GB"/>
        </w:rPr>
        <w:t>,</w:t>
      </w:r>
      <w:r w:rsidR="00600304" w:rsidRPr="00D1229A">
        <w:rPr>
          <w:lang w:val="en-GB"/>
        </w:rPr>
        <w:t xml:space="preserve"> because of the risk of relapse,</w:t>
      </w:r>
      <w:r w:rsidR="00BE1E04" w:rsidRPr="00D1229A">
        <w:rPr>
          <w:lang w:val="en-GB"/>
        </w:rPr>
        <w:t xml:space="preserve"> clinicians continue to monitor</w:t>
      </w:r>
      <w:r w:rsidR="00600304" w:rsidRPr="00D1229A">
        <w:rPr>
          <w:lang w:val="en-GB"/>
        </w:rPr>
        <w:t xml:space="preserve"> people with </w:t>
      </w:r>
      <w:r w:rsidR="00206A4C">
        <w:rPr>
          <w:lang w:val="en-GB"/>
        </w:rPr>
        <w:t>acquired TTP</w:t>
      </w:r>
      <w:r w:rsidR="00600304" w:rsidRPr="00D1229A">
        <w:rPr>
          <w:lang w:val="en-GB"/>
        </w:rPr>
        <w:t xml:space="preserve"> in remission and</w:t>
      </w:r>
      <w:r w:rsidR="00BE1E04" w:rsidRPr="00D1229A">
        <w:rPr>
          <w:lang w:val="en-GB"/>
        </w:rPr>
        <w:t xml:space="preserve"> </w:t>
      </w:r>
      <w:r w:rsidR="00FB4FAB">
        <w:rPr>
          <w:lang w:val="en-GB"/>
        </w:rPr>
        <w:t xml:space="preserve">to </w:t>
      </w:r>
      <w:r w:rsidR="00BE1E04" w:rsidRPr="00D1229A">
        <w:rPr>
          <w:lang w:val="en-GB"/>
        </w:rPr>
        <w:t>offer</w:t>
      </w:r>
      <w:r w:rsidR="00600304" w:rsidRPr="00D1229A">
        <w:rPr>
          <w:lang w:val="en-GB"/>
        </w:rPr>
        <w:t xml:space="preserve"> rituximab to reduce </w:t>
      </w:r>
      <w:r w:rsidR="00FB4FAB">
        <w:rPr>
          <w:lang w:val="en-GB"/>
        </w:rPr>
        <w:t xml:space="preserve">relapse </w:t>
      </w:r>
      <w:r w:rsidR="00600304" w:rsidRPr="00D1229A">
        <w:rPr>
          <w:lang w:val="en-GB"/>
        </w:rPr>
        <w:t>risk. The committee concluded that caplacizumab</w:t>
      </w:r>
      <w:r w:rsidR="00AD2AD1" w:rsidRPr="00D1229A">
        <w:rPr>
          <w:lang w:val="en-GB"/>
        </w:rPr>
        <w:t xml:space="preserve"> does not replace existing treatment but is added to </w:t>
      </w:r>
      <w:r w:rsidR="00600304" w:rsidRPr="00D1229A">
        <w:rPr>
          <w:lang w:val="en-GB"/>
        </w:rPr>
        <w:t>plasma exchange to increase platelet co</w:t>
      </w:r>
      <w:r w:rsidR="009A4F0A" w:rsidRPr="00D1229A">
        <w:rPr>
          <w:lang w:val="en-GB"/>
        </w:rPr>
        <w:t>unts and reduce blood clots.</w:t>
      </w:r>
    </w:p>
    <w:p w14:paraId="312385C9" w14:textId="67D1A9E1" w:rsidR="009A4F0A" w:rsidRPr="00D1229A" w:rsidRDefault="009A4F0A" w:rsidP="009A4F0A">
      <w:pPr>
        <w:pStyle w:val="Heading3"/>
      </w:pPr>
      <w:r w:rsidRPr="00A02303">
        <w:lastRenderedPageBreak/>
        <w:t>Plasma</w:t>
      </w:r>
      <w:r w:rsidRPr="00D1229A">
        <w:t xml:space="preserve"> exchange is unpleas</w:t>
      </w:r>
      <w:r w:rsidR="00B14EE7" w:rsidRPr="00D1229A">
        <w:t>a</w:t>
      </w:r>
      <w:r w:rsidRPr="00D1229A">
        <w:t>nt</w:t>
      </w:r>
      <w:r w:rsidR="00DF501F">
        <w:t>,</w:t>
      </w:r>
      <w:r w:rsidRPr="00D1229A">
        <w:t xml:space="preserve"> and </w:t>
      </w:r>
      <w:r w:rsidR="00413E87">
        <w:t xml:space="preserve">people with </w:t>
      </w:r>
      <w:r w:rsidR="00206A4C">
        <w:t>acquired TTP</w:t>
      </w:r>
      <w:r w:rsidR="00413E87" w:rsidRPr="00D1229A">
        <w:t xml:space="preserve"> </w:t>
      </w:r>
      <w:r w:rsidRPr="00D1229A">
        <w:t xml:space="preserve">would welcome </w:t>
      </w:r>
      <w:r w:rsidR="003E4C3E" w:rsidRPr="00D1229A">
        <w:t xml:space="preserve">a </w:t>
      </w:r>
      <w:r w:rsidRPr="00D1229A">
        <w:t xml:space="preserve">treatment </w:t>
      </w:r>
      <w:r w:rsidR="00DF501F">
        <w:t>that</w:t>
      </w:r>
      <w:r w:rsidR="00DF501F" w:rsidRPr="00D1229A">
        <w:t xml:space="preserve"> </w:t>
      </w:r>
      <w:r w:rsidRPr="00D1229A">
        <w:t>reduces plasma exchange and hospital stays</w:t>
      </w:r>
    </w:p>
    <w:p w14:paraId="60E44B24" w14:textId="7F76925C" w:rsidR="009A4F0A" w:rsidRPr="00D1229A" w:rsidRDefault="00DF501F" w:rsidP="001C0ED1">
      <w:pPr>
        <w:pStyle w:val="Numberedlevel2text"/>
        <w:rPr>
          <w:lang w:val="en-GB"/>
        </w:rPr>
      </w:pPr>
      <w:r>
        <w:rPr>
          <w:lang w:val="en-GB"/>
        </w:rPr>
        <w:t>A</w:t>
      </w:r>
      <w:r w:rsidR="00EC4071" w:rsidRPr="00D1229A">
        <w:rPr>
          <w:lang w:val="en-GB"/>
        </w:rPr>
        <w:t xml:space="preserve">lthough </w:t>
      </w:r>
      <w:r w:rsidR="003E4C3E" w:rsidRPr="00D1229A">
        <w:rPr>
          <w:lang w:val="en-GB"/>
        </w:rPr>
        <w:t>capl</w:t>
      </w:r>
      <w:r w:rsidR="00D958B5" w:rsidRPr="00D1229A">
        <w:rPr>
          <w:lang w:val="en-GB"/>
        </w:rPr>
        <w:t>aci</w:t>
      </w:r>
      <w:r w:rsidR="003E4C3E" w:rsidRPr="00D1229A">
        <w:rPr>
          <w:lang w:val="en-GB"/>
        </w:rPr>
        <w:t>zumab does not replace plasma exchange</w:t>
      </w:r>
      <w:r w:rsidR="00EC4071" w:rsidRPr="00D1229A">
        <w:rPr>
          <w:lang w:val="en-GB"/>
        </w:rPr>
        <w:t xml:space="preserve">, it </w:t>
      </w:r>
      <w:r w:rsidR="00B716CA" w:rsidRPr="00D1229A">
        <w:rPr>
          <w:lang w:val="en-GB"/>
        </w:rPr>
        <w:t>may</w:t>
      </w:r>
      <w:r w:rsidR="00EC4071" w:rsidRPr="00D1229A">
        <w:rPr>
          <w:lang w:val="en-GB"/>
        </w:rPr>
        <w:t xml:space="preserve"> reduce </w:t>
      </w:r>
      <w:r>
        <w:rPr>
          <w:lang w:val="en-GB"/>
        </w:rPr>
        <w:t>the</w:t>
      </w:r>
      <w:r w:rsidRPr="00D1229A">
        <w:rPr>
          <w:lang w:val="en-GB"/>
        </w:rPr>
        <w:t xml:space="preserve"> </w:t>
      </w:r>
      <w:r w:rsidR="00EC4071" w:rsidRPr="00D1229A">
        <w:rPr>
          <w:lang w:val="en-GB"/>
        </w:rPr>
        <w:t>frequency (see section</w:t>
      </w:r>
      <w:r>
        <w:rPr>
          <w:lang w:val="en-GB"/>
        </w:rPr>
        <w:t> </w:t>
      </w:r>
      <w:r w:rsidR="00EC4071" w:rsidRPr="00D1229A">
        <w:rPr>
          <w:lang w:val="en-GB"/>
        </w:rPr>
        <w:t>3.</w:t>
      </w:r>
      <w:r w:rsidR="00454095" w:rsidRPr="00D1229A">
        <w:rPr>
          <w:lang w:val="en-GB"/>
        </w:rPr>
        <w:t>7</w:t>
      </w:r>
      <w:r w:rsidR="00EC4071" w:rsidRPr="00D1229A">
        <w:rPr>
          <w:lang w:val="en-GB"/>
        </w:rPr>
        <w:t>)</w:t>
      </w:r>
      <w:r w:rsidR="003E4C3E" w:rsidRPr="00D1229A">
        <w:rPr>
          <w:lang w:val="en-GB"/>
        </w:rPr>
        <w:t xml:space="preserve">. </w:t>
      </w:r>
      <w:r>
        <w:rPr>
          <w:lang w:val="en-GB"/>
        </w:rPr>
        <w:t>P</w:t>
      </w:r>
      <w:r w:rsidR="00810590" w:rsidRPr="00D1229A">
        <w:rPr>
          <w:lang w:val="en-GB"/>
        </w:rPr>
        <w:t>lasma exchange involv</w:t>
      </w:r>
      <w:r w:rsidR="00B0079B" w:rsidRPr="00D1229A">
        <w:rPr>
          <w:lang w:val="en-GB"/>
        </w:rPr>
        <w:t>es</w:t>
      </w:r>
      <w:r w:rsidR="00810590" w:rsidRPr="00D1229A">
        <w:rPr>
          <w:lang w:val="en-GB"/>
        </w:rPr>
        <w:t xml:space="preserve"> inserting a</w:t>
      </w:r>
      <w:r w:rsidR="00B716CA" w:rsidRPr="00D1229A">
        <w:rPr>
          <w:lang w:val="en-GB"/>
        </w:rPr>
        <w:t>n intravenous</w:t>
      </w:r>
      <w:r w:rsidR="00810590" w:rsidRPr="00D1229A">
        <w:rPr>
          <w:lang w:val="en-GB"/>
        </w:rPr>
        <w:t xml:space="preserve"> catheter</w:t>
      </w:r>
      <w:r>
        <w:rPr>
          <w:lang w:val="en-GB"/>
        </w:rPr>
        <w:t>,</w:t>
      </w:r>
      <w:r w:rsidR="00810590" w:rsidRPr="00D1229A">
        <w:rPr>
          <w:lang w:val="en-GB"/>
        </w:rPr>
        <w:t xml:space="preserve"> </w:t>
      </w:r>
      <w:r w:rsidR="00B716CA" w:rsidRPr="00D1229A">
        <w:rPr>
          <w:lang w:val="en-GB"/>
        </w:rPr>
        <w:t>which</w:t>
      </w:r>
      <w:r w:rsidR="00810590" w:rsidRPr="00D1229A">
        <w:rPr>
          <w:lang w:val="en-GB"/>
        </w:rPr>
        <w:t xml:space="preserve"> carries a risk of infection</w:t>
      </w:r>
      <w:r w:rsidR="003E4C3E" w:rsidRPr="00D1229A">
        <w:rPr>
          <w:lang w:val="en-GB"/>
        </w:rPr>
        <w:t xml:space="preserve">. </w:t>
      </w:r>
      <w:r w:rsidR="00B47178" w:rsidRPr="00D1229A">
        <w:rPr>
          <w:lang w:val="en-GB"/>
        </w:rPr>
        <w:t>The clinical experts stated that the catheters are typically replaced every 5</w:t>
      </w:r>
      <w:r>
        <w:rPr>
          <w:lang w:val="en-GB"/>
        </w:rPr>
        <w:t> </w:t>
      </w:r>
      <w:r w:rsidR="00B47178" w:rsidRPr="00D1229A">
        <w:rPr>
          <w:lang w:val="en-GB"/>
        </w:rPr>
        <w:t>to 7</w:t>
      </w:r>
      <w:r>
        <w:rPr>
          <w:lang w:val="en-GB"/>
        </w:rPr>
        <w:t> </w:t>
      </w:r>
      <w:r w:rsidR="00B47178" w:rsidRPr="00D1229A">
        <w:rPr>
          <w:lang w:val="en-GB"/>
        </w:rPr>
        <w:t>days</w:t>
      </w:r>
      <w:r w:rsidR="00AD3431">
        <w:rPr>
          <w:lang w:val="en-GB"/>
        </w:rPr>
        <w:t>.</w:t>
      </w:r>
      <w:r>
        <w:rPr>
          <w:lang w:val="en-GB"/>
        </w:rPr>
        <w:t xml:space="preserve"> This means that</w:t>
      </w:r>
      <w:r w:rsidR="00B47178" w:rsidRPr="00D1229A">
        <w:rPr>
          <w:lang w:val="en-GB"/>
        </w:rPr>
        <w:t xml:space="preserve"> treatments which reduce the duration</w:t>
      </w:r>
      <w:r w:rsidR="006D1C1B" w:rsidRPr="00D1229A">
        <w:rPr>
          <w:lang w:val="en-GB"/>
        </w:rPr>
        <w:t xml:space="preserve"> and frequency</w:t>
      </w:r>
      <w:r w:rsidR="00B47178" w:rsidRPr="00D1229A">
        <w:rPr>
          <w:lang w:val="en-GB"/>
        </w:rPr>
        <w:t xml:space="preserve"> of plasma exchange would also reduce the </w:t>
      </w:r>
      <w:r w:rsidR="00B716CA" w:rsidRPr="00D1229A">
        <w:rPr>
          <w:lang w:val="en-GB"/>
        </w:rPr>
        <w:t>need to replace</w:t>
      </w:r>
      <w:r w:rsidR="00B47178" w:rsidRPr="00D1229A">
        <w:rPr>
          <w:lang w:val="en-GB"/>
        </w:rPr>
        <w:t xml:space="preserve"> catheter</w:t>
      </w:r>
      <w:r w:rsidR="00B716CA" w:rsidRPr="00D1229A">
        <w:rPr>
          <w:lang w:val="en-GB"/>
        </w:rPr>
        <w:t>s</w:t>
      </w:r>
      <w:r w:rsidR="00B47178" w:rsidRPr="00D1229A">
        <w:rPr>
          <w:lang w:val="en-GB"/>
        </w:rPr>
        <w:t xml:space="preserve">. </w:t>
      </w:r>
      <w:r w:rsidR="009A4F0A" w:rsidRPr="00D1229A">
        <w:rPr>
          <w:lang w:val="en-GB"/>
        </w:rPr>
        <w:t>The patient experts described how insert</w:t>
      </w:r>
      <w:r w:rsidR="003E4C3E" w:rsidRPr="00D1229A">
        <w:rPr>
          <w:lang w:val="en-GB"/>
        </w:rPr>
        <w:t>ing</w:t>
      </w:r>
      <w:r w:rsidR="009A4F0A" w:rsidRPr="00D1229A">
        <w:rPr>
          <w:lang w:val="en-GB"/>
        </w:rPr>
        <w:t xml:space="preserve"> catheters </w:t>
      </w:r>
      <w:r w:rsidR="003E4C3E" w:rsidRPr="00D1229A">
        <w:rPr>
          <w:lang w:val="en-GB"/>
        </w:rPr>
        <w:t xml:space="preserve">is </w:t>
      </w:r>
      <w:r w:rsidR="00810590" w:rsidRPr="00D1229A">
        <w:rPr>
          <w:lang w:val="en-GB"/>
        </w:rPr>
        <w:t xml:space="preserve">uncomfortable, painful </w:t>
      </w:r>
      <w:r w:rsidR="009A4F0A" w:rsidRPr="00D1229A">
        <w:rPr>
          <w:lang w:val="en-GB"/>
        </w:rPr>
        <w:t xml:space="preserve">and </w:t>
      </w:r>
      <w:r w:rsidR="00810590" w:rsidRPr="00D1229A">
        <w:rPr>
          <w:lang w:val="en-GB"/>
        </w:rPr>
        <w:t>stressful</w:t>
      </w:r>
      <w:r w:rsidR="003E4C3E" w:rsidRPr="00D1229A">
        <w:rPr>
          <w:lang w:val="en-GB"/>
        </w:rPr>
        <w:t>, in part</w:t>
      </w:r>
      <w:r>
        <w:rPr>
          <w:lang w:val="en-GB"/>
        </w:rPr>
        <w:t>,</w:t>
      </w:r>
      <w:r w:rsidR="003E4C3E" w:rsidRPr="00D1229A">
        <w:rPr>
          <w:lang w:val="en-GB"/>
        </w:rPr>
        <w:t xml:space="preserve"> because </w:t>
      </w:r>
      <w:r w:rsidR="009A4F0A" w:rsidRPr="00D1229A">
        <w:rPr>
          <w:lang w:val="en-GB"/>
        </w:rPr>
        <w:t>of infection</w:t>
      </w:r>
      <w:r w:rsidR="00FB4FAB">
        <w:rPr>
          <w:lang w:val="en-GB"/>
        </w:rPr>
        <w:t xml:space="preserve"> risk</w:t>
      </w:r>
      <w:r w:rsidR="009A4F0A" w:rsidRPr="00D1229A">
        <w:rPr>
          <w:lang w:val="en-GB"/>
        </w:rPr>
        <w:t>.</w:t>
      </w:r>
      <w:r w:rsidR="004021C7" w:rsidRPr="00D1229A">
        <w:rPr>
          <w:lang w:val="en-GB"/>
        </w:rPr>
        <w:t xml:space="preserve"> The</w:t>
      </w:r>
      <w:r>
        <w:rPr>
          <w:lang w:val="en-GB"/>
        </w:rPr>
        <w:t>y</w:t>
      </w:r>
      <w:r w:rsidR="004021C7" w:rsidRPr="00D1229A">
        <w:rPr>
          <w:lang w:val="en-GB"/>
        </w:rPr>
        <w:t xml:space="preserve"> stated that</w:t>
      </w:r>
      <w:r w:rsidR="00B47178" w:rsidRPr="00D1229A">
        <w:rPr>
          <w:lang w:val="en-GB"/>
        </w:rPr>
        <w:t>,</w:t>
      </w:r>
      <w:r w:rsidR="004021C7" w:rsidRPr="00D1229A">
        <w:rPr>
          <w:lang w:val="en-GB"/>
        </w:rPr>
        <w:t xml:space="preserve"> </w:t>
      </w:r>
      <w:r w:rsidR="00B47178" w:rsidRPr="00D1229A">
        <w:rPr>
          <w:lang w:val="en-GB"/>
        </w:rPr>
        <w:t xml:space="preserve">of </w:t>
      </w:r>
      <w:r>
        <w:rPr>
          <w:lang w:val="en-GB"/>
        </w:rPr>
        <w:t xml:space="preserve">all </w:t>
      </w:r>
      <w:r w:rsidR="004021C7" w:rsidRPr="00D1229A">
        <w:rPr>
          <w:lang w:val="en-GB"/>
        </w:rPr>
        <w:t>the reported benefits of caplacizumab</w:t>
      </w:r>
      <w:r w:rsidR="00B47178" w:rsidRPr="00D1229A">
        <w:rPr>
          <w:lang w:val="en-GB"/>
        </w:rPr>
        <w:t>,</w:t>
      </w:r>
      <w:r w:rsidR="004021C7" w:rsidRPr="00D1229A">
        <w:rPr>
          <w:lang w:val="en-GB"/>
        </w:rPr>
        <w:t xml:space="preserve"> </w:t>
      </w:r>
      <w:r w:rsidR="003F420F" w:rsidRPr="00D1229A">
        <w:rPr>
          <w:lang w:val="en-GB"/>
        </w:rPr>
        <w:t xml:space="preserve">they </w:t>
      </w:r>
      <w:r w:rsidR="006D1C1B" w:rsidRPr="00D1229A">
        <w:rPr>
          <w:lang w:val="en-GB"/>
        </w:rPr>
        <w:t xml:space="preserve">most </w:t>
      </w:r>
      <w:r w:rsidR="003F420F" w:rsidRPr="00D1229A">
        <w:rPr>
          <w:lang w:val="en-GB"/>
        </w:rPr>
        <w:t xml:space="preserve">welcome </w:t>
      </w:r>
      <w:r w:rsidR="004021C7" w:rsidRPr="00D1229A">
        <w:rPr>
          <w:lang w:val="en-GB"/>
        </w:rPr>
        <w:t>reducing plasma exchange,</w:t>
      </w:r>
      <w:r w:rsidR="00B47178" w:rsidRPr="00D1229A">
        <w:rPr>
          <w:lang w:val="en-GB"/>
        </w:rPr>
        <w:t xml:space="preserve"> and</w:t>
      </w:r>
      <w:r w:rsidR="004021C7" w:rsidRPr="00D1229A">
        <w:rPr>
          <w:lang w:val="en-GB"/>
        </w:rPr>
        <w:t xml:space="preserve"> time in intensive care. One patient expert </w:t>
      </w:r>
      <w:r w:rsidR="00541E4A" w:rsidRPr="00D1229A">
        <w:rPr>
          <w:lang w:val="en-GB"/>
        </w:rPr>
        <w:t xml:space="preserve">who </w:t>
      </w:r>
      <w:r w:rsidR="004021C7" w:rsidRPr="00D1229A">
        <w:rPr>
          <w:lang w:val="en-GB"/>
        </w:rPr>
        <w:t>had us</w:t>
      </w:r>
      <w:r w:rsidR="006D1C1B" w:rsidRPr="00D1229A">
        <w:rPr>
          <w:lang w:val="en-GB"/>
        </w:rPr>
        <w:t>ed</w:t>
      </w:r>
      <w:r w:rsidR="004021C7" w:rsidRPr="00D1229A">
        <w:rPr>
          <w:lang w:val="en-GB"/>
        </w:rPr>
        <w:t xml:space="preserve"> caplacizumab</w:t>
      </w:r>
      <w:r w:rsidR="00541E4A" w:rsidRPr="00D1229A">
        <w:rPr>
          <w:lang w:val="en-GB"/>
        </w:rPr>
        <w:t xml:space="preserve"> </w:t>
      </w:r>
      <w:r w:rsidR="004021C7" w:rsidRPr="00D1229A">
        <w:rPr>
          <w:lang w:val="en-GB"/>
        </w:rPr>
        <w:t xml:space="preserve">stated that people </w:t>
      </w:r>
      <w:r>
        <w:rPr>
          <w:lang w:val="en-GB"/>
        </w:rPr>
        <w:t>might</w:t>
      </w:r>
      <w:r w:rsidRPr="00D1229A">
        <w:rPr>
          <w:lang w:val="en-GB"/>
        </w:rPr>
        <w:t xml:space="preserve"> </w:t>
      </w:r>
      <w:r w:rsidR="00541E4A" w:rsidRPr="00D1229A">
        <w:rPr>
          <w:lang w:val="en-GB"/>
        </w:rPr>
        <w:t>struggle</w:t>
      </w:r>
      <w:r w:rsidR="004021C7" w:rsidRPr="00D1229A">
        <w:rPr>
          <w:lang w:val="en-GB"/>
        </w:rPr>
        <w:t xml:space="preserve"> with injecting caplacizumab at home or</w:t>
      </w:r>
      <w:r w:rsidR="00541E4A" w:rsidRPr="00D1229A">
        <w:rPr>
          <w:lang w:val="en-GB"/>
        </w:rPr>
        <w:t xml:space="preserve"> with</w:t>
      </w:r>
      <w:r w:rsidR="004021C7" w:rsidRPr="00D1229A">
        <w:rPr>
          <w:lang w:val="en-GB"/>
        </w:rPr>
        <w:t xml:space="preserve"> its </w:t>
      </w:r>
      <w:r w:rsidR="00F34BFF" w:rsidRPr="00D1229A">
        <w:rPr>
          <w:lang w:val="en-GB"/>
        </w:rPr>
        <w:t xml:space="preserve">adverse </w:t>
      </w:r>
      <w:r w:rsidR="004021C7" w:rsidRPr="00D1229A">
        <w:rPr>
          <w:lang w:val="en-GB"/>
        </w:rPr>
        <w:t>effects</w:t>
      </w:r>
      <w:r w:rsidR="00810590" w:rsidRPr="00D1229A">
        <w:rPr>
          <w:lang w:val="en-GB"/>
        </w:rPr>
        <w:t>,</w:t>
      </w:r>
      <w:r w:rsidR="004021C7" w:rsidRPr="00D1229A">
        <w:rPr>
          <w:lang w:val="en-GB"/>
        </w:rPr>
        <w:t xml:space="preserve"> such as nosebleeds</w:t>
      </w:r>
      <w:r>
        <w:rPr>
          <w:lang w:val="en-GB"/>
        </w:rPr>
        <w:t>. However</w:t>
      </w:r>
      <w:r w:rsidR="00810590" w:rsidRPr="00D1229A">
        <w:rPr>
          <w:lang w:val="en-GB"/>
        </w:rPr>
        <w:t>,</w:t>
      </w:r>
      <w:r>
        <w:rPr>
          <w:lang w:val="en-GB"/>
        </w:rPr>
        <w:t xml:space="preserve"> they thought that</w:t>
      </w:r>
      <w:r w:rsidR="004021C7" w:rsidRPr="00D1229A">
        <w:rPr>
          <w:lang w:val="en-GB"/>
        </w:rPr>
        <w:t xml:space="preserve"> </w:t>
      </w:r>
      <w:r>
        <w:rPr>
          <w:lang w:val="en-GB"/>
        </w:rPr>
        <w:t>people</w:t>
      </w:r>
      <w:r w:rsidRPr="00D1229A">
        <w:rPr>
          <w:lang w:val="en-GB"/>
        </w:rPr>
        <w:t xml:space="preserve"> </w:t>
      </w:r>
      <w:r w:rsidR="004021C7" w:rsidRPr="00D1229A">
        <w:rPr>
          <w:lang w:val="en-GB"/>
        </w:rPr>
        <w:t xml:space="preserve">would be willing to accept these if </w:t>
      </w:r>
      <w:r w:rsidR="00F34BFF" w:rsidRPr="00D1229A">
        <w:rPr>
          <w:lang w:val="en-GB"/>
        </w:rPr>
        <w:t xml:space="preserve">treatment reduced </w:t>
      </w:r>
      <w:r w:rsidRPr="00D1229A">
        <w:rPr>
          <w:lang w:val="en-GB"/>
        </w:rPr>
        <w:t xml:space="preserve">hospital </w:t>
      </w:r>
      <w:r w:rsidR="004021C7" w:rsidRPr="00D1229A">
        <w:rPr>
          <w:lang w:val="en-GB"/>
        </w:rPr>
        <w:t>stays and the need for plasma exchange. The committee concluded that plasma exchange</w:t>
      </w:r>
      <w:r w:rsidR="00F34BFF" w:rsidRPr="00D1229A">
        <w:rPr>
          <w:lang w:val="en-GB"/>
        </w:rPr>
        <w:t xml:space="preserve"> and </w:t>
      </w:r>
      <w:r w:rsidR="006A53AC" w:rsidRPr="00D1229A">
        <w:rPr>
          <w:lang w:val="en-GB"/>
        </w:rPr>
        <w:t>hospital stays are</w:t>
      </w:r>
      <w:r w:rsidR="004021C7" w:rsidRPr="00D1229A">
        <w:rPr>
          <w:lang w:val="en-GB"/>
        </w:rPr>
        <w:t xml:space="preserve"> unpleasant</w:t>
      </w:r>
      <w:r>
        <w:rPr>
          <w:lang w:val="en-GB"/>
        </w:rPr>
        <w:t>,</w:t>
      </w:r>
      <w:r w:rsidR="004021C7" w:rsidRPr="00D1229A">
        <w:rPr>
          <w:lang w:val="en-GB"/>
        </w:rPr>
        <w:t xml:space="preserve"> and </w:t>
      </w:r>
      <w:r>
        <w:rPr>
          <w:lang w:val="en-GB"/>
        </w:rPr>
        <w:t>that people</w:t>
      </w:r>
      <w:r w:rsidRPr="00D1229A">
        <w:rPr>
          <w:lang w:val="en-GB"/>
        </w:rPr>
        <w:t xml:space="preserve"> </w:t>
      </w:r>
      <w:r>
        <w:rPr>
          <w:lang w:val="en-GB"/>
        </w:rPr>
        <w:t xml:space="preserve">with </w:t>
      </w:r>
      <w:r w:rsidR="00206A4C">
        <w:rPr>
          <w:lang w:val="en-GB"/>
        </w:rPr>
        <w:t>acquired TTP</w:t>
      </w:r>
      <w:r>
        <w:rPr>
          <w:lang w:val="en-GB"/>
        </w:rPr>
        <w:t xml:space="preserve"> </w:t>
      </w:r>
      <w:r w:rsidR="004021C7" w:rsidRPr="00D1229A">
        <w:rPr>
          <w:lang w:val="en-GB"/>
        </w:rPr>
        <w:t xml:space="preserve">would welcome a treatment </w:t>
      </w:r>
      <w:r>
        <w:rPr>
          <w:lang w:val="en-GB"/>
        </w:rPr>
        <w:t>that</w:t>
      </w:r>
      <w:r w:rsidRPr="00D1229A">
        <w:rPr>
          <w:lang w:val="en-GB"/>
        </w:rPr>
        <w:t xml:space="preserve"> </w:t>
      </w:r>
      <w:r w:rsidR="004021C7" w:rsidRPr="00D1229A">
        <w:rPr>
          <w:lang w:val="en-GB"/>
        </w:rPr>
        <w:t xml:space="preserve">reduces </w:t>
      </w:r>
      <w:r w:rsidR="006A53AC" w:rsidRPr="00D1229A">
        <w:rPr>
          <w:lang w:val="en-GB"/>
        </w:rPr>
        <w:t>these</w:t>
      </w:r>
      <w:r w:rsidR="004021C7" w:rsidRPr="00D1229A">
        <w:rPr>
          <w:lang w:val="en-GB"/>
        </w:rPr>
        <w:t>.</w:t>
      </w:r>
    </w:p>
    <w:p w14:paraId="387463C9" w14:textId="02D9E16A" w:rsidR="00EC6DB7" w:rsidRPr="00D1229A" w:rsidRDefault="00B70804" w:rsidP="00EC6DB7">
      <w:pPr>
        <w:pStyle w:val="Heading3"/>
      </w:pPr>
      <w:r w:rsidRPr="00D1229A">
        <w:t>A</w:t>
      </w:r>
      <w:r w:rsidR="00EC6DB7" w:rsidRPr="00D1229A">
        <w:t xml:space="preserve"> new NHS specialised service</w:t>
      </w:r>
      <w:r w:rsidR="00691E94">
        <w:t xml:space="preserve"> for acquired TTP</w:t>
      </w:r>
      <w:r w:rsidR="00EC6DB7" w:rsidRPr="00D1229A">
        <w:t xml:space="preserve"> </w:t>
      </w:r>
      <w:r w:rsidR="00F80519" w:rsidRPr="00D1229A">
        <w:t>is being established</w:t>
      </w:r>
    </w:p>
    <w:p w14:paraId="161C2E36" w14:textId="2E1A3F5A" w:rsidR="00BB4BC8" w:rsidRPr="00D1229A" w:rsidRDefault="004021C7" w:rsidP="000A4024">
      <w:pPr>
        <w:pStyle w:val="Numberedlevel2text"/>
        <w:rPr>
          <w:lang w:val="en-GB"/>
        </w:rPr>
      </w:pPr>
      <w:r w:rsidRPr="00D1229A">
        <w:rPr>
          <w:lang w:val="en-GB"/>
        </w:rPr>
        <w:t>The clinical experts s</w:t>
      </w:r>
      <w:r w:rsidR="00627A4C" w:rsidRPr="00D1229A">
        <w:rPr>
          <w:lang w:val="en-GB"/>
        </w:rPr>
        <w:t xml:space="preserve">tated that </w:t>
      </w:r>
      <w:r w:rsidR="008A70CF" w:rsidRPr="00D1229A">
        <w:rPr>
          <w:lang w:val="en-GB"/>
        </w:rPr>
        <w:t xml:space="preserve">the UK </w:t>
      </w:r>
      <w:r w:rsidR="00541E4A" w:rsidRPr="00D1229A">
        <w:rPr>
          <w:lang w:val="en-GB"/>
        </w:rPr>
        <w:t>has had</w:t>
      </w:r>
      <w:r w:rsidR="00627A4C" w:rsidRPr="00D1229A">
        <w:rPr>
          <w:lang w:val="en-GB"/>
        </w:rPr>
        <w:t xml:space="preserve"> fragmented care for </w:t>
      </w:r>
      <w:r w:rsidR="00996EDE" w:rsidRPr="00D1229A">
        <w:rPr>
          <w:lang w:val="en-GB"/>
        </w:rPr>
        <w:t xml:space="preserve">people with </w:t>
      </w:r>
      <w:r w:rsidR="00206A4C">
        <w:rPr>
          <w:lang w:val="en-GB"/>
        </w:rPr>
        <w:t>acquired TTP</w:t>
      </w:r>
      <w:r w:rsidR="008118E0">
        <w:rPr>
          <w:lang w:val="en-GB"/>
        </w:rPr>
        <w:t>. This has</w:t>
      </w:r>
      <w:r w:rsidR="00451729" w:rsidRPr="00D1229A">
        <w:rPr>
          <w:lang w:val="en-GB"/>
        </w:rPr>
        <w:t xml:space="preserve"> </w:t>
      </w:r>
      <w:r w:rsidR="008118E0" w:rsidRPr="00D1229A">
        <w:rPr>
          <w:lang w:val="en-GB"/>
        </w:rPr>
        <w:t>led</w:t>
      </w:r>
      <w:r w:rsidR="00451729" w:rsidRPr="00D1229A">
        <w:rPr>
          <w:lang w:val="en-GB"/>
        </w:rPr>
        <w:t xml:space="preserve"> to poorer outcomes</w:t>
      </w:r>
      <w:r w:rsidR="00F0555F" w:rsidRPr="00D1229A">
        <w:rPr>
          <w:lang w:val="en-GB"/>
        </w:rPr>
        <w:t xml:space="preserve">, including higher death rates outside of </w:t>
      </w:r>
      <w:r w:rsidR="00996EDE" w:rsidRPr="00D1229A">
        <w:rPr>
          <w:lang w:val="en-GB"/>
        </w:rPr>
        <w:t xml:space="preserve">speciality </w:t>
      </w:r>
      <w:r w:rsidR="00F0555F" w:rsidRPr="00D1229A">
        <w:rPr>
          <w:lang w:val="en-GB"/>
        </w:rPr>
        <w:t xml:space="preserve">centres </w:t>
      </w:r>
      <w:r w:rsidR="00996EDE" w:rsidRPr="00D1229A">
        <w:rPr>
          <w:lang w:val="en-GB"/>
        </w:rPr>
        <w:t>for</w:t>
      </w:r>
      <w:r w:rsidR="00F0555F" w:rsidRPr="00D1229A">
        <w:rPr>
          <w:lang w:val="en-GB"/>
        </w:rPr>
        <w:t xml:space="preserve"> </w:t>
      </w:r>
      <w:r w:rsidR="00206A4C">
        <w:rPr>
          <w:lang w:val="en-GB"/>
        </w:rPr>
        <w:t>acquired TTP</w:t>
      </w:r>
      <w:r w:rsidR="00451729" w:rsidRPr="00D1229A">
        <w:rPr>
          <w:lang w:val="en-GB"/>
        </w:rPr>
        <w:t>.</w:t>
      </w:r>
      <w:r w:rsidR="00B70804" w:rsidRPr="00D1229A">
        <w:rPr>
          <w:lang w:val="en-GB"/>
        </w:rPr>
        <w:t xml:space="preserve"> </w:t>
      </w:r>
      <w:r w:rsidR="00541E4A" w:rsidRPr="00D1229A">
        <w:rPr>
          <w:lang w:val="en-GB"/>
        </w:rPr>
        <w:t>For example, e</w:t>
      </w:r>
      <w:r w:rsidR="00B70804" w:rsidRPr="00D1229A">
        <w:rPr>
          <w:lang w:val="en-GB"/>
        </w:rPr>
        <w:t>stimates of death rates were 10</w:t>
      </w:r>
      <w:r w:rsidR="008118E0">
        <w:rPr>
          <w:lang w:val="en-GB"/>
        </w:rPr>
        <w:t>% to </w:t>
      </w:r>
      <w:r w:rsidR="00B70804" w:rsidRPr="00D1229A">
        <w:rPr>
          <w:lang w:val="en-GB"/>
        </w:rPr>
        <w:t xml:space="preserve">20% in </w:t>
      </w:r>
      <w:r w:rsidR="009D4355" w:rsidRPr="00D1229A">
        <w:rPr>
          <w:lang w:val="en-GB"/>
        </w:rPr>
        <w:t>non-specialist centres</w:t>
      </w:r>
      <w:r w:rsidR="008A70CF" w:rsidRPr="00D1229A">
        <w:rPr>
          <w:lang w:val="en-GB"/>
        </w:rPr>
        <w:t xml:space="preserve"> </w:t>
      </w:r>
      <w:r w:rsidR="00B70804" w:rsidRPr="00D1229A">
        <w:rPr>
          <w:lang w:val="en-GB"/>
        </w:rPr>
        <w:t>and less than 5% in specialist centres.</w:t>
      </w:r>
      <w:r w:rsidR="00451729" w:rsidRPr="00D1229A">
        <w:rPr>
          <w:lang w:val="en-GB"/>
        </w:rPr>
        <w:t xml:space="preserve"> People are currently referred to specialist centres for </w:t>
      </w:r>
      <w:r w:rsidR="00206A4C">
        <w:rPr>
          <w:lang w:val="en-GB"/>
        </w:rPr>
        <w:t>acquired TTP</w:t>
      </w:r>
      <w:r w:rsidR="008118E0" w:rsidRPr="00D1229A">
        <w:rPr>
          <w:lang w:val="en-GB"/>
        </w:rPr>
        <w:t xml:space="preserve"> </w:t>
      </w:r>
      <w:r w:rsidR="00451729" w:rsidRPr="00D1229A">
        <w:rPr>
          <w:lang w:val="en-GB"/>
        </w:rPr>
        <w:t>treatment</w:t>
      </w:r>
      <w:r w:rsidR="008118E0">
        <w:rPr>
          <w:lang w:val="en-GB"/>
        </w:rPr>
        <w:t>. However</w:t>
      </w:r>
      <w:r w:rsidR="00451729" w:rsidRPr="00D1229A">
        <w:rPr>
          <w:lang w:val="en-GB"/>
        </w:rPr>
        <w:t>,</w:t>
      </w:r>
      <w:r w:rsidR="00F0555F" w:rsidRPr="00D1229A">
        <w:rPr>
          <w:lang w:val="en-GB"/>
        </w:rPr>
        <w:t xml:space="preserve"> </w:t>
      </w:r>
      <w:r w:rsidR="00451729" w:rsidRPr="00D1229A">
        <w:rPr>
          <w:lang w:val="en-GB"/>
        </w:rPr>
        <w:t xml:space="preserve">diagnosis </w:t>
      </w:r>
      <w:r w:rsidR="008A70CF" w:rsidRPr="00D1229A">
        <w:rPr>
          <w:lang w:val="en-GB"/>
        </w:rPr>
        <w:t xml:space="preserve">and </w:t>
      </w:r>
      <w:r w:rsidR="008118E0">
        <w:rPr>
          <w:lang w:val="en-GB"/>
        </w:rPr>
        <w:t xml:space="preserve">therefore </w:t>
      </w:r>
      <w:r w:rsidR="008A70CF" w:rsidRPr="00D1229A">
        <w:rPr>
          <w:lang w:val="en-GB"/>
        </w:rPr>
        <w:t>treatment</w:t>
      </w:r>
      <w:r w:rsidR="008118E0">
        <w:rPr>
          <w:lang w:val="en-GB"/>
        </w:rPr>
        <w:t>,</w:t>
      </w:r>
      <w:r w:rsidR="008A70CF" w:rsidRPr="00D1229A">
        <w:rPr>
          <w:lang w:val="en-GB"/>
        </w:rPr>
        <w:t xml:space="preserve"> may be delayed </w:t>
      </w:r>
      <w:r w:rsidR="00451729" w:rsidRPr="00D1229A">
        <w:rPr>
          <w:lang w:val="en-GB"/>
        </w:rPr>
        <w:t xml:space="preserve">because </w:t>
      </w:r>
      <w:r w:rsidR="008118E0">
        <w:rPr>
          <w:lang w:val="en-GB"/>
        </w:rPr>
        <w:t xml:space="preserve">many </w:t>
      </w:r>
      <w:r w:rsidR="008A70CF" w:rsidRPr="00D1229A">
        <w:rPr>
          <w:lang w:val="en-GB"/>
        </w:rPr>
        <w:t xml:space="preserve">clinicians are </w:t>
      </w:r>
      <w:r w:rsidR="008118E0">
        <w:rPr>
          <w:lang w:val="en-GB"/>
        </w:rPr>
        <w:t>un</w:t>
      </w:r>
      <w:r w:rsidR="0069280C" w:rsidRPr="00D1229A">
        <w:rPr>
          <w:lang w:val="en-GB"/>
        </w:rPr>
        <w:t xml:space="preserve">aware </w:t>
      </w:r>
      <w:r w:rsidR="00451729" w:rsidRPr="00D1229A">
        <w:rPr>
          <w:lang w:val="en-GB"/>
        </w:rPr>
        <w:t xml:space="preserve">of </w:t>
      </w:r>
      <w:r w:rsidR="008118E0">
        <w:rPr>
          <w:lang w:val="en-GB"/>
        </w:rPr>
        <w:t>aTTP</w:t>
      </w:r>
      <w:r w:rsidR="0069280C" w:rsidRPr="00D1229A">
        <w:rPr>
          <w:lang w:val="en-GB"/>
        </w:rPr>
        <w:t>,</w:t>
      </w:r>
      <w:r w:rsidR="00451729" w:rsidRPr="00D1229A">
        <w:rPr>
          <w:lang w:val="en-GB"/>
        </w:rPr>
        <w:t xml:space="preserve"> and </w:t>
      </w:r>
      <w:r w:rsidR="008118E0">
        <w:rPr>
          <w:lang w:val="en-GB"/>
        </w:rPr>
        <w:t xml:space="preserve">because of </w:t>
      </w:r>
      <w:r w:rsidR="009D4355" w:rsidRPr="00D1229A">
        <w:rPr>
          <w:lang w:val="en-GB"/>
        </w:rPr>
        <w:t xml:space="preserve">the distance </w:t>
      </w:r>
      <w:r w:rsidR="008118E0">
        <w:rPr>
          <w:lang w:val="en-GB"/>
        </w:rPr>
        <w:t>someone has to</w:t>
      </w:r>
      <w:r w:rsidR="009D4355" w:rsidRPr="00D1229A">
        <w:rPr>
          <w:lang w:val="en-GB"/>
        </w:rPr>
        <w:t xml:space="preserve"> </w:t>
      </w:r>
      <w:r w:rsidR="00451729" w:rsidRPr="00D1229A">
        <w:rPr>
          <w:lang w:val="en-GB"/>
        </w:rPr>
        <w:t>travel</w:t>
      </w:r>
      <w:r w:rsidR="008118E0">
        <w:rPr>
          <w:lang w:val="en-GB"/>
        </w:rPr>
        <w:t xml:space="preserve"> to access a specialist centre</w:t>
      </w:r>
      <w:r w:rsidR="00F0555F" w:rsidRPr="00D1229A">
        <w:rPr>
          <w:lang w:val="en-GB"/>
        </w:rPr>
        <w:t xml:space="preserve">. </w:t>
      </w:r>
      <w:r w:rsidR="00451729" w:rsidRPr="00D1229A">
        <w:rPr>
          <w:lang w:val="en-GB"/>
        </w:rPr>
        <w:t>The</w:t>
      </w:r>
      <w:r w:rsidR="008A70CF" w:rsidRPr="00D1229A">
        <w:rPr>
          <w:lang w:val="en-GB"/>
        </w:rPr>
        <w:t xml:space="preserve"> commissioning lead of the</w:t>
      </w:r>
      <w:r w:rsidR="00451729" w:rsidRPr="00D1229A">
        <w:rPr>
          <w:lang w:val="en-GB"/>
        </w:rPr>
        <w:t xml:space="preserve"> NHS </w:t>
      </w:r>
      <w:r w:rsidR="008A70CF" w:rsidRPr="00D1229A">
        <w:rPr>
          <w:lang w:val="en-GB"/>
        </w:rPr>
        <w:t>H</w:t>
      </w:r>
      <w:r w:rsidR="00451729" w:rsidRPr="00D1229A">
        <w:rPr>
          <w:lang w:val="en-GB"/>
        </w:rPr>
        <w:t xml:space="preserve">ighly </w:t>
      </w:r>
      <w:r w:rsidR="008A70CF" w:rsidRPr="00D1229A">
        <w:rPr>
          <w:lang w:val="en-GB"/>
        </w:rPr>
        <w:t>S</w:t>
      </w:r>
      <w:r w:rsidR="00451729" w:rsidRPr="00D1229A">
        <w:rPr>
          <w:lang w:val="en-GB"/>
        </w:rPr>
        <w:t xml:space="preserve">pecialised </w:t>
      </w:r>
      <w:r w:rsidR="008A70CF" w:rsidRPr="00D1229A">
        <w:rPr>
          <w:lang w:val="en-GB"/>
        </w:rPr>
        <w:t>S</w:t>
      </w:r>
      <w:r w:rsidR="00F0555F" w:rsidRPr="00D1229A">
        <w:rPr>
          <w:lang w:val="en-GB"/>
        </w:rPr>
        <w:t xml:space="preserve">ervices </w:t>
      </w:r>
      <w:r w:rsidR="00FB592E" w:rsidRPr="00D1229A">
        <w:rPr>
          <w:lang w:val="en-GB"/>
        </w:rPr>
        <w:t xml:space="preserve">stated that, if recommended, </w:t>
      </w:r>
      <w:r w:rsidR="008A70CF" w:rsidRPr="00D1229A">
        <w:rPr>
          <w:lang w:val="en-GB"/>
        </w:rPr>
        <w:t xml:space="preserve">the NHS would commission </w:t>
      </w:r>
      <w:r w:rsidR="00FB592E" w:rsidRPr="00D1229A">
        <w:rPr>
          <w:lang w:val="en-GB"/>
        </w:rPr>
        <w:t xml:space="preserve">caplacizumab through a </w:t>
      </w:r>
      <w:r w:rsidR="00F0555F" w:rsidRPr="00D1229A">
        <w:rPr>
          <w:lang w:val="en-GB"/>
        </w:rPr>
        <w:t>new specialised service</w:t>
      </w:r>
      <w:r w:rsidR="008118E0">
        <w:rPr>
          <w:lang w:val="en-GB"/>
        </w:rPr>
        <w:t>. The</w:t>
      </w:r>
      <w:r w:rsidR="00F0555F" w:rsidRPr="00D1229A">
        <w:rPr>
          <w:lang w:val="en-GB"/>
        </w:rPr>
        <w:t xml:space="preserve"> aim</w:t>
      </w:r>
      <w:r w:rsidR="008118E0">
        <w:rPr>
          <w:lang w:val="en-GB"/>
        </w:rPr>
        <w:t xml:space="preserve"> i</w:t>
      </w:r>
      <w:r w:rsidR="00F0555F" w:rsidRPr="00D1229A">
        <w:rPr>
          <w:lang w:val="en-GB"/>
        </w:rPr>
        <w:t xml:space="preserve">s to have </w:t>
      </w:r>
      <w:r w:rsidR="009D4355" w:rsidRPr="00D1229A">
        <w:rPr>
          <w:lang w:val="en-GB"/>
        </w:rPr>
        <w:t xml:space="preserve">up </w:t>
      </w:r>
      <w:r w:rsidR="00F0555F" w:rsidRPr="00D1229A">
        <w:rPr>
          <w:lang w:val="en-GB"/>
        </w:rPr>
        <w:t>to 9</w:t>
      </w:r>
      <w:r w:rsidR="008118E0">
        <w:rPr>
          <w:lang w:val="en-GB"/>
        </w:rPr>
        <w:t> </w:t>
      </w:r>
      <w:r w:rsidR="00F0555F" w:rsidRPr="00D1229A">
        <w:rPr>
          <w:lang w:val="en-GB"/>
        </w:rPr>
        <w:t>specialist providers in England</w:t>
      </w:r>
      <w:r w:rsidR="00B47178" w:rsidRPr="00D1229A">
        <w:rPr>
          <w:lang w:val="en-GB"/>
        </w:rPr>
        <w:t>,</w:t>
      </w:r>
      <w:r w:rsidR="00F0555F" w:rsidRPr="00D1229A">
        <w:rPr>
          <w:lang w:val="en-GB"/>
        </w:rPr>
        <w:t xml:space="preserve"> </w:t>
      </w:r>
      <w:r w:rsidR="009D4355" w:rsidRPr="00D1229A">
        <w:rPr>
          <w:lang w:val="en-GB"/>
        </w:rPr>
        <w:t>providing</w:t>
      </w:r>
      <w:r w:rsidR="00AC2BF3" w:rsidRPr="00D1229A">
        <w:rPr>
          <w:lang w:val="en-GB"/>
        </w:rPr>
        <w:t xml:space="preserve"> </w:t>
      </w:r>
      <w:r w:rsidR="00F0555F" w:rsidRPr="00D1229A">
        <w:rPr>
          <w:lang w:val="en-GB"/>
        </w:rPr>
        <w:t xml:space="preserve">clinical </w:t>
      </w:r>
      <w:r w:rsidR="00F0555F" w:rsidRPr="00D1229A">
        <w:rPr>
          <w:lang w:val="en-GB"/>
        </w:rPr>
        <w:lastRenderedPageBreak/>
        <w:t xml:space="preserve">expertise </w:t>
      </w:r>
      <w:r w:rsidR="009D4355" w:rsidRPr="00D1229A">
        <w:rPr>
          <w:lang w:val="en-GB"/>
        </w:rPr>
        <w:t>and</w:t>
      </w:r>
      <w:r w:rsidR="00F0555F" w:rsidRPr="00D1229A">
        <w:rPr>
          <w:lang w:val="en-GB"/>
        </w:rPr>
        <w:t xml:space="preserve"> geographical access for patients. </w:t>
      </w:r>
      <w:r w:rsidR="00C40E16" w:rsidRPr="00D1229A">
        <w:rPr>
          <w:lang w:val="en-GB"/>
        </w:rPr>
        <w:t xml:space="preserve">If caplacizumab </w:t>
      </w:r>
      <w:r w:rsidR="002378A0">
        <w:rPr>
          <w:lang w:val="en-GB"/>
        </w:rPr>
        <w:t>is</w:t>
      </w:r>
      <w:r w:rsidR="002378A0" w:rsidRPr="00D1229A">
        <w:rPr>
          <w:lang w:val="en-GB"/>
        </w:rPr>
        <w:t xml:space="preserve"> </w:t>
      </w:r>
      <w:r w:rsidR="00C40E16" w:rsidRPr="00D1229A">
        <w:rPr>
          <w:lang w:val="en-GB"/>
        </w:rPr>
        <w:t>recommended</w:t>
      </w:r>
      <w:r w:rsidR="008304AB" w:rsidRPr="00D1229A">
        <w:rPr>
          <w:lang w:val="en-GB"/>
        </w:rPr>
        <w:t>,</w:t>
      </w:r>
      <w:r w:rsidR="00F0555F" w:rsidRPr="00D1229A">
        <w:rPr>
          <w:lang w:val="en-GB"/>
        </w:rPr>
        <w:t xml:space="preserve"> some </w:t>
      </w:r>
      <w:r w:rsidR="00C40E16" w:rsidRPr="00D1229A">
        <w:rPr>
          <w:lang w:val="en-GB"/>
        </w:rPr>
        <w:t xml:space="preserve">people could </w:t>
      </w:r>
      <w:r w:rsidR="00FB4FAB">
        <w:rPr>
          <w:lang w:val="en-GB"/>
        </w:rPr>
        <w:t>have</w:t>
      </w:r>
      <w:r w:rsidR="00FB4FAB" w:rsidRPr="00D1229A">
        <w:rPr>
          <w:lang w:val="en-GB"/>
        </w:rPr>
        <w:t xml:space="preserve"> </w:t>
      </w:r>
      <w:r w:rsidR="00C40E16" w:rsidRPr="00D1229A">
        <w:rPr>
          <w:lang w:val="en-GB"/>
        </w:rPr>
        <w:t>it</w:t>
      </w:r>
      <w:r w:rsidR="00F0555F" w:rsidRPr="00D1229A">
        <w:rPr>
          <w:lang w:val="en-GB"/>
        </w:rPr>
        <w:t xml:space="preserve"> locally under remote supervision </w:t>
      </w:r>
      <w:r w:rsidR="008304AB" w:rsidRPr="00D1229A">
        <w:rPr>
          <w:lang w:val="en-GB"/>
        </w:rPr>
        <w:t>by a</w:t>
      </w:r>
      <w:r w:rsidR="00F0555F" w:rsidRPr="00D1229A">
        <w:rPr>
          <w:lang w:val="en-GB"/>
        </w:rPr>
        <w:t xml:space="preserve"> specialised centre. A clini</w:t>
      </w:r>
      <w:r w:rsidR="006C6748" w:rsidRPr="00D1229A">
        <w:rPr>
          <w:lang w:val="en-GB"/>
        </w:rPr>
        <w:t xml:space="preserve">cal expert said that </w:t>
      </w:r>
      <w:r w:rsidR="00B70804" w:rsidRPr="00D1229A">
        <w:rPr>
          <w:lang w:val="en-GB"/>
        </w:rPr>
        <w:t xml:space="preserve">kits are </w:t>
      </w:r>
      <w:r w:rsidR="008304AB" w:rsidRPr="00D1229A">
        <w:rPr>
          <w:lang w:val="en-GB"/>
        </w:rPr>
        <w:t xml:space="preserve">now </w:t>
      </w:r>
      <w:r w:rsidR="00B70804" w:rsidRPr="00D1229A">
        <w:rPr>
          <w:lang w:val="en-GB"/>
        </w:rPr>
        <w:t xml:space="preserve">available for </w:t>
      </w:r>
      <w:r w:rsidR="00634593">
        <w:rPr>
          <w:lang w:val="en-GB"/>
        </w:rPr>
        <w:t>e</w:t>
      </w:r>
      <w:r w:rsidR="00B70804" w:rsidRPr="00D1229A">
        <w:rPr>
          <w:lang w:val="en-GB"/>
        </w:rPr>
        <w:t xml:space="preserve">mergency departments to </w:t>
      </w:r>
      <w:r w:rsidR="006C33E2" w:rsidRPr="00D1229A">
        <w:rPr>
          <w:lang w:val="en-GB"/>
        </w:rPr>
        <w:t>diagnose</w:t>
      </w:r>
      <w:r w:rsidR="00B70804" w:rsidRPr="00D1229A">
        <w:rPr>
          <w:lang w:val="en-GB"/>
        </w:rPr>
        <w:t xml:space="preserve"> </w:t>
      </w:r>
      <w:r w:rsidR="00206A4C">
        <w:rPr>
          <w:lang w:val="en-GB"/>
        </w:rPr>
        <w:t>acquired TTP</w:t>
      </w:r>
      <w:r w:rsidR="00B70804" w:rsidRPr="00D1229A">
        <w:rPr>
          <w:lang w:val="en-GB"/>
        </w:rPr>
        <w:t xml:space="preserve"> within 24</w:t>
      </w:r>
      <w:r w:rsidR="00634593">
        <w:rPr>
          <w:lang w:val="en-GB"/>
        </w:rPr>
        <w:t> </w:t>
      </w:r>
      <w:r w:rsidR="00B70804" w:rsidRPr="00D1229A">
        <w:rPr>
          <w:lang w:val="en-GB"/>
        </w:rPr>
        <w:t xml:space="preserve">hours. </w:t>
      </w:r>
      <w:r w:rsidR="00F0555F" w:rsidRPr="00D1229A">
        <w:rPr>
          <w:lang w:val="en-GB"/>
        </w:rPr>
        <w:t xml:space="preserve">The committee </w:t>
      </w:r>
      <w:r w:rsidR="00634593">
        <w:rPr>
          <w:lang w:val="en-GB"/>
        </w:rPr>
        <w:t>acknowledged</w:t>
      </w:r>
      <w:r w:rsidR="00634593" w:rsidRPr="00D1229A">
        <w:rPr>
          <w:lang w:val="en-GB"/>
        </w:rPr>
        <w:t xml:space="preserve"> </w:t>
      </w:r>
      <w:r w:rsidR="00F0555F" w:rsidRPr="00D1229A">
        <w:rPr>
          <w:lang w:val="en-GB"/>
        </w:rPr>
        <w:t>that there is regional varia</w:t>
      </w:r>
      <w:r w:rsidR="009D4355" w:rsidRPr="00D1229A">
        <w:rPr>
          <w:lang w:val="en-GB"/>
        </w:rPr>
        <w:t>tion</w:t>
      </w:r>
      <w:r w:rsidR="00F0555F" w:rsidRPr="00D1229A">
        <w:rPr>
          <w:lang w:val="en-GB"/>
        </w:rPr>
        <w:t xml:space="preserve"> in the time to diagnosis</w:t>
      </w:r>
      <w:r w:rsidR="00634593">
        <w:rPr>
          <w:lang w:val="en-GB"/>
        </w:rPr>
        <w:t xml:space="preserve"> of </w:t>
      </w:r>
      <w:r w:rsidR="00206A4C">
        <w:rPr>
          <w:lang w:val="en-GB"/>
        </w:rPr>
        <w:t>acquired TTP</w:t>
      </w:r>
      <w:r w:rsidR="00B70804" w:rsidRPr="00D1229A">
        <w:rPr>
          <w:lang w:val="en-GB"/>
        </w:rPr>
        <w:t>, treatment and patient outcomes</w:t>
      </w:r>
      <w:r w:rsidR="00634593">
        <w:rPr>
          <w:lang w:val="en-GB"/>
        </w:rPr>
        <w:t xml:space="preserve">. It concluded that </w:t>
      </w:r>
      <w:r w:rsidR="00B70804" w:rsidRPr="00D1229A">
        <w:rPr>
          <w:lang w:val="en-GB"/>
        </w:rPr>
        <w:t xml:space="preserve">a new NHS specialised service will </w:t>
      </w:r>
      <w:r w:rsidR="006C33E2" w:rsidRPr="00D1229A">
        <w:rPr>
          <w:lang w:val="en-GB"/>
        </w:rPr>
        <w:t xml:space="preserve">attempt to </w:t>
      </w:r>
      <w:r w:rsidR="00B70804" w:rsidRPr="00D1229A">
        <w:rPr>
          <w:lang w:val="en-GB"/>
        </w:rPr>
        <w:t>reduce this and improve outcomes.</w:t>
      </w:r>
    </w:p>
    <w:p w14:paraId="7B88D7FE" w14:textId="3FFD3B09" w:rsidR="00AA3419" w:rsidRPr="00D1229A" w:rsidRDefault="00AA3419" w:rsidP="00AA3419">
      <w:pPr>
        <w:pStyle w:val="Heading2"/>
      </w:pPr>
      <w:r w:rsidRPr="00D1229A">
        <w:t>Clinical trial results</w:t>
      </w:r>
    </w:p>
    <w:p w14:paraId="0288B137" w14:textId="70CE8BDA" w:rsidR="00EC6DB7" w:rsidRPr="00D1229A" w:rsidRDefault="00F80A0A" w:rsidP="00F0737D">
      <w:pPr>
        <w:pStyle w:val="Heading3"/>
      </w:pPr>
      <w:r>
        <w:t>The m</w:t>
      </w:r>
      <w:r w:rsidR="00F0737D" w:rsidRPr="00D1229A">
        <w:t>ain clinical trial</w:t>
      </w:r>
      <w:r>
        <w:t>,</w:t>
      </w:r>
      <w:r w:rsidR="00F0737D" w:rsidRPr="00D1229A">
        <w:t xml:space="preserve"> H</w:t>
      </w:r>
      <w:r w:rsidR="00B32EAF" w:rsidRPr="00D1229A">
        <w:t>ERCULES</w:t>
      </w:r>
      <w:r>
        <w:t>,</w:t>
      </w:r>
      <w:r w:rsidR="00F0737D" w:rsidRPr="00D1229A">
        <w:t xml:space="preserve"> </w:t>
      </w:r>
      <w:r w:rsidR="00451729" w:rsidRPr="00D1229A">
        <w:t xml:space="preserve">is </w:t>
      </w:r>
      <w:r w:rsidR="00F0737D" w:rsidRPr="00D1229A">
        <w:t>broadly generalisable to UK clinical practice</w:t>
      </w:r>
    </w:p>
    <w:p w14:paraId="75E1BFCB" w14:textId="0FC5E527" w:rsidR="002B087E" w:rsidRDefault="00E37322" w:rsidP="00F0737D">
      <w:pPr>
        <w:pStyle w:val="Numberedlevel2text"/>
        <w:rPr>
          <w:lang w:val="en-GB"/>
        </w:rPr>
      </w:pPr>
      <w:r w:rsidRPr="00D1229A">
        <w:rPr>
          <w:lang w:val="en-GB"/>
        </w:rPr>
        <w:t>HERCULES was a double</w:t>
      </w:r>
      <w:r w:rsidR="00F80A0A">
        <w:rPr>
          <w:lang w:val="en-GB"/>
        </w:rPr>
        <w:t>-</w:t>
      </w:r>
      <w:r w:rsidRPr="00D1229A">
        <w:rPr>
          <w:lang w:val="en-GB"/>
        </w:rPr>
        <w:t xml:space="preserve">blind </w:t>
      </w:r>
      <w:r w:rsidR="00F80A0A">
        <w:rPr>
          <w:lang w:val="en-GB"/>
        </w:rPr>
        <w:t xml:space="preserve">randomised </w:t>
      </w:r>
      <w:r w:rsidRPr="00D1229A">
        <w:rPr>
          <w:lang w:val="en-GB"/>
        </w:rPr>
        <w:t xml:space="preserve">controlled trial </w:t>
      </w:r>
      <w:r w:rsidR="00F80A0A">
        <w:rPr>
          <w:lang w:val="en-GB"/>
        </w:rPr>
        <w:t>that included</w:t>
      </w:r>
      <w:r w:rsidR="00F80A0A" w:rsidRPr="00D1229A">
        <w:rPr>
          <w:lang w:val="en-GB"/>
        </w:rPr>
        <w:t xml:space="preserve"> </w:t>
      </w:r>
      <w:r w:rsidRPr="00D1229A">
        <w:rPr>
          <w:lang w:val="en-GB"/>
        </w:rPr>
        <w:t>145</w:t>
      </w:r>
      <w:r w:rsidR="00F80A0A">
        <w:rPr>
          <w:lang w:val="en-GB"/>
        </w:rPr>
        <w:t> </w:t>
      </w:r>
      <w:r w:rsidRPr="00D1229A">
        <w:rPr>
          <w:lang w:val="en-GB"/>
        </w:rPr>
        <w:t xml:space="preserve">people </w:t>
      </w:r>
      <w:r w:rsidR="005A7E28">
        <w:rPr>
          <w:lang w:val="en-GB"/>
        </w:rPr>
        <w:t>having</w:t>
      </w:r>
      <w:r w:rsidR="005A7E28" w:rsidRPr="00D1229A">
        <w:rPr>
          <w:lang w:val="en-GB"/>
        </w:rPr>
        <w:t xml:space="preserve"> </w:t>
      </w:r>
      <w:r w:rsidR="006C33E2" w:rsidRPr="00D1229A">
        <w:rPr>
          <w:lang w:val="en-GB"/>
        </w:rPr>
        <w:t>an</w:t>
      </w:r>
      <w:r w:rsidRPr="00D1229A">
        <w:rPr>
          <w:lang w:val="en-GB"/>
        </w:rPr>
        <w:t xml:space="preserve"> acute episode of </w:t>
      </w:r>
      <w:r w:rsidR="00206A4C">
        <w:rPr>
          <w:lang w:val="en-GB"/>
        </w:rPr>
        <w:t>acquired TTP</w:t>
      </w:r>
      <w:r w:rsidR="00F80A0A">
        <w:rPr>
          <w:lang w:val="en-GB"/>
        </w:rPr>
        <w:t>. It compared</w:t>
      </w:r>
      <w:r w:rsidRPr="00D1229A">
        <w:rPr>
          <w:lang w:val="en-GB"/>
        </w:rPr>
        <w:t xml:space="preserve"> caplacizumab plus standard care (plasma exchange, immunosuppressant medication including rituximab</w:t>
      </w:r>
      <w:r w:rsidR="00F80A0A">
        <w:rPr>
          <w:lang w:val="en-GB"/>
        </w:rPr>
        <w:t>; from now</w:t>
      </w:r>
      <w:r w:rsidR="006F1F39" w:rsidRPr="00D1229A">
        <w:rPr>
          <w:lang w:val="en-GB"/>
        </w:rPr>
        <w:t xml:space="preserve"> </w:t>
      </w:r>
      <w:r w:rsidR="007E2F63" w:rsidRPr="00D1229A">
        <w:rPr>
          <w:lang w:val="en-GB"/>
        </w:rPr>
        <w:t>referred to as caplacizumab</w:t>
      </w:r>
      <w:r w:rsidRPr="00D1229A">
        <w:rPr>
          <w:lang w:val="en-GB"/>
        </w:rPr>
        <w:t>) with placebo plus standard care</w:t>
      </w:r>
      <w:r w:rsidR="007E2F63" w:rsidRPr="00D1229A">
        <w:rPr>
          <w:lang w:val="en-GB"/>
        </w:rPr>
        <w:t xml:space="preserve"> (</w:t>
      </w:r>
      <w:r w:rsidR="00F80A0A">
        <w:rPr>
          <w:lang w:val="en-GB"/>
        </w:rPr>
        <w:t>from now</w:t>
      </w:r>
      <w:r w:rsidR="00F80A0A" w:rsidRPr="00D1229A">
        <w:rPr>
          <w:lang w:val="en-GB"/>
        </w:rPr>
        <w:t xml:space="preserve"> </w:t>
      </w:r>
      <w:r w:rsidR="007E2F63" w:rsidRPr="00D1229A">
        <w:rPr>
          <w:lang w:val="en-GB"/>
        </w:rPr>
        <w:t xml:space="preserve">referred to as standard care </w:t>
      </w:r>
      <w:r w:rsidR="00C9149F">
        <w:rPr>
          <w:lang w:val="en-GB"/>
        </w:rPr>
        <w:t>alone</w:t>
      </w:r>
      <w:r w:rsidR="007E2F63" w:rsidRPr="00D1229A">
        <w:rPr>
          <w:lang w:val="en-GB"/>
        </w:rPr>
        <w:t>)</w:t>
      </w:r>
      <w:r w:rsidRPr="00D1229A">
        <w:rPr>
          <w:lang w:val="en-GB"/>
        </w:rPr>
        <w:t xml:space="preserve">. </w:t>
      </w:r>
      <w:r w:rsidR="00F80A0A">
        <w:rPr>
          <w:lang w:val="en-GB"/>
        </w:rPr>
        <w:t>Caplacizumab’s</w:t>
      </w:r>
      <w:r w:rsidR="006F1F39" w:rsidRPr="00D1229A">
        <w:rPr>
          <w:lang w:val="en-GB"/>
        </w:rPr>
        <w:t xml:space="preserve"> marketing authorisation state</w:t>
      </w:r>
      <w:r w:rsidR="00F80A0A">
        <w:rPr>
          <w:lang w:val="en-GB"/>
        </w:rPr>
        <w:t>s</w:t>
      </w:r>
      <w:r w:rsidRPr="00D1229A">
        <w:rPr>
          <w:lang w:val="en-GB"/>
        </w:rPr>
        <w:t xml:space="preserve"> that </w:t>
      </w:r>
      <w:r w:rsidR="00F80A0A">
        <w:rPr>
          <w:lang w:val="en-GB"/>
        </w:rPr>
        <w:t>it</w:t>
      </w:r>
      <w:r w:rsidR="00F80A0A" w:rsidRPr="00D1229A">
        <w:rPr>
          <w:lang w:val="en-GB"/>
        </w:rPr>
        <w:t xml:space="preserve"> </w:t>
      </w:r>
      <w:r w:rsidR="006F1F39" w:rsidRPr="00D1229A">
        <w:rPr>
          <w:lang w:val="en-GB"/>
        </w:rPr>
        <w:t xml:space="preserve">should be </w:t>
      </w:r>
      <w:r w:rsidR="006C33E2" w:rsidRPr="00D1229A">
        <w:rPr>
          <w:lang w:val="en-GB"/>
        </w:rPr>
        <w:t xml:space="preserve">given </w:t>
      </w:r>
      <w:r w:rsidR="006F1F39" w:rsidRPr="00D1229A">
        <w:rPr>
          <w:lang w:val="en-GB"/>
        </w:rPr>
        <w:t xml:space="preserve">before </w:t>
      </w:r>
      <w:r w:rsidR="00F80A0A">
        <w:rPr>
          <w:lang w:val="en-GB"/>
        </w:rPr>
        <w:t>people</w:t>
      </w:r>
      <w:r w:rsidR="00F80A0A" w:rsidRPr="00D1229A">
        <w:rPr>
          <w:lang w:val="en-GB"/>
        </w:rPr>
        <w:t xml:space="preserve"> </w:t>
      </w:r>
      <w:r w:rsidRPr="00D1229A">
        <w:rPr>
          <w:lang w:val="en-GB"/>
        </w:rPr>
        <w:t>start plasma exchange</w:t>
      </w:r>
      <w:r w:rsidR="00F80A0A">
        <w:rPr>
          <w:lang w:val="en-GB"/>
        </w:rPr>
        <w:t>. However</w:t>
      </w:r>
      <w:r w:rsidR="006F1F39" w:rsidRPr="00D1229A">
        <w:rPr>
          <w:lang w:val="en-GB"/>
        </w:rPr>
        <w:t xml:space="preserve">, </w:t>
      </w:r>
      <w:r w:rsidRPr="00D1229A">
        <w:rPr>
          <w:lang w:val="en-GB"/>
        </w:rPr>
        <w:t>in the trial</w:t>
      </w:r>
      <w:r w:rsidR="00F80A0A">
        <w:rPr>
          <w:lang w:val="en-GB"/>
        </w:rPr>
        <w:t>,</w:t>
      </w:r>
      <w:r w:rsidRPr="00D1229A">
        <w:rPr>
          <w:lang w:val="en-GB"/>
        </w:rPr>
        <w:t xml:space="preserve"> </w:t>
      </w:r>
      <w:r w:rsidR="006F1F39" w:rsidRPr="00D1229A">
        <w:rPr>
          <w:lang w:val="en-GB"/>
        </w:rPr>
        <w:t xml:space="preserve">it was </w:t>
      </w:r>
      <w:r w:rsidR="00373616" w:rsidRPr="00D1229A">
        <w:rPr>
          <w:lang w:val="en-GB"/>
        </w:rPr>
        <w:t xml:space="preserve">started </w:t>
      </w:r>
      <w:r w:rsidR="006F1F39" w:rsidRPr="00D1229A">
        <w:rPr>
          <w:lang w:val="en-GB"/>
        </w:rPr>
        <w:t>after</w:t>
      </w:r>
      <w:r w:rsidR="006333F6" w:rsidRPr="00D1229A">
        <w:rPr>
          <w:lang w:val="en-GB"/>
        </w:rPr>
        <w:t xml:space="preserve"> </w:t>
      </w:r>
      <w:r w:rsidR="00203B64" w:rsidRPr="00D1229A">
        <w:rPr>
          <w:lang w:val="en-GB"/>
        </w:rPr>
        <w:t>plasma exchange</w:t>
      </w:r>
      <w:r w:rsidR="00F80A0A">
        <w:rPr>
          <w:lang w:val="en-GB"/>
        </w:rPr>
        <w:t>. This was</w:t>
      </w:r>
      <w:r w:rsidR="00203B64" w:rsidRPr="00D1229A">
        <w:rPr>
          <w:lang w:val="en-GB"/>
        </w:rPr>
        <w:t xml:space="preserve"> </w:t>
      </w:r>
      <w:r w:rsidR="006333F6" w:rsidRPr="00D1229A">
        <w:rPr>
          <w:lang w:val="en-GB"/>
        </w:rPr>
        <w:t>because consent</w:t>
      </w:r>
      <w:r w:rsidR="009C368C">
        <w:rPr>
          <w:lang w:val="en-GB"/>
        </w:rPr>
        <w:t>ing</w:t>
      </w:r>
      <w:r w:rsidR="006333F6" w:rsidRPr="00D1229A">
        <w:rPr>
          <w:lang w:val="en-GB"/>
        </w:rPr>
        <w:t xml:space="preserve"> and randomising </w:t>
      </w:r>
      <w:r w:rsidR="009C368C">
        <w:rPr>
          <w:lang w:val="en-GB"/>
        </w:rPr>
        <w:t>patients</w:t>
      </w:r>
      <w:r w:rsidR="009C368C" w:rsidRPr="00D1229A">
        <w:rPr>
          <w:lang w:val="en-GB"/>
        </w:rPr>
        <w:t xml:space="preserve"> </w:t>
      </w:r>
      <w:r w:rsidR="00373616" w:rsidRPr="00D1229A">
        <w:rPr>
          <w:lang w:val="en-GB"/>
        </w:rPr>
        <w:t xml:space="preserve">threatened to </w:t>
      </w:r>
      <w:r w:rsidR="003B421F" w:rsidRPr="00D1229A">
        <w:rPr>
          <w:lang w:val="en-GB"/>
        </w:rPr>
        <w:t xml:space="preserve">delay plasma exchange, which was </w:t>
      </w:r>
      <w:r w:rsidR="00373616" w:rsidRPr="00D1229A">
        <w:rPr>
          <w:lang w:val="en-GB"/>
        </w:rPr>
        <w:t xml:space="preserve">neither </w:t>
      </w:r>
      <w:r w:rsidR="003B421F" w:rsidRPr="00D1229A">
        <w:rPr>
          <w:lang w:val="en-GB"/>
        </w:rPr>
        <w:t xml:space="preserve">practical </w:t>
      </w:r>
      <w:r w:rsidR="00373616" w:rsidRPr="00D1229A">
        <w:rPr>
          <w:lang w:val="en-GB"/>
        </w:rPr>
        <w:t>n</w:t>
      </w:r>
      <w:r w:rsidR="003B421F" w:rsidRPr="00D1229A">
        <w:rPr>
          <w:lang w:val="en-GB"/>
        </w:rPr>
        <w:t>or safe</w:t>
      </w:r>
      <w:r w:rsidR="006333F6" w:rsidRPr="00D1229A">
        <w:rPr>
          <w:lang w:val="en-GB"/>
        </w:rPr>
        <w:t xml:space="preserve">. </w:t>
      </w:r>
      <w:r w:rsidR="005A7E28">
        <w:rPr>
          <w:lang w:val="en-GB"/>
        </w:rPr>
        <w:t>One</w:t>
      </w:r>
      <w:r w:rsidR="005A7E28" w:rsidRPr="00D1229A">
        <w:rPr>
          <w:lang w:val="en-GB"/>
        </w:rPr>
        <w:t xml:space="preserve"> </w:t>
      </w:r>
      <w:r w:rsidR="006333F6" w:rsidRPr="00D1229A">
        <w:rPr>
          <w:lang w:val="en-GB"/>
        </w:rPr>
        <w:t>clinical expert stated that</w:t>
      </w:r>
      <w:r w:rsidR="00F80A0A">
        <w:rPr>
          <w:lang w:val="en-GB"/>
        </w:rPr>
        <w:t>,</w:t>
      </w:r>
      <w:r w:rsidR="006333F6" w:rsidRPr="00D1229A">
        <w:rPr>
          <w:lang w:val="en-GB"/>
        </w:rPr>
        <w:t xml:space="preserve"> in clinical practice</w:t>
      </w:r>
      <w:r w:rsidR="00F80A0A">
        <w:rPr>
          <w:lang w:val="en-GB"/>
        </w:rPr>
        <w:t>,</w:t>
      </w:r>
      <w:r w:rsidR="006333F6" w:rsidRPr="00D1229A">
        <w:rPr>
          <w:lang w:val="en-GB"/>
        </w:rPr>
        <w:t xml:space="preserve"> caplacizumab </w:t>
      </w:r>
      <w:r w:rsidR="00925725" w:rsidRPr="00D1229A">
        <w:rPr>
          <w:lang w:val="en-GB"/>
        </w:rPr>
        <w:t xml:space="preserve">would be given </w:t>
      </w:r>
      <w:r w:rsidR="006333F6" w:rsidRPr="00D1229A">
        <w:rPr>
          <w:lang w:val="en-GB"/>
        </w:rPr>
        <w:t>within the same day</w:t>
      </w:r>
      <w:r w:rsidR="007338EC" w:rsidRPr="00D1229A">
        <w:rPr>
          <w:lang w:val="en-GB"/>
        </w:rPr>
        <w:t xml:space="preserve"> as plasma exchange</w:t>
      </w:r>
      <w:r w:rsidR="006333F6" w:rsidRPr="00D1229A">
        <w:rPr>
          <w:lang w:val="en-GB"/>
        </w:rPr>
        <w:t xml:space="preserve">. </w:t>
      </w:r>
      <w:r w:rsidR="005A7E28">
        <w:rPr>
          <w:lang w:val="en-GB"/>
        </w:rPr>
        <w:t>Also,</w:t>
      </w:r>
      <w:r w:rsidR="006333F6" w:rsidRPr="00D1229A">
        <w:rPr>
          <w:lang w:val="en-GB"/>
        </w:rPr>
        <w:t xml:space="preserve"> </w:t>
      </w:r>
      <w:r w:rsidR="007338EC" w:rsidRPr="00D1229A">
        <w:rPr>
          <w:lang w:val="en-GB"/>
        </w:rPr>
        <w:t xml:space="preserve">the trial recruited </w:t>
      </w:r>
      <w:r w:rsidR="005A7E28">
        <w:rPr>
          <w:lang w:val="en-GB"/>
        </w:rPr>
        <w:t>people</w:t>
      </w:r>
      <w:r w:rsidR="005A7E28" w:rsidRPr="00D1229A">
        <w:rPr>
          <w:lang w:val="en-GB"/>
        </w:rPr>
        <w:t xml:space="preserve"> </w:t>
      </w:r>
      <w:r w:rsidR="006333F6" w:rsidRPr="00D1229A">
        <w:rPr>
          <w:lang w:val="en-GB"/>
        </w:rPr>
        <w:t>in specialist</w:t>
      </w:r>
      <w:r w:rsidR="009C368C">
        <w:rPr>
          <w:lang w:val="en-GB"/>
        </w:rPr>
        <w:t xml:space="preserve"> centres for</w:t>
      </w:r>
      <w:r w:rsidR="006333F6" w:rsidRPr="00D1229A">
        <w:rPr>
          <w:lang w:val="en-GB"/>
        </w:rPr>
        <w:t xml:space="preserve"> </w:t>
      </w:r>
      <w:r w:rsidR="00206A4C">
        <w:rPr>
          <w:lang w:val="en-GB"/>
        </w:rPr>
        <w:t>acquired TTP</w:t>
      </w:r>
      <w:r w:rsidR="006333F6" w:rsidRPr="00D1229A">
        <w:rPr>
          <w:lang w:val="en-GB"/>
        </w:rPr>
        <w:t xml:space="preserve"> rather than from general haematology centres</w:t>
      </w:r>
      <w:r w:rsidR="005A7E28">
        <w:rPr>
          <w:lang w:val="en-GB"/>
        </w:rPr>
        <w:t xml:space="preserve">. </w:t>
      </w:r>
      <w:r w:rsidR="009C368C">
        <w:rPr>
          <w:lang w:val="en-GB"/>
        </w:rPr>
        <w:t xml:space="preserve">The clinical experts considered </w:t>
      </w:r>
      <w:r w:rsidR="005A7E28">
        <w:rPr>
          <w:lang w:val="en-GB"/>
        </w:rPr>
        <w:t>th</w:t>
      </w:r>
      <w:r w:rsidR="009C368C">
        <w:rPr>
          <w:lang w:val="en-GB"/>
        </w:rPr>
        <w:t>at</w:t>
      </w:r>
      <w:r w:rsidR="005A7E28">
        <w:rPr>
          <w:lang w:val="en-GB"/>
        </w:rPr>
        <w:t xml:space="preserve"> people in the trial</w:t>
      </w:r>
      <w:r w:rsidR="00657082" w:rsidRPr="00D1229A">
        <w:rPr>
          <w:lang w:val="en-GB"/>
        </w:rPr>
        <w:t xml:space="preserve"> </w:t>
      </w:r>
      <w:r w:rsidR="006333F6" w:rsidRPr="00D1229A">
        <w:rPr>
          <w:lang w:val="en-GB"/>
        </w:rPr>
        <w:t>may have</w:t>
      </w:r>
      <w:r w:rsidR="00DA4FC7" w:rsidRPr="00D1229A">
        <w:rPr>
          <w:lang w:val="en-GB"/>
        </w:rPr>
        <w:t xml:space="preserve"> </w:t>
      </w:r>
      <w:r w:rsidR="00EC4071" w:rsidRPr="00D1229A">
        <w:rPr>
          <w:lang w:val="en-GB"/>
        </w:rPr>
        <w:t>had</w:t>
      </w:r>
      <w:r w:rsidR="00DA4FC7" w:rsidRPr="00D1229A">
        <w:rPr>
          <w:lang w:val="en-GB"/>
        </w:rPr>
        <w:t xml:space="preserve"> </w:t>
      </w:r>
      <w:r w:rsidR="006333F6" w:rsidRPr="00D1229A">
        <w:rPr>
          <w:lang w:val="en-GB"/>
        </w:rPr>
        <w:t>better outcomes</w:t>
      </w:r>
      <w:r w:rsidR="003B421F" w:rsidRPr="00D1229A">
        <w:rPr>
          <w:lang w:val="en-GB"/>
        </w:rPr>
        <w:t xml:space="preserve"> than would be seen in </w:t>
      </w:r>
      <w:r w:rsidR="009C368C">
        <w:rPr>
          <w:lang w:val="en-GB"/>
        </w:rPr>
        <w:t xml:space="preserve">overall </w:t>
      </w:r>
      <w:r w:rsidR="003B421F" w:rsidRPr="00D1229A">
        <w:rPr>
          <w:lang w:val="en-GB"/>
        </w:rPr>
        <w:t>NHS practice</w:t>
      </w:r>
      <w:r w:rsidR="005A7E28">
        <w:rPr>
          <w:lang w:val="en-GB"/>
        </w:rPr>
        <w:t>. However</w:t>
      </w:r>
      <w:r w:rsidR="00657082" w:rsidRPr="00D1229A">
        <w:rPr>
          <w:lang w:val="en-GB"/>
        </w:rPr>
        <w:t xml:space="preserve">, </w:t>
      </w:r>
      <w:r w:rsidR="005A7E28">
        <w:rPr>
          <w:lang w:val="en-GB"/>
        </w:rPr>
        <w:t>this</w:t>
      </w:r>
      <w:r w:rsidR="00657082" w:rsidRPr="00D1229A">
        <w:rPr>
          <w:lang w:val="en-GB"/>
        </w:rPr>
        <w:t xml:space="preserve"> was unlikely to </w:t>
      </w:r>
      <w:r w:rsidR="005A7E28">
        <w:rPr>
          <w:lang w:val="en-GB"/>
        </w:rPr>
        <w:t>have a</w:t>
      </w:r>
      <w:r w:rsidR="00657082" w:rsidRPr="00D1229A">
        <w:rPr>
          <w:lang w:val="en-GB"/>
        </w:rPr>
        <w:t>ffect</w:t>
      </w:r>
      <w:r w:rsidR="005A7E28">
        <w:rPr>
          <w:lang w:val="en-GB"/>
        </w:rPr>
        <w:t>ed</w:t>
      </w:r>
      <w:r w:rsidR="00657082" w:rsidRPr="00D1229A">
        <w:rPr>
          <w:lang w:val="en-GB"/>
        </w:rPr>
        <w:t xml:space="preserve"> </w:t>
      </w:r>
      <w:r w:rsidR="005A7E28" w:rsidRPr="00D1229A">
        <w:rPr>
          <w:lang w:val="en-GB"/>
        </w:rPr>
        <w:t>caplacizumab</w:t>
      </w:r>
      <w:r w:rsidR="005A7E28">
        <w:rPr>
          <w:lang w:val="en-GB"/>
        </w:rPr>
        <w:t>’s</w:t>
      </w:r>
      <w:r w:rsidR="005A7E28" w:rsidRPr="00D1229A">
        <w:rPr>
          <w:lang w:val="en-GB"/>
        </w:rPr>
        <w:t xml:space="preserve"> </w:t>
      </w:r>
      <w:r w:rsidR="00657082" w:rsidRPr="00D1229A">
        <w:rPr>
          <w:lang w:val="en-GB"/>
        </w:rPr>
        <w:t xml:space="preserve">treatment </w:t>
      </w:r>
      <w:r w:rsidR="005A7E28">
        <w:rPr>
          <w:lang w:val="en-GB"/>
        </w:rPr>
        <w:t>effect</w:t>
      </w:r>
      <w:r w:rsidR="006333F6" w:rsidRPr="00D1229A">
        <w:rPr>
          <w:lang w:val="en-GB"/>
        </w:rPr>
        <w:t xml:space="preserve">. </w:t>
      </w:r>
      <w:r w:rsidR="009C368C">
        <w:rPr>
          <w:lang w:val="en-GB"/>
        </w:rPr>
        <w:t>The trial included o</w:t>
      </w:r>
      <w:r w:rsidR="005A7E28">
        <w:rPr>
          <w:lang w:val="en-GB"/>
        </w:rPr>
        <w:t>nly</w:t>
      </w:r>
      <w:r w:rsidR="009C368C">
        <w:rPr>
          <w:lang w:val="en-GB"/>
        </w:rPr>
        <w:t xml:space="preserve"> </w:t>
      </w:r>
      <w:r w:rsidR="004C0A5B" w:rsidRPr="00D1229A">
        <w:rPr>
          <w:lang w:val="en-GB"/>
        </w:rPr>
        <w:t>18</w:t>
      </w:r>
      <w:r w:rsidR="005A7E28">
        <w:rPr>
          <w:lang w:val="en-GB"/>
        </w:rPr>
        <w:t> people</w:t>
      </w:r>
      <w:r w:rsidR="00FB4FAB">
        <w:rPr>
          <w:lang w:val="en-GB"/>
        </w:rPr>
        <w:t xml:space="preserve"> </w:t>
      </w:r>
      <w:r w:rsidR="004C0A5B" w:rsidRPr="00D1229A">
        <w:rPr>
          <w:lang w:val="en-GB"/>
        </w:rPr>
        <w:t>from the UK</w:t>
      </w:r>
      <w:r w:rsidR="002B087E">
        <w:rPr>
          <w:lang w:val="en-GB"/>
        </w:rPr>
        <w:t>.</w:t>
      </w:r>
      <w:r w:rsidR="009C368C">
        <w:rPr>
          <w:lang w:val="en-GB"/>
        </w:rPr>
        <w:t xml:space="preserve"> </w:t>
      </w:r>
      <w:r w:rsidR="002B087E">
        <w:rPr>
          <w:lang w:val="en-GB"/>
        </w:rPr>
        <w:t>H</w:t>
      </w:r>
      <w:r w:rsidR="005A7E28">
        <w:rPr>
          <w:lang w:val="en-GB"/>
        </w:rPr>
        <w:t xml:space="preserve">owever, </w:t>
      </w:r>
      <w:r w:rsidR="002B087E">
        <w:rPr>
          <w:lang w:val="en-GB"/>
        </w:rPr>
        <w:t>1 </w:t>
      </w:r>
      <w:r w:rsidR="005A7E28">
        <w:rPr>
          <w:lang w:val="en-GB"/>
        </w:rPr>
        <w:t xml:space="preserve">clinical expert said </w:t>
      </w:r>
      <w:r w:rsidR="00FB4FAB">
        <w:rPr>
          <w:lang w:val="en-GB"/>
        </w:rPr>
        <w:t>that</w:t>
      </w:r>
      <w:r w:rsidR="002B087E">
        <w:rPr>
          <w:lang w:val="en-GB"/>
        </w:rPr>
        <w:t>:</w:t>
      </w:r>
    </w:p>
    <w:p w14:paraId="0F95AF66" w14:textId="35F4B4C7" w:rsidR="002B087E" w:rsidRDefault="004C0A5B" w:rsidP="002B087E">
      <w:pPr>
        <w:pStyle w:val="Bulletindent1"/>
      </w:pPr>
      <w:r w:rsidRPr="00D1229A">
        <w:t xml:space="preserve">the </w:t>
      </w:r>
      <w:r w:rsidR="005A7E28">
        <w:t>people</w:t>
      </w:r>
      <w:r w:rsidR="00FB4FAB">
        <w:t xml:space="preserve"> in the </w:t>
      </w:r>
      <w:r w:rsidRPr="00D1229A">
        <w:t>trial</w:t>
      </w:r>
      <w:r w:rsidR="005A7E28">
        <w:t>,</w:t>
      </w:r>
      <w:r w:rsidRPr="00D1229A">
        <w:t xml:space="preserve"> and treatments </w:t>
      </w:r>
      <w:r w:rsidR="00FB4FAB">
        <w:t>the</w:t>
      </w:r>
      <w:r w:rsidR="005A7E28">
        <w:t>y</w:t>
      </w:r>
      <w:r w:rsidR="00FB4FAB">
        <w:t xml:space="preserve"> had</w:t>
      </w:r>
      <w:r w:rsidR="005A7E28">
        <w:t>,</w:t>
      </w:r>
      <w:r w:rsidR="00FB4FAB" w:rsidRPr="00D1229A">
        <w:t xml:space="preserve"> </w:t>
      </w:r>
      <w:r w:rsidR="009C368C">
        <w:t>reflected</w:t>
      </w:r>
      <w:r w:rsidRPr="00D1229A">
        <w:t xml:space="preserve"> UK practice</w:t>
      </w:r>
    </w:p>
    <w:p w14:paraId="7163554F" w14:textId="1813D27D" w:rsidR="002B087E" w:rsidRDefault="00FE6264" w:rsidP="002B087E">
      <w:pPr>
        <w:pStyle w:val="Bulletindent1"/>
      </w:pPr>
      <w:r w:rsidRPr="00D1229A">
        <w:lastRenderedPageBreak/>
        <w:t>some of</w:t>
      </w:r>
      <w:r w:rsidR="00B31DE0" w:rsidRPr="00D1229A">
        <w:t xml:space="preserve"> </w:t>
      </w:r>
      <w:r w:rsidR="00B47178" w:rsidRPr="00D1229A">
        <w:t xml:space="preserve">their patients </w:t>
      </w:r>
      <w:r w:rsidR="00657082" w:rsidRPr="00D1229A">
        <w:t>have</w:t>
      </w:r>
      <w:r w:rsidR="00B47178" w:rsidRPr="00D1229A">
        <w:t xml:space="preserve"> </w:t>
      </w:r>
      <w:r w:rsidR="0004721C">
        <w:t>ha</w:t>
      </w:r>
      <w:r w:rsidR="0004721C" w:rsidRPr="00D1229A">
        <w:t xml:space="preserve">d </w:t>
      </w:r>
      <w:r w:rsidR="00B47178" w:rsidRPr="00D1229A">
        <w:t>caplacizumab</w:t>
      </w:r>
      <w:r w:rsidR="00B31DE0" w:rsidRPr="00D1229A">
        <w:t xml:space="preserve"> for the last 2</w:t>
      </w:r>
      <w:r w:rsidR="005A7E28">
        <w:t> </w:t>
      </w:r>
      <w:r w:rsidR="00B31DE0" w:rsidRPr="00D1229A">
        <w:t xml:space="preserve">years via a </w:t>
      </w:r>
      <w:r w:rsidR="00584316">
        <w:t xml:space="preserve">global </w:t>
      </w:r>
      <w:r w:rsidR="00B31DE0" w:rsidRPr="00D1229A">
        <w:t>compassionate use scheme</w:t>
      </w:r>
    </w:p>
    <w:p w14:paraId="530AA16A" w14:textId="5F1F0DD8" w:rsidR="00F0737D" w:rsidRPr="00D1229A" w:rsidRDefault="00B31DE0" w:rsidP="00670E27">
      <w:pPr>
        <w:pStyle w:val="Bulletindent1last"/>
      </w:pPr>
      <w:r w:rsidRPr="00D1229A">
        <w:t>the trial</w:t>
      </w:r>
      <w:r w:rsidR="00BD15F9">
        <w:t xml:space="preserve"> outcomes in the caplacizumab arm</w:t>
      </w:r>
      <w:r w:rsidRPr="00D1229A">
        <w:t xml:space="preserve"> </w:t>
      </w:r>
      <w:r w:rsidR="00FE6264" w:rsidRPr="00D1229A">
        <w:t>reflected</w:t>
      </w:r>
      <w:r w:rsidRPr="00D1229A">
        <w:t xml:space="preserve"> </w:t>
      </w:r>
      <w:r w:rsidR="008C7950" w:rsidRPr="00D1229A">
        <w:t>the outcomes</w:t>
      </w:r>
      <w:r w:rsidRPr="00D1229A">
        <w:t xml:space="preserve"> they had seen in NHS practice</w:t>
      </w:r>
      <w:r w:rsidR="00BD15F9">
        <w:t xml:space="preserve"> when using </w:t>
      </w:r>
      <w:proofErr w:type="spellStart"/>
      <w:r w:rsidR="00BD15F9">
        <w:t>caplacizumab</w:t>
      </w:r>
      <w:proofErr w:type="spellEnd"/>
      <w:r w:rsidR="00BD15F9">
        <w:t xml:space="preserve"> through the compassionate use scheme</w:t>
      </w:r>
      <w:r w:rsidR="002B087E" w:rsidRPr="00D1229A">
        <w:t>.</w:t>
      </w:r>
      <w:r w:rsidR="002B087E">
        <w:br/>
      </w:r>
      <w:r w:rsidR="002B087E">
        <w:br/>
      </w:r>
      <w:r w:rsidR="004C0A5B" w:rsidRPr="00D1229A">
        <w:t>The committee concluded that HERCULES was generalisable to UK clinical practice.</w:t>
      </w:r>
    </w:p>
    <w:p w14:paraId="31177158" w14:textId="5DECEACF" w:rsidR="00133AD4" w:rsidRPr="00D1229A" w:rsidRDefault="006E55B5" w:rsidP="00133AD4">
      <w:pPr>
        <w:pStyle w:val="Heading3"/>
      </w:pPr>
      <w:r w:rsidRPr="00D1229A">
        <w:t>The outcomes in HERCULES are clinically relevant</w:t>
      </w:r>
      <w:r w:rsidR="00DA4FC7" w:rsidRPr="00D1229A">
        <w:t>,</w:t>
      </w:r>
      <w:r w:rsidRPr="00D1229A">
        <w:t xml:space="preserve"> but do</w:t>
      </w:r>
      <w:r w:rsidR="00F81D1C" w:rsidRPr="00D1229A">
        <w:t xml:space="preserve"> </w:t>
      </w:r>
      <w:r w:rsidRPr="00D1229A">
        <w:t>n</w:t>
      </w:r>
      <w:r w:rsidR="00F81D1C" w:rsidRPr="00D1229A">
        <w:t>o</w:t>
      </w:r>
      <w:r w:rsidRPr="00D1229A">
        <w:t xml:space="preserve">t </w:t>
      </w:r>
      <w:r w:rsidR="009E7C71" w:rsidRPr="00D1229A">
        <w:t xml:space="preserve">test for short- or </w:t>
      </w:r>
      <w:r w:rsidR="00CE536E" w:rsidRPr="00D1229A">
        <w:t>long</w:t>
      </w:r>
      <w:r w:rsidR="00D958B5" w:rsidRPr="00D1229A">
        <w:t>-</w:t>
      </w:r>
      <w:r w:rsidR="00CE536E" w:rsidRPr="00D1229A">
        <w:t xml:space="preserve">term morbidity </w:t>
      </w:r>
      <w:r w:rsidR="0004721C">
        <w:t>or</w:t>
      </w:r>
      <w:r w:rsidR="0004721C" w:rsidRPr="00D1229A">
        <w:t xml:space="preserve"> </w:t>
      </w:r>
      <w:r w:rsidR="00CE536E" w:rsidRPr="00D1229A">
        <w:t>mortality</w:t>
      </w:r>
    </w:p>
    <w:p w14:paraId="444B7269" w14:textId="5862244F" w:rsidR="00FB119A" w:rsidRDefault="004C0A5B" w:rsidP="00BA506F">
      <w:pPr>
        <w:pStyle w:val="Numberedlevel2text"/>
        <w:rPr>
          <w:lang w:val="en-GB"/>
        </w:rPr>
      </w:pPr>
      <w:r w:rsidRPr="00D1229A">
        <w:rPr>
          <w:lang w:val="en-GB"/>
        </w:rPr>
        <w:t xml:space="preserve">HERCULES measured clinical outcomes around an acute episode of </w:t>
      </w:r>
      <w:r w:rsidR="00206A4C">
        <w:rPr>
          <w:lang w:val="en-GB"/>
        </w:rPr>
        <w:t>acquired TTP</w:t>
      </w:r>
      <w:r w:rsidR="00016A68" w:rsidRPr="00D1229A">
        <w:rPr>
          <w:lang w:val="en-GB"/>
        </w:rPr>
        <w:t xml:space="preserve">. </w:t>
      </w:r>
      <w:r w:rsidR="00352C38" w:rsidRPr="00D1229A">
        <w:rPr>
          <w:lang w:val="en-GB"/>
        </w:rPr>
        <w:t xml:space="preserve">Data were collected while </w:t>
      </w:r>
      <w:r w:rsidR="00EA679C">
        <w:rPr>
          <w:lang w:val="en-GB"/>
        </w:rPr>
        <w:t>people</w:t>
      </w:r>
      <w:r w:rsidR="00EA679C" w:rsidRPr="00D1229A">
        <w:rPr>
          <w:lang w:val="en-GB"/>
        </w:rPr>
        <w:t xml:space="preserve"> </w:t>
      </w:r>
      <w:r w:rsidR="00352C38" w:rsidRPr="00D1229A">
        <w:rPr>
          <w:lang w:val="en-GB"/>
        </w:rPr>
        <w:t>were on treatment and for</w:t>
      </w:r>
      <w:r w:rsidR="00EA679C">
        <w:rPr>
          <w:lang w:val="en-GB"/>
        </w:rPr>
        <w:t xml:space="preserve"> </w:t>
      </w:r>
      <w:r w:rsidR="00352C38" w:rsidRPr="00D1229A">
        <w:rPr>
          <w:lang w:val="en-GB"/>
        </w:rPr>
        <w:t>28</w:t>
      </w:r>
      <w:r w:rsidR="006034D6">
        <w:rPr>
          <w:lang w:val="en-GB"/>
        </w:rPr>
        <w:t> </w:t>
      </w:r>
      <w:r w:rsidR="00352C38" w:rsidRPr="00D1229A">
        <w:rPr>
          <w:lang w:val="en-GB"/>
        </w:rPr>
        <w:t>day</w:t>
      </w:r>
      <w:r w:rsidR="00EA679C">
        <w:rPr>
          <w:lang w:val="en-GB"/>
        </w:rPr>
        <w:t>s</w:t>
      </w:r>
      <w:r w:rsidR="00352C38" w:rsidRPr="00D1229A">
        <w:rPr>
          <w:lang w:val="en-GB"/>
        </w:rPr>
        <w:t xml:space="preserve"> after </w:t>
      </w:r>
      <w:r w:rsidR="00EA679C">
        <w:rPr>
          <w:lang w:val="en-GB"/>
        </w:rPr>
        <w:t>they</w:t>
      </w:r>
      <w:r w:rsidR="00EA679C" w:rsidRPr="00D1229A">
        <w:rPr>
          <w:lang w:val="en-GB"/>
        </w:rPr>
        <w:t xml:space="preserve"> </w:t>
      </w:r>
      <w:r w:rsidR="00352C38" w:rsidRPr="00D1229A">
        <w:rPr>
          <w:lang w:val="en-GB"/>
        </w:rPr>
        <w:t>stopped treatment</w:t>
      </w:r>
      <w:r w:rsidR="00EA679C">
        <w:rPr>
          <w:lang w:val="en-GB"/>
        </w:rPr>
        <w:t xml:space="preserve">. </w:t>
      </w:r>
      <w:r w:rsidR="00213072" w:rsidRPr="00D1229A">
        <w:rPr>
          <w:rFonts w:cs="Arial"/>
          <w:bCs w:val="0"/>
          <w:iCs w:val="0"/>
          <w:szCs w:val="24"/>
          <w:lang w:val="en-GB"/>
        </w:rPr>
        <w:t>The committee understood that an observational single</w:t>
      </w:r>
      <w:r w:rsidR="00EA679C">
        <w:rPr>
          <w:rFonts w:cs="Arial"/>
          <w:bCs w:val="0"/>
          <w:iCs w:val="0"/>
          <w:szCs w:val="24"/>
          <w:lang w:val="en-GB"/>
        </w:rPr>
        <w:t>-</w:t>
      </w:r>
      <w:r w:rsidR="00213072" w:rsidRPr="00D1229A">
        <w:rPr>
          <w:rFonts w:cs="Arial"/>
          <w:bCs w:val="0"/>
          <w:iCs w:val="0"/>
          <w:szCs w:val="24"/>
          <w:lang w:val="en-GB"/>
        </w:rPr>
        <w:t>arm extension to HERCULES is on</w:t>
      </w:r>
      <w:r w:rsidR="00AD3431">
        <w:rPr>
          <w:rFonts w:cs="Arial"/>
          <w:bCs w:val="0"/>
          <w:iCs w:val="0"/>
          <w:szCs w:val="24"/>
          <w:lang w:val="en-GB"/>
        </w:rPr>
        <w:t>going</w:t>
      </w:r>
      <w:r w:rsidR="00213072" w:rsidRPr="00D1229A">
        <w:rPr>
          <w:rFonts w:cs="Arial"/>
          <w:bCs w:val="0"/>
          <w:iCs w:val="0"/>
          <w:szCs w:val="24"/>
          <w:lang w:val="en-GB"/>
        </w:rPr>
        <w:t>.</w:t>
      </w:r>
      <w:r w:rsidR="00FB119A" w:rsidRPr="00D1229A">
        <w:rPr>
          <w:rFonts w:cs="Arial"/>
          <w:bCs w:val="0"/>
          <w:iCs w:val="0"/>
          <w:szCs w:val="24"/>
          <w:lang w:val="en-GB"/>
        </w:rPr>
        <w:t xml:space="preserve"> </w:t>
      </w:r>
      <w:r w:rsidR="00352C38" w:rsidRPr="00D1229A">
        <w:rPr>
          <w:lang w:val="en-GB"/>
        </w:rPr>
        <w:t xml:space="preserve">The primary outcome was </w:t>
      </w:r>
      <w:r w:rsidR="006E55B5" w:rsidRPr="00D1229A">
        <w:rPr>
          <w:lang w:val="en-GB"/>
        </w:rPr>
        <w:t>time to platelet normalisation</w:t>
      </w:r>
      <w:r w:rsidR="00FB119A">
        <w:rPr>
          <w:lang w:val="en-GB"/>
        </w:rPr>
        <w:t>. H</w:t>
      </w:r>
      <w:r w:rsidR="00DF6906" w:rsidRPr="00D1229A">
        <w:rPr>
          <w:lang w:val="en-GB"/>
        </w:rPr>
        <w:t>owever,</w:t>
      </w:r>
      <w:r w:rsidR="006E55B5" w:rsidRPr="00D1229A">
        <w:rPr>
          <w:lang w:val="en-GB"/>
        </w:rPr>
        <w:t xml:space="preserve"> </w:t>
      </w:r>
      <w:r w:rsidR="00FB119A">
        <w:rPr>
          <w:lang w:val="en-GB"/>
        </w:rPr>
        <w:t>people</w:t>
      </w:r>
      <w:r w:rsidR="006E55B5" w:rsidRPr="00D1229A">
        <w:rPr>
          <w:lang w:val="en-GB"/>
        </w:rPr>
        <w:t xml:space="preserve"> must have </w:t>
      </w:r>
      <w:r w:rsidR="00FB119A" w:rsidRPr="00D1229A">
        <w:rPr>
          <w:lang w:val="en-GB"/>
        </w:rPr>
        <w:t xml:space="preserve">also </w:t>
      </w:r>
      <w:r w:rsidR="006E55B5" w:rsidRPr="00D1229A">
        <w:rPr>
          <w:lang w:val="en-GB"/>
        </w:rPr>
        <w:t>stopped plasma exchange within 5</w:t>
      </w:r>
      <w:r w:rsidR="00FB119A">
        <w:rPr>
          <w:lang w:val="en-GB"/>
        </w:rPr>
        <w:t> </w:t>
      </w:r>
      <w:r w:rsidR="006E55B5" w:rsidRPr="00D1229A">
        <w:rPr>
          <w:lang w:val="en-GB"/>
        </w:rPr>
        <w:t>days of their platelet counts returning to normal.</w:t>
      </w:r>
      <w:r w:rsidR="00886D17" w:rsidRPr="00D1229A">
        <w:rPr>
          <w:lang w:val="en-GB"/>
        </w:rPr>
        <w:t xml:space="preserve"> The committee noted that platelet count was </w:t>
      </w:r>
      <w:r w:rsidR="00FD7305" w:rsidRPr="00D1229A">
        <w:rPr>
          <w:lang w:val="en-GB"/>
        </w:rPr>
        <w:t xml:space="preserve">a surrogate measure for more meaningful </w:t>
      </w:r>
      <w:r w:rsidR="009E7C71" w:rsidRPr="00D1229A">
        <w:rPr>
          <w:lang w:val="en-GB"/>
        </w:rPr>
        <w:t xml:space="preserve">outcomes reflecting </w:t>
      </w:r>
      <w:r w:rsidR="00FD7305" w:rsidRPr="00D1229A">
        <w:rPr>
          <w:lang w:val="en-GB"/>
        </w:rPr>
        <w:t xml:space="preserve">morbidity and mortality. </w:t>
      </w:r>
      <w:r w:rsidR="00FB119A">
        <w:rPr>
          <w:lang w:val="en-GB"/>
        </w:rPr>
        <w:t xml:space="preserve">The </w:t>
      </w:r>
      <w:r w:rsidR="00886D17" w:rsidRPr="00D1229A">
        <w:rPr>
          <w:lang w:val="en-GB"/>
        </w:rPr>
        <w:t xml:space="preserve">clinical experts </w:t>
      </w:r>
      <w:r w:rsidR="00FB119A">
        <w:rPr>
          <w:lang w:val="en-GB"/>
        </w:rPr>
        <w:t xml:space="preserve">explained </w:t>
      </w:r>
      <w:r w:rsidR="00886D17" w:rsidRPr="00D1229A">
        <w:rPr>
          <w:lang w:val="en-GB"/>
        </w:rPr>
        <w:t>that</w:t>
      </w:r>
      <w:r w:rsidR="00FD7305" w:rsidRPr="00D1229A">
        <w:rPr>
          <w:lang w:val="en-GB"/>
        </w:rPr>
        <w:t xml:space="preserve"> platelet count was an important outcome </w:t>
      </w:r>
      <w:r w:rsidR="00FB119A">
        <w:rPr>
          <w:lang w:val="en-GB"/>
        </w:rPr>
        <w:t>that</w:t>
      </w:r>
      <w:r w:rsidR="00FB119A" w:rsidRPr="00D1229A">
        <w:rPr>
          <w:lang w:val="en-GB"/>
        </w:rPr>
        <w:t xml:space="preserve"> </w:t>
      </w:r>
      <w:r w:rsidR="00FD7305" w:rsidRPr="00D1229A">
        <w:rPr>
          <w:lang w:val="en-GB"/>
        </w:rPr>
        <w:t xml:space="preserve">was related to all other outcomes. </w:t>
      </w:r>
      <w:r w:rsidR="00BA506F" w:rsidRPr="00D1229A">
        <w:rPr>
          <w:lang w:val="en-GB"/>
        </w:rPr>
        <w:t xml:space="preserve">The </w:t>
      </w:r>
      <w:r w:rsidR="00D04C60" w:rsidRPr="00D1229A">
        <w:rPr>
          <w:lang w:val="en-GB"/>
        </w:rPr>
        <w:t>committee heard</w:t>
      </w:r>
      <w:r w:rsidR="00FB119A">
        <w:rPr>
          <w:lang w:val="en-GB"/>
        </w:rPr>
        <w:t xml:space="preserve"> about (</w:t>
      </w:r>
      <w:r w:rsidR="00D04C60" w:rsidRPr="00D1229A">
        <w:rPr>
          <w:lang w:val="en-GB"/>
        </w:rPr>
        <w:t>but did not see</w:t>
      </w:r>
      <w:r w:rsidR="00FB119A">
        <w:rPr>
          <w:lang w:val="en-GB"/>
        </w:rPr>
        <w:t>)</w:t>
      </w:r>
      <w:r w:rsidR="00D04C60" w:rsidRPr="00D1229A">
        <w:rPr>
          <w:lang w:val="en-GB"/>
        </w:rPr>
        <w:t xml:space="preserve"> evidence that the </w:t>
      </w:r>
      <w:r w:rsidR="00BA506F" w:rsidRPr="00D1229A">
        <w:rPr>
          <w:lang w:val="en-GB"/>
        </w:rPr>
        <w:t>faster</w:t>
      </w:r>
      <w:r w:rsidR="00FD7305" w:rsidRPr="00D1229A">
        <w:rPr>
          <w:lang w:val="en-GB"/>
        </w:rPr>
        <w:t xml:space="preserve"> </w:t>
      </w:r>
      <w:r w:rsidR="00D04C60" w:rsidRPr="00D1229A">
        <w:rPr>
          <w:lang w:val="en-GB"/>
        </w:rPr>
        <w:t xml:space="preserve">the </w:t>
      </w:r>
      <w:r w:rsidR="00FD7305" w:rsidRPr="00D1229A">
        <w:rPr>
          <w:lang w:val="en-GB"/>
        </w:rPr>
        <w:t xml:space="preserve">platelet count is normalised, </w:t>
      </w:r>
      <w:r w:rsidR="00BA506F" w:rsidRPr="00D1229A">
        <w:rPr>
          <w:lang w:val="en-GB"/>
        </w:rPr>
        <w:t xml:space="preserve">the </w:t>
      </w:r>
      <w:r w:rsidR="00D04C60" w:rsidRPr="00D1229A">
        <w:rPr>
          <w:lang w:val="en-GB"/>
        </w:rPr>
        <w:t>lower the risk of complications</w:t>
      </w:r>
      <w:r w:rsidR="00FD7305" w:rsidRPr="00D1229A">
        <w:rPr>
          <w:lang w:val="en-GB"/>
        </w:rPr>
        <w:t xml:space="preserve">. </w:t>
      </w:r>
      <w:r w:rsidR="007C1CC0">
        <w:rPr>
          <w:lang w:val="en-GB"/>
        </w:rPr>
        <w:t>Key s</w:t>
      </w:r>
      <w:r w:rsidR="009C5BE3" w:rsidRPr="00D1229A">
        <w:rPr>
          <w:lang w:val="en-GB"/>
        </w:rPr>
        <w:t xml:space="preserve">econdary outcomes </w:t>
      </w:r>
      <w:r w:rsidR="00D04C60" w:rsidRPr="00D1229A">
        <w:rPr>
          <w:lang w:val="en-GB"/>
        </w:rPr>
        <w:t>in the trial</w:t>
      </w:r>
      <w:r w:rsidR="004C363C" w:rsidRPr="00D1229A">
        <w:rPr>
          <w:lang w:val="en-GB"/>
        </w:rPr>
        <w:t xml:space="preserve"> </w:t>
      </w:r>
      <w:r w:rsidR="00DF6906" w:rsidRPr="00D1229A">
        <w:rPr>
          <w:lang w:val="en-GB"/>
        </w:rPr>
        <w:t xml:space="preserve">in the company’s statistical analysis plan </w:t>
      </w:r>
      <w:r w:rsidR="009C5BE3" w:rsidRPr="00D1229A">
        <w:rPr>
          <w:lang w:val="en-GB"/>
        </w:rPr>
        <w:t>were</w:t>
      </w:r>
      <w:r w:rsidR="00DF6906" w:rsidRPr="00D1229A">
        <w:rPr>
          <w:lang w:val="en-GB"/>
        </w:rPr>
        <w:t>:</w:t>
      </w:r>
    </w:p>
    <w:p w14:paraId="1F0A9F16" w14:textId="5FF80766" w:rsidR="00FB119A" w:rsidRDefault="009C5BE3" w:rsidP="00FB119A">
      <w:pPr>
        <w:pStyle w:val="Bulletindent1"/>
      </w:pPr>
      <w:r w:rsidRPr="00D1229A">
        <w:t>a composite outcome of death, disease recurrence</w:t>
      </w:r>
      <w:r w:rsidR="00C9149F">
        <w:t xml:space="preserve"> while on treatment</w:t>
      </w:r>
      <w:r w:rsidRPr="00D1229A">
        <w:t xml:space="preserve"> and thromboembolic event</w:t>
      </w:r>
    </w:p>
    <w:p w14:paraId="3F0179F5" w14:textId="4940B948" w:rsidR="00FB119A" w:rsidRDefault="00FB119A" w:rsidP="00FB119A">
      <w:pPr>
        <w:pStyle w:val="Bulletindent1"/>
      </w:pPr>
      <w:r>
        <w:t>disease</w:t>
      </w:r>
      <w:r w:rsidR="009C5BE3" w:rsidRPr="00D1229A">
        <w:t xml:space="preserve"> recurrence</w:t>
      </w:r>
      <w:r>
        <w:t xml:space="preserve"> alone</w:t>
      </w:r>
    </w:p>
    <w:p w14:paraId="6A0A0637" w14:textId="61754506" w:rsidR="006E55B5" w:rsidRPr="00D1229A" w:rsidRDefault="009C5BE3" w:rsidP="00FE546C">
      <w:pPr>
        <w:pStyle w:val="Bulletindent1last"/>
      </w:pPr>
      <w:r w:rsidRPr="00D1229A">
        <w:t>the proportion of people who</w:t>
      </w:r>
      <w:r w:rsidR="00FB4FAB">
        <w:t>se condition</w:t>
      </w:r>
      <w:r w:rsidRPr="00D1229A">
        <w:t xml:space="preserve"> did not respon</w:t>
      </w:r>
      <w:r w:rsidR="00FB4FAB">
        <w:t>d</w:t>
      </w:r>
      <w:r w:rsidRPr="00D1229A">
        <w:t xml:space="preserve"> to treatment.</w:t>
      </w:r>
      <w:r w:rsidR="00FB119A">
        <w:br/>
      </w:r>
      <w:r w:rsidR="00FB119A">
        <w:br/>
      </w:r>
      <w:r w:rsidR="00EC4071" w:rsidRPr="00D1229A">
        <w:t>Other</w:t>
      </w:r>
      <w:r w:rsidRPr="00D1229A">
        <w:t xml:space="preserve"> secondary outcomes such as volume</w:t>
      </w:r>
      <w:r w:rsidR="005C0550">
        <w:t xml:space="preserve"> and </w:t>
      </w:r>
      <w:r w:rsidRPr="00D1229A">
        <w:t>duration of plasma exchange, time in hospital or intensive care</w:t>
      </w:r>
      <w:r w:rsidR="005C0550">
        <w:t>,</w:t>
      </w:r>
      <w:r w:rsidRPr="00D1229A">
        <w:t xml:space="preserve"> and death were not tested statistically. The clinical experts </w:t>
      </w:r>
      <w:r w:rsidR="005C0550">
        <w:t xml:space="preserve">explained </w:t>
      </w:r>
      <w:r w:rsidRPr="00D1229A">
        <w:t xml:space="preserve">that all the measured </w:t>
      </w:r>
      <w:r w:rsidRPr="00D1229A">
        <w:lastRenderedPageBreak/>
        <w:t>outcomes were clinically relevant</w:t>
      </w:r>
      <w:r w:rsidR="00886D17" w:rsidRPr="00D1229A">
        <w:t xml:space="preserve">. </w:t>
      </w:r>
      <w:r w:rsidR="005C0550">
        <w:t>The</w:t>
      </w:r>
      <w:r w:rsidRPr="00D1229A">
        <w:t xml:space="preserve"> patient experts</w:t>
      </w:r>
      <w:r w:rsidR="005C0550">
        <w:t xml:space="preserve"> said</w:t>
      </w:r>
      <w:r w:rsidR="00D34BAB" w:rsidRPr="00D1229A">
        <w:t xml:space="preserve"> that plasma exchange use and time in hospital </w:t>
      </w:r>
      <w:r w:rsidR="00F8234A" w:rsidRPr="00D1229A">
        <w:t xml:space="preserve">were </w:t>
      </w:r>
      <w:r w:rsidR="00D34BAB" w:rsidRPr="00D1229A">
        <w:t>importan</w:t>
      </w:r>
      <w:r w:rsidR="00F8234A" w:rsidRPr="00D1229A">
        <w:t>t</w:t>
      </w:r>
      <w:r w:rsidR="00D34BAB" w:rsidRPr="00D1229A">
        <w:t xml:space="preserve"> (</w:t>
      </w:r>
      <w:r w:rsidR="00BA506F" w:rsidRPr="00D1229A">
        <w:t xml:space="preserve">see </w:t>
      </w:r>
      <w:r w:rsidR="00D34BAB" w:rsidRPr="00D1229A">
        <w:t>section</w:t>
      </w:r>
      <w:r w:rsidR="00FB119A">
        <w:t> </w:t>
      </w:r>
      <w:r w:rsidR="00D34BAB" w:rsidRPr="00D1229A">
        <w:t>3.3). The committee concluded that the</w:t>
      </w:r>
      <w:r w:rsidR="005B2A82" w:rsidRPr="00D1229A">
        <w:t xml:space="preserve"> primary surrogate and the secondary</w:t>
      </w:r>
      <w:r w:rsidR="00D34BAB" w:rsidRPr="00D1229A">
        <w:t xml:space="preserve"> outcomes in HERCULES were clinically relevant</w:t>
      </w:r>
      <w:r w:rsidR="005C0550">
        <w:t>. However</w:t>
      </w:r>
      <w:r w:rsidR="00D34BAB" w:rsidRPr="00D1229A">
        <w:t>,</w:t>
      </w:r>
      <w:r w:rsidR="005C0550">
        <w:t xml:space="preserve"> it noted </w:t>
      </w:r>
      <w:r w:rsidR="005B2A82" w:rsidRPr="00D1229A">
        <w:t xml:space="preserve">that the trial </w:t>
      </w:r>
      <w:r w:rsidR="00DF6906" w:rsidRPr="00D1229A">
        <w:t xml:space="preserve">did </w:t>
      </w:r>
      <w:r w:rsidR="00D34BAB" w:rsidRPr="00D1229A">
        <w:t xml:space="preserve">not measure </w:t>
      </w:r>
      <w:r w:rsidR="004C363C" w:rsidRPr="00D1229A">
        <w:t xml:space="preserve">the effect of caplacizumab on </w:t>
      </w:r>
      <w:r w:rsidR="00D34BAB" w:rsidRPr="00D1229A">
        <w:t>survival</w:t>
      </w:r>
      <w:r w:rsidR="005B2A82" w:rsidRPr="00D1229A">
        <w:t>,</w:t>
      </w:r>
      <w:r w:rsidR="00D34BAB" w:rsidRPr="00D1229A">
        <w:t xml:space="preserve"> quality of life</w:t>
      </w:r>
      <w:r w:rsidR="005B2A82" w:rsidRPr="00D1229A">
        <w:t xml:space="preserve">, </w:t>
      </w:r>
      <w:r w:rsidR="00D34BAB" w:rsidRPr="00D1229A">
        <w:t>disability or mental health in the long term</w:t>
      </w:r>
      <w:r w:rsidR="007E2F63" w:rsidRPr="00D1229A">
        <w:t>.</w:t>
      </w:r>
    </w:p>
    <w:p w14:paraId="1D9D5016" w14:textId="4EE19DFD" w:rsidR="006E55B5" w:rsidRPr="00D1229A" w:rsidRDefault="006E55B5" w:rsidP="006E55B5">
      <w:pPr>
        <w:pStyle w:val="Heading3"/>
      </w:pPr>
      <w:r w:rsidRPr="00D1229A">
        <w:t>H</w:t>
      </w:r>
      <w:r w:rsidR="00D34BAB" w:rsidRPr="00D1229A">
        <w:t>ERCULES</w:t>
      </w:r>
      <w:r w:rsidRPr="00D1229A">
        <w:t xml:space="preserve"> show</w:t>
      </w:r>
      <w:r w:rsidR="005C0550">
        <w:t>s that</w:t>
      </w:r>
      <w:r w:rsidRPr="00D1229A">
        <w:t xml:space="preserve"> caplacizumab </w:t>
      </w:r>
      <w:r w:rsidR="00D34BAB" w:rsidRPr="00D1229A">
        <w:t>reduces plasma exchange use and hospital stays</w:t>
      </w:r>
    </w:p>
    <w:p w14:paraId="175844AE" w14:textId="4C5C0D11" w:rsidR="00133AD4" w:rsidRPr="00D1229A" w:rsidRDefault="006E55B5" w:rsidP="00133AD4">
      <w:pPr>
        <w:pStyle w:val="Numberedlevel2text"/>
        <w:rPr>
          <w:lang w:val="en-GB"/>
        </w:rPr>
      </w:pPr>
      <w:r w:rsidRPr="00D1229A">
        <w:rPr>
          <w:lang w:val="en-GB"/>
        </w:rPr>
        <w:t xml:space="preserve"> </w:t>
      </w:r>
      <w:r w:rsidR="00D34BAB" w:rsidRPr="00D1229A">
        <w:rPr>
          <w:lang w:val="en-GB"/>
        </w:rPr>
        <w:t xml:space="preserve">The committee </w:t>
      </w:r>
      <w:r w:rsidR="00AA3419" w:rsidRPr="00D1229A">
        <w:rPr>
          <w:lang w:val="en-GB"/>
        </w:rPr>
        <w:t>reviewed the results of HERCULES, noting</w:t>
      </w:r>
      <w:r w:rsidR="006034D6">
        <w:rPr>
          <w:lang w:val="en-GB"/>
        </w:rPr>
        <w:t xml:space="preserve"> that</w:t>
      </w:r>
      <w:r w:rsidR="00D34BAB" w:rsidRPr="00D1229A">
        <w:rPr>
          <w:lang w:val="en-GB"/>
        </w:rPr>
        <w:t>:</w:t>
      </w:r>
    </w:p>
    <w:p w14:paraId="4044B81F" w14:textId="3B8ABB2F" w:rsidR="00D34BAB" w:rsidRPr="00D1229A" w:rsidRDefault="00D34BAB" w:rsidP="00D34BAB">
      <w:pPr>
        <w:pStyle w:val="Bulletindent1"/>
      </w:pPr>
      <w:r w:rsidRPr="00D1229A">
        <w:t xml:space="preserve">Caplacizumab reduced </w:t>
      </w:r>
      <w:r w:rsidR="007A48F1">
        <w:t xml:space="preserve">the </w:t>
      </w:r>
      <w:r w:rsidRPr="00D1229A">
        <w:t>time to platelet normalisation. The</w:t>
      </w:r>
      <w:r w:rsidR="006034D6">
        <w:t>re was a</w:t>
      </w:r>
      <w:r w:rsidRPr="00D1229A">
        <w:t xml:space="preserve"> </w:t>
      </w:r>
      <w:r w:rsidR="006034D6" w:rsidRPr="00D1229A">
        <w:t>very small</w:t>
      </w:r>
      <w:r w:rsidR="006034D6">
        <w:t xml:space="preserve"> </w:t>
      </w:r>
      <w:r w:rsidR="00C9149F">
        <w:t>(</w:t>
      </w:r>
      <w:r w:rsidR="00C9149F" w:rsidRPr="00D1229A">
        <w:t>0.2</w:t>
      </w:r>
      <w:r w:rsidR="00C9149F">
        <w:t> </w:t>
      </w:r>
      <w:r w:rsidR="00C9149F" w:rsidRPr="00D1229A">
        <w:t>days</w:t>
      </w:r>
      <w:r w:rsidR="00C9149F">
        <w:t>)</w:t>
      </w:r>
      <w:r w:rsidR="00C9149F" w:rsidRPr="00D1229A">
        <w:t xml:space="preserve"> </w:t>
      </w:r>
      <w:r w:rsidRPr="00D1229A">
        <w:t xml:space="preserve">difference in median time to platelet normalisation </w:t>
      </w:r>
      <w:r w:rsidR="002716C2" w:rsidRPr="00D1229A">
        <w:t xml:space="preserve">between the treatments </w:t>
      </w:r>
      <w:r w:rsidRPr="00D1229A">
        <w:t>(2.7</w:t>
      </w:r>
      <w:r w:rsidR="006034D6">
        <w:t> </w:t>
      </w:r>
      <w:r w:rsidRPr="00D1229A">
        <w:t>days on caplacizumab and 2.9</w:t>
      </w:r>
      <w:r w:rsidR="006034D6">
        <w:t> </w:t>
      </w:r>
      <w:r w:rsidRPr="00D1229A">
        <w:t>days on placebo</w:t>
      </w:r>
      <w:r w:rsidR="006034D6">
        <w:t>; p&lt;0.01</w:t>
      </w:r>
      <w:r w:rsidRPr="00D1229A">
        <w:t xml:space="preserve">). </w:t>
      </w:r>
      <w:r w:rsidR="00DF6906" w:rsidRPr="00D1229A">
        <w:t>T</w:t>
      </w:r>
      <w:r w:rsidR="002716C2" w:rsidRPr="00D1229A">
        <w:t xml:space="preserve">he </w:t>
      </w:r>
      <w:r w:rsidRPr="00D1229A">
        <w:t xml:space="preserve">clinical experts </w:t>
      </w:r>
      <w:r w:rsidR="00C9149F">
        <w:t xml:space="preserve">explained </w:t>
      </w:r>
      <w:r w:rsidRPr="00D1229A">
        <w:t xml:space="preserve">that </w:t>
      </w:r>
      <w:r w:rsidR="006B6D19">
        <w:t xml:space="preserve">the rate of platelet normalisation was similar between the </w:t>
      </w:r>
      <w:r w:rsidR="007A48F1">
        <w:t>2 </w:t>
      </w:r>
      <w:r w:rsidR="006B6D19">
        <w:t>trial arms until day</w:t>
      </w:r>
      <w:r w:rsidR="007A48F1">
        <w:t> </w:t>
      </w:r>
      <w:r w:rsidR="006B6D19">
        <w:t>3</w:t>
      </w:r>
      <w:r w:rsidR="007A48F1">
        <w:t>,</w:t>
      </w:r>
      <w:r w:rsidR="00091F38">
        <w:t xml:space="preserve"> </w:t>
      </w:r>
      <w:r w:rsidR="007A48F1">
        <w:t>but then</w:t>
      </w:r>
      <w:r w:rsidR="00E3142A" w:rsidRPr="00D1229A" w:rsidDel="00E3142A">
        <w:t xml:space="preserve"> </w:t>
      </w:r>
      <w:proofErr w:type="spellStart"/>
      <w:r w:rsidR="008B39A2" w:rsidRPr="00D1229A">
        <w:t>caplacizumab</w:t>
      </w:r>
      <w:proofErr w:type="spellEnd"/>
      <w:r w:rsidR="008B39A2" w:rsidRPr="00D1229A">
        <w:t xml:space="preserve"> added benefit </w:t>
      </w:r>
      <w:r w:rsidR="00091F38">
        <w:t>to plasma exchange</w:t>
      </w:r>
      <w:r w:rsidR="00987494">
        <w:t xml:space="preserve"> in normalising platelet levels </w:t>
      </w:r>
      <w:r w:rsidR="008B39A2" w:rsidRPr="00D1229A">
        <w:t>until the autoimmune disease was controlled.</w:t>
      </w:r>
    </w:p>
    <w:p w14:paraId="029DBD6C" w14:textId="466C4A00" w:rsidR="001C0ED1" w:rsidRPr="00D1229A" w:rsidRDefault="008B39A2" w:rsidP="00D34BAB">
      <w:pPr>
        <w:pStyle w:val="Bulletindent1"/>
      </w:pPr>
      <w:r w:rsidRPr="00D1229A">
        <w:t>Caplacizumab</w:t>
      </w:r>
      <w:r w:rsidR="00C066AC">
        <w:t xml:space="preserve"> </w:t>
      </w:r>
      <w:r w:rsidRPr="00D1229A">
        <w:t>reduced the composite outcome</w:t>
      </w:r>
      <w:r w:rsidR="00AA1D89" w:rsidRPr="00D1229A">
        <w:t xml:space="preserve"> (12% of people on caplacizumab </w:t>
      </w:r>
      <w:r w:rsidR="00C9149F">
        <w:t>compared with</w:t>
      </w:r>
      <w:r w:rsidR="00C9149F" w:rsidRPr="00D1229A">
        <w:t xml:space="preserve"> </w:t>
      </w:r>
      <w:r w:rsidR="00AA1D89" w:rsidRPr="00D1229A">
        <w:t xml:space="preserve">49% on standard care </w:t>
      </w:r>
      <w:r w:rsidR="00C9149F">
        <w:t>alone</w:t>
      </w:r>
      <w:r w:rsidR="00C9149F" w:rsidRPr="00D1229A">
        <w:t xml:space="preserve"> </w:t>
      </w:r>
      <w:r w:rsidR="00E2585F" w:rsidRPr="00D1229A">
        <w:t xml:space="preserve">had </w:t>
      </w:r>
      <w:r w:rsidR="00AA1D89" w:rsidRPr="00D1229A">
        <w:t xml:space="preserve">an </w:t>
      </w:r>
      <w:r w:rsidR="00206A4C">
        <w:t>acquired TTP</w:t>
      </w:r>
      <w:r w:rsidR="00C9149F">
        <w:t>-</w:t>
      </w:r>
      <w:r w:rsidR="00AA1D89" w:rsidRPr="00D1229A">
        <w:t xml:space="preserve">related death, disease recurrence </w:t>
      </w:r>
      <w:r w:rsidR="00C9149F" w:rsidRPr="00D1229A">
        <w:t>whil</w:t>
      </w:r>
      <w:r w:rsidR="00C9149F">
        <w:t>e</w:t>
      </w:r>
      <w:r w:rsidR="00C9149F" w:rsidRPr="00D1229A">
        <w:t xml:space="preserve"> </w:t>
      </w:r>
      <w:r w:rsidR="00AA1D89" w:rsidRPr="00D1229A">
        <w:t>on treatment or a major thromboembolic event</w:t>
      </w:r>
      <w:r w:rsidR="00C066AC">
        <w:t>, p&lt;0.001</w:t>
      </w:r>
      <w:r w:rsidR="00AA1D89" w:rsidRPr="00D1229A">
        <w:t>)</w:t>
      </w:r>
      <w:r w:rsidR="00C066AC">
        <w:t>.</w:t>
      </w:r>
      <w:r w:rsidR="001C0ED1" w:rsidRPr="00D1229A">
        <w:t xml:space="preserve"> The same proportion (8%) of </w:t>
      </w:r>
      <w:r w:rsidR="006B0BEC">
        <w:t>people</w:t>
      </w:r>
      <w:r w:rsidR="006B0BEC" w:rsidRPr="00D1229A">
        <w:t xml:space="preserve"> </w:t>
      </w:r>
      <w:r w:rsidR="001C0ED1" w:rsidRPr="00D1229A">
        <w:t xml:space="preserve">randomised to each treatment had a major </w:t>
      </w:r>
      <w:r w:rsidR="00E2585F" w:rsidRPr="00D1229A">
        <w:t>thrombotic</w:t>
      </w:r>
      <w:r w:rsidR="001C0ED1" w:rsidRPr="00D1229A">
        <w:t xml:space="preserve"> event (</w:t>
      </w:r>
      <w:r w:rsidR="00FB4FAB">
        <w:t>1 </w:t>
      </w:r>
      <w:r w:rsidR="001C0ED1" w:rsidRPr="00D1229A">
        <w:t>component of the composite outcome) during the acute period</w:t>
      </w:r>
      <w:r w:rsidR="00C9149F">
        <w:t>.</w:t>
      </w:r>
    </w:p>
    <w:p w14:paraId="1C8087AD" w14:textId="3AC52BDB" w:rsidR="008B39A2" w:rsidRPr="00D1229A" w:rsidRDefault="001C0ED1" w:rsidP="00D34BAB">
      <w:pPr>
        <w:pStyle w:val="Bulletindent1"/>
      </w:pPr>
      <w:r w:rsidRPr="00D1229A">
        <w:t>Caplacizumab reduced</w:t>
      </w:r>
      <w:r w:rsidR="00C066AC">
        <w:t xml:space="preserve"> the</w:t>
      </w:r>
      <w:r w:rsidRPr="00D1229A">
        <w:t xml:space="preserve"> </w:t>
      </w:r>
      <w:r w:rsidR="008B39A2" w:rsidRPr="00D1229A">
        <w:t>proportion of people having disease recurrence whil</w:t>
      </w:r>
      <w:r w:rsidR="00C077D5" w:rsidRPr="00D1229A">
        <w:t>e</w:t>
      </w:r>
      <w:r w:rsidR="008B39A2" w:rsidRPr="00D1229A">
        <w:t xml:space="preserve"> on treatment or in the 28</w:t>
      </w:r>
      <w:r w:rsidR="00C066AC">
        <w:t> </w:t>
      </w:r>
      <w:r w:rsidR="008B39A2" w:rsidRPr="00D1229A">
        <w:t>days after stopping treatment</w:t>
      </w:r>
      <w:r w:rsidR="00AA1D89" w:rsidRPr="00D1229A">
        <w:t xml:space="preserve"> (13% on caplacizumab </w:t>
      </w:r>
      <w:r w:rsidR="00C066AC">
        <w:t>compared with</w:t>
      </w:r>
      <w:r w:rsidR="00AA1D89" w:rsidRPr="00D1229A">
        <w:t xml:space="preserve"> 38% on standard care </w:t>
      </w:r>
      <w:r w:rsidR="00C9149F">
        <w:t>alone</w:t>
      </w:r>
      <w:r w:rsidR="00C066AC">
        <w:t>, p&lt;0.001</w:t>
      </w:r>
      <w:r w:rsidR="00AA1D89" w:rsidRPr="00D1229A">
        <w:t>)</w:t>
      </w:r>
      <w:r w:rsidR="00C066AC">
        <w:t xml:space="preserve">. </w:t>
      </w:r>
    </w:p>
    <w:p w14:paraId="1A0C1943" w14:textId="26A14C6B" w:rsidR="00D4242C" w:rsidRPr="00D1229A" w:rsidRDefault="00AA3419" w:rsidP="007F44CE">
      <w:pPr>
        <w:pStyle w:val="Bulletindent1last"/>
      </w:pPr>
      <w:r w:rsidRPr="00D1229A">
        <w:t xml:space="preserve">Caplacizumab reduced </w:t>
      </w:r>
      <w:r w:rsidR="008318D4">
        <w:t>mean</w:t>
      </w:r>
      <w:r w:rsidR="00A9324C">
        <w:t xml:space="preserve"> duration of</w:t>
      </w:r>
      <w:r w:rsidR="008318D4">
        <w:t xml:space="preserve"> </w:t>
      </w:r>
      <w:r w:rsidRPr="00D1229A">
        <w:t>p</w:t>
      </w:r>
      <w:r w:rsidR="00F8308D" w:rsidRPr="00D1229A">
        <w:t xml:space="preserve">lasma exchange </w:t>
      </w:r>
      <w:r w:rsidR="00AA1D89" w:rsidRPr="00D1229A">
        <w:t>(6</w:t>
      </w:r>
      <w:r w:rsidR="008318D4">
        <w:t> </w:t>
      </w:r>
      <w:r w:rsidR="00AA1D89" w:rsidRPr="00D1229A">
        <w:t xml:space="preserve">days </w:t>
      </w:r>
      <w:r w:rsidR="008318D4">
        <w:t>compared with</w:t>
      </w:r>
      <w:r w:rsidR="008318D4" w:rsidRPr="00D1229A">
        <w:t xml:space="preserve"> </w:t>
      </w:r>
      <w:r w:rsidR="00AA1D89" w:rsidRPr="00D1229A">
        <w:t>9</w:t>
      </w:r>
      <w:r w:rsidR="008318D4">
        <w:t> </w:t>
      </w:r>
      <w:r w:rsidR="00AA1D89" w:rsidRPr="00D1229A">
        <w:t>days</w:t>
      </w:r>
      <w:r w:rsidR="008318D4">
        <w:t xml:space="preserve"> on standard care alone</w:t>
      </w:r>
      <w:r w:rsidR="00AA1D89" w:rsidRPr="00D1229A">
        <w:t>)</w:t>
      </w:r>
      <w:r w:rsidR="007A48F1">
        <w:t>,</w:t>
      </w:r>
      <w:r w:rsidR="00F8308D" w:rsidRPr="00D1229A">
        <w:t xml:space="preserve"> </w:t>
      </w:r>
      <w:r w:rsidR="008318D4">
        <w:t xml:space="preserve">mean </w:t>
      </w:r>
      <w:r w:rsidR="00F8308D" w:rsidRPr="00D1229A">
        <w:t xml:space="preserve">volume </w:t>
      </w:r>
      <w:r w:rsidR="00AA1D89" w:rsidRPr="00D1229A">
        <w:t>(21</w:t>
      </w:r>
      <w:r w:rsidR="008318D4">
        <w:t> </w:t>
      </w:r>
      <w:r w:rsidR="00AA1D89" w:rsidRPr="00D1229A">
        <w:t xml:space="preserve">litres </w:t>
      </w:r>
      <w:r w:rsidR="008318D4">
        <w:t>compared with</w:t>
      </w:r>
      <w:r w:rsidR="008318D4" w:rsidRPr="00D1229A">
        <w:t xml:space="preserve"> </w:t>
      </w:r>
      <w:r w:rsidR="00AA1D89" w:rsidRPr="00D1229A">
        <w:t>36</w:t>
      </w:r>
      <w:r w:rsidR="008318D4">
        <w:t> </w:t>
      </w:r>
      <w:r w:rsidR="00AA1D89" w:rsidRPr="00D1229A">
        <w:t>litres)</w:t>
      </w:r>
      <w:r w:rsidR="008318D4">
        <w:t>,</w:t>
      </w:r>
      <w:r w:rsidR="00AA1D89" w:rsidRPr="00D1229A">
        <w:t xml:space="preserve"> </w:t>
      </w:r>
      <w:r w:rsidR="00F8308D" w:rsidRPr="00D1229A">
        <w:t>and mean days in hospital</w:t>
      </w:r>
      <w:r w:rsidR="00AA1D89" w:rsidRPr="00D1229A">
        <w:t xml:space="preserve"> (10</w:t>
      </w:r>
      <w:r w:rsidR="008318D4">
        <w:t> </w:t>
      </w:r>
      <w:r w:rsidR="00AA1D89" w:rsidRPr="00D1229A">
        <w:t xml:space="preserve">days </w:t>
      </w:r>
      <w:r w:rsidR="008318D4">
        <w:t>compared with</w:t>
      </w:r>
      <w:r w:rsidR="008318D4" w:rsidRPr="00D1229A">
        <w:t xml:space="preserve"> </w:t>
      </w:r>
      <w:r w:rsidR="00AA1D89" w:rsidRPr="00D1229A">
        <w:t>14</w:t>
      </w:r>
      <w:r w:rsidR="008318D4">
        <w:t> </w:t>
      </w:r>
      <w:r w:rsidR="00AA1D89" w:rsidRPr="00D1229A">
        <w:t xml:space="preserve">days) </w:t>
      </w:r>
      <w:r w:rsidR="00F8308D" w:rsidRPr="00D1229A">
        <w:t xml:space="preserve">and </w:t>
      </w:r>
      <w:r w:rsidR="00220EDF">
        <w:t xml:space="preserve">in </w:t>
      </w:r>
      <w:r w:rsidR="00F8308D" w:rsidRPr="00D1229A">
        <w:t>intensive care</w:t>
      </w:r>
      <w:r w:rsidR="00220EDF">
        <w:t xml:space="preserve"> </w:t>
      </w:r>
      <w:r w:rsidR="008318D4">
        <w:t>(3 days compared with 10 days)</w:t>
      </w:r>
      <w:r w:rsidR="004C363C" w:rsidRPr="00D1229A">
        <w:t>. The committee noted that</w:t>
      </w:r>
      <w:r w:rsidR="00744EA3">
        <w:t>,</w:t>
      </w:r>
      <w:r w:rsidR="004C363C" w:rsidRPr="00D1229A">
        <w:t xml:space="preserve"> </w:t>
      </w:r>
      <w:r w:rsidR="00A9324C">
        <w:t xml:space="preserve">in the company’s statistical plan, </w:t>
      </w:r>
      <w:r w:rsidR="004C363C" w:rsidRPr="00D1229A">
        <w:t xml:space="preserve">these </w:t>
      </w:r>
      <w:r w:rsidR="004C363C" w:rsidRPr="00D1229A">
        <w:lastRenderedPageBreak/>
        <w:t xml:space="preserve">outcomes were </w:t>
      </w:r>
      <w:r w:rsidR="00A9324C">
        <w:t>described</w:t>
      </w:r>
      <w:r w:rsidR="0072350A">
        <w:t>,</w:t>
      </w:r>
      <w:r w:rsidR="00A9324C">
        <w:t xml:space="preserve"> but not statistically tested</w:t>
      </w:r>
      <w:r w:rsidR="00F8308D" w:rsidRPr="00D1229A">
        <w:t xml:space="preserve">. </w:t>
      </w:r>
      <w:r w:rsidR="00584F85">
        <w:t>O</w:t>
      </w:r>
      <w:r w:rsidR="00FA29A2" w:rsidRPr="00D1229A">
        <w:t xml:space="preserve">ne </w:t>
      </w:r>
      <w:r w:rsidR="00F8308D" w:rsidRPr="00D1229A">
        <w:t xml:space="preserve">clinical experts </w:t>
      </w:r>
      <w:r w:rsidR="00584F85">
        <w:t xml:space="preserve">explained </w:t>
      </w:r>
      <w:r w:rsidR="005500EE" w:rsidRPr="00D1229A">
        <w:t xml:space="preserve">that </w:t>
      </w:r>
      <w:r w:rsidR="00FA29A2" w:rsidRPr="00D1229A">
        <w:t>she</w:t>
      </w:r>
      <w:r w:rsidR="005500EE" w:rsidRPr="00D1229A">
        <w:t xml:space="preserve"> </w:t>
      </w:r>
      <w:r w:rsidR="00584F85">
        <w:t xml:space="preserve">had </w:t>
      </w:r>
      <w:r w:rsidR="00744EA3">
        <w:t>seen</w:t>
      </w:r>
      <w:r w:rsidR="00301E79">
        <w:t xml:space="preserve"> a similar reduction in number of plasma exchanges and hospital stay with </w:t>
      </w:r>
      <w:proofErr w:type="spellStart"/>
      <w:r w:rsidR="00301E79">
        <w:t>caplacizumab</w:t>
      </w:r>
      <w:proofErr w:type="spellEnd"/>
      <w:r w:rsidR="00301E79">
        <w:t xml:space="preserve"> when using </w:t>
      </w:r>
      <w:proofErr w:type="spellStart"/>
      <w:r w:rsidR="00301E79">
        <w:t>caplacizumab</w:t>
      </w:r>
      <w:proofErr w:type="spellEnd"/>
      <w:r w:rsidR="00301E79">
        <w:t xml:space="preserve"> through the compassionate use programme in her centre.</w:t>
      </w:r>
      <w:r w:rsidR="00487B44">
        <w:br/>
      </w:r>
      <w:r w:rsidR="00487B44">
        <w:br/>
      </w:r>
      <w:r w:rsidR="007E7615" w:rsidRPr="00D1229A">
        <w:t xml:space="preserve">The committee concluded that caplacizumab is clinically effective </w:t>
      </w:r>
      <w:r w:rsidRPr="00D1229A">
        <w:t>in the acute period compared with standard of care alone</w:t>
      </w:r>
      <w:r w:rsidR="007E7615" w:rsidRPr="00D1229A">
        <w:t>.</w:t>
      </w:r>
    </w:p>
    <w:p w14:paraId="186CC212" w14:textId="7967C302" w:rsidR="00AA3419" w:rsidRPr="00D1229A" w:rsidRDefault="00AA3419" w:rsidP="00AA3419">
      <w:pPr>
        <w:pStyle w:val="Heading2"/>
      </w:pPr>
      <w:r w:rsidRPr="00D1229A">
        <w:t>The company’s economic model</w:t>
      </w:r>
    </w:p>
    <w:p w14:paraId="0CA29DCA" w14:textId="1CB116BE" w:rsidR="00E83897" w:rsidRPr="00D1229A" w:rsidRDefault="00E83897" w:rsidP="00E83897">
      <w:pPr>
        <w:pStyle w:val="Heading3"/>
      </w:pPr>
      <w:r w:rsidRPr="00D1229A">
        <w:t xml:space="preserve">The model </w:t>
      </w:r>
      <w:r w:rsidR="00576ED3" w:rsidRPr="00D1229A">
        <w:t>structure is appropriate for decision making</w:t>
      </w:r>
    </w:p>
    <w:p w14:paraId="3C1C1D07" w14:textId="296F0996" w:rsidR="00B43AF3" w:rsidRPr="00D1229A" w:rsidRDefault="003A71EE" w:rsidP="00AA3419">
      <w:pPr>
        <w:pStyle w:val="Numberedlevel2text"/>
        <w:rPr>
          <w:lang w:val="en-GB"/>
        </w:rPr>
      </w:pPr>
      <w:r w:rsidRPr="00D1229A">
        <w:rPr>
          <w:lang w:val="en-GB"/>
        </w:rPr>
        <w:t xml:space="preserve">The company </w:t>
      </w:r>
      <w:r w:rsidR="00B36E22" w:rsidRPr="00D1229A">
        <w:rPr>
          <w:lang w:val="en-GB"/>
        </w:rPr>
        <w:t xml:space="preserve">separately </w:t>
      </w:r>
      <w:r w:rsidRPr="00D1229A">
        <w:rPr>
          <w:lang w:val="en-GB"/>
        </w:rPr>
        <w:t xml:space="preserve">modelled events around an acute episode </w:t>
      </w:r>
      <w:r w:rsidR="00387A13">
        <w:rPr>
          <w:lang w:val="en-GB"/>
        </w:rPr>
        <w:t xml:space="preserve">of acquired TTP </w:t>
      </w:r>
      <w:r w:rsidR="009C0EF7" w:rsidRPr="00D1229A">
        <w:rPr>
          <w:lang w:val="en-GB"/>
        </w:rPr>
        <w:t xml:space="preserve">using a </w:t>
      </w:r>
      <w:r w:rsidR="006B0BEC">
        <w:rPr>
          <w:lang w:val="en-GB"/>
        </w:rPr>
        <w:t>decision-</w:t>
      </w:r>
      <w:r w:rsidR="009C0EF7" w:rsidRPr="00D1229A">
        <w:rPr>
          <w:lang w:val="en-GB"/>
        </w:rPr>
        <w:t xml:space="preserve">tree model </w:t>
      </w:r>
      <w:r w:rsidRPr="00D1229A">
        <w:rPr>
          <w:lang w:val="en-GB"/>
        </w:rPr>
        <w:t xml:space="preserve">and events once a person had recovered </w:t>
      </w:r>
      <w:r w:rsidR="0072350A">
        <w:rPr>
          <w:lang w:val="en-GB"/>
        </w:rPr>
        <w:t>from</w:t>
      </w:r>
      <w:r w:rsidR="0072350A" w:rsidRPr="00D1229A">
        <w:rPr>
          <w:lang w:val="en-GB"/>
        </w:rPr>
        <w:t xml:space="preserve"> </w:t>
      </w:r>
      <w:r w:rsidR="004C065C" w:rsidRPr="00D1229A">
        <w:rPr>
          <w:lang w:val="en-GB"/>
        </w:rPr>
        <w:t xml:space="preserve">an </w:t>
      </w:r>
      <w:r w:rsidRPr="00D1229A">
        <w:rPr>
          <w:lang w:val="en-GB"/>
        </w:rPr>
        <w:t>acute episode</w:t>
      </w:r>
      <w:r w:rsidR="009C0EF7" w:rsidRPr="00D1229A">
        <w:rPr>
          <w:lang w:val="en-GB"/>
        </w:rPr>
        <w:t xml:space="preserve"> using a Markov model</w:t>
      </w:r>
      <w:r w:rsidRPr="00D1229A">
        <w:rPr>
          <w:lang w:val="en-GB"/>
        </w:rPr>
        <w:t>.</w:t>
      </w:r>
      <w:r w:rsidR="00B36E22" w:rsidRPr="00D1229A">
        <w:rPr>
          <w:lang w:val="en-GB"/>
        </w:rPr>
        <w:t xml:space="preserve"> The decision</w:t>
      </w:r>
      <w:r w:rsidR="006B0BEC">
        <w:rPr>
          <w:lang w:val="en-GB"/>
        </w:rPr>
        <w:t>-</w:t>
      </w:r>
      <w:r w:rsidR="00B36E22" w:rsidRPr="00D1229A">
        <w:rPr>
          <w:lang w:val="en-GB"/>
        </w:rPr>
        <w:t xml:space="preserve">tree model </w:t>
      </w:r>
      <w:r w:rsidR="006B0BEC">
        <w:rPr>
          <w:lang w:val="en-GB"/>
        </w:rPr>
        <w:t xml:space="preserve">was </w:t>
      </w:r>
      <w:r w:rsidR="006B0BEC" w:rsidRPr="00D1229A">
        <w:rPr>
          <w:lang w:val="en-GB"/>
        </w:rPr>
        <w:t>based on the data from HERCULES</w:t>
      </w:r>
      <w:r w:rsidR="006B0BEC">
        <w:rPr>
          <w:lang w:val="en-GB"/>
        </w:rPr>
        <w:t>. I</w:t>
      </w:r>
      <w:r w:rsidR="0072350A">
        <w:rPr>
          <w:lang w:val="en-GB"/>
        </w:rPr>
        <w:t>n it, the company</w:t>
      </w:r>
      <w:r w:rsidR="006B0BEC" w:rsidRPr="00D1229A">
        <w:rPr>
          <w:lang w:val="en-GB"/>
        </w:rPr>
        <w:t xml:space="preserve"> </w:t>
      </w:r>
      <w:r w:rsidR="00B36E22" w:rsidRPr="00D1229A">
        <w:rPr>
          <w:lang w:val="en-GB"/>
        </w:rPr>
        <w:t xml:space="preserve">took into account the different rate of disease </w:t>
      </w:r>
      <w:r w:rsidR="00CF104B" w:rsidRPr="00D1229A">
        <w:rPr>
          <w:lang w:val="en-GB"/>
        </w:rPr>
        <w:t>recurrence</w:t>
      </w:r>
      <w:r w:rsidR="00B36E22" w:rsidRPr="00D1229A">
        <w:rPr>
          <w:lang w:val="en-GB"/>
        </w:rPr>
        <w:t xml:space="preserve"> with caplacizumab and standard care </w:t>
      </w:r>
      <w:r w:rsidR="00091F38">
        <w:rPr>
          <w:lang w:val="en-GB"/>
        </w:rPr>
        <w:t>alone</w:t>
      </w:r>
      <w:r w:rsidR="00B36E22" w:rsidRPr="00D1229A">
        <w:rPr>
          <w:lang w:val="en-GB"/>
        </w:rPr>
        <w:t xml:space="preserve"> in the 3</w:t>
      </w:r>
      <w:r w:rsidR="006B0BEC">
        <w:rPr>
          <w:lang w:val="en-GB"/>
        </w:rPr>
        <w:t> </w:t>
      </w:r>
      <w:r w:rsidR="00B36E22" w:rsidRPr="00D1229A">
        <w:rPr>
          <w:lang w:val="en-GB"/>
        </w:rPr>
        <w:t xml:space="preserve">months </w:t>
      </w:r>
      <w:r w:rsidR="00CE5A34">
        <w:rPr>
          <w:lang w:val="en-GB"/>
        </w:rPr>
        <w:t>after</w:t>
      </w:r>
      <w:r w:rsidR="00B36E22" w:rsidRPr="00D1229A">
        <w:rPr>
          <w:lang w:val="en-GB"/>
        </w:rPr>
        <w:t xml:space="preserve"> an acute episode. </w:t>
      </w:r>
      <w:r w:rsidR="0072350A">
        <w:rPr>
          <w:lang w:val="en-GB"/>
        </w:rPr>
        <w:t>The company</w:t>
      </w:r>
      <w:r w:rsidR="0072350A" w:rsidRPr="00D1229A">
        <w:rPr>
          <w:lang w:val="en-GB"/>
        </w:rPr>
        <w:t xml:space="preserve"> </w:t>
      </w:r>
      <w:r w:rsidR="00B36E22" w:rsidRPr="00D1229A">
        <w:rPr>
          <w:lang w:val="en-GB"/>
        </w:rPr>
        <w:t xml:space="preserve">also modelled different </w:t>
      </w:r>
      <w:r w:rsidR="00D840C3">
        <w:rPr>
          <w:lang w:val="en-GB"/>
        </w:rPr>
        <w:t xml:space="preserve">probabilities of dying </w:t>
      </w:r>
      <w:r w:rsidR="00B36E22" w:rsidRPr="00D1229A">
        <w:rPr>
          <w:lang w:val="en-GB"/>
        </w:rPr>
        <w:t>in the 2</w:t>
      </w:r>
      <w:r w:rsidR="006B0BEC">
        <w:rPr>
          <w:lang w:val="en-GB"/>
        </w:rPr>
        <w:t xml:space="preserve"> treatment </w:t>
      </w:r>
      <w:r w:rsidR="00B36E22" w:rsidRPr="00D1229A">
        <w:rPr>
          <w:lang w:val="en-GB"/>
        </w:rPr>
        <w:t>arms</w:t>
      </w:r>
      <w:r w:rsidR="00EF2BD7">
        <w:rPr>
          <w:lang w:val="en-GB"/>
        </w:rPr>
        <w:t>, not based</w:t>
      </w:r>
      <w:r w:rsidR="00B36E22" w:rsidRPr="00D1229A">
        <w:rPr>
          <w:lang w:val="en-GB"/>
        </w:rPr>
        <w:t xml:space="preserve"> data from HERCULES</w:t>
      </w:r>
      <w:r w:rsidR="00CF104B" w:rsidRPr="00D1229A">
        <w:rPr>
          <w:lang w:val="en-GB"/>
        </w:rPr>
        <w:t>;</w:t>
      </w:r>
      <w:r w:rsidR="00B36E22" w:rsidRPr="00D1229A">
        <w:rPr>
          <w:lang w:val="en-GB"/>
        </w:rPr>
        <w:t xml:space="preserve"> </w:t>
      </w:r>
      <w:r w:rsidR="00EF2BD7">
        <w:rPr>
          <w:lang w:val="en-GB"/>
        </w:rPr>
        <w:t>but by doing a</w:t>
      </w:r>
      <w:r w:rsidR="00091F38">
        <w:rPr>
          <w:lang w:val="en-GB"/>
        </w:rPr>
        <w:t xml:space="preserve"> </w:t>
      </w:r>
      <w:r w:rsidR="005500EE" w:rsidRPr="00D1229A">
        <w:rPr>
          <w:lang w:val="en-GB"/>
        </w:rPr>
        <w:t>na</w:t>
      </w:r>
      <w:r w:rsidR="00503CE6">
        <w:rPr>
          <w:lang w:val="en-GB"/>
        </w:rPr>
        <w:t>i</w:t>
      </w:r>
      <w:r w:rsidR="005500EE" w:rsidRPr="00D1229A">
        <w:rPr>
          <w:lang w:val="en-GB"/>
        </w:rPr>
        <w:t xml:space="preserve">ve comparison of </w:t>
      </w:r>
      <w:r w:rsidR="00CE5A34">
        <w:rPr>
          <w:lang w:val="en-GB"/>
        </w:rPr>
        <w:t xml:space="preserve">unpublished </w:t>
      </w:r>
      <w:r w:rsidR="00B36E22" w:rsidRPr="00D1229A">
        <w:rPr>
          <w:lang w:val="en-GB"/>
        </w:rPr>
        <w:t>observational data (see section</w:t>
      </w:r>
      <w:r w:rsidR="006B0BEC">
        <w:rPr>
          <w:lang w:val="en-GB"/>
        </w:rPr>
        <w:t> </w:t>
      </w:r>
      <w:r w:rsidR="00B36E22" w:rsidRPr="00D1229A">
        <w:rPr>
          <w:lang w:val="en-GB"/>
        </w:rPr>
        <w:t xml:space="preserve">3.9). The </w:t>
      </w:r>
      <w:r w:rsidR="005500EE" w:rsidRPr="00D1229A">
        <w:rPr>
          <w:lang w:val="en-GB"/>
        </w:rPr>
        <w:t xml:space="preserve">company used the </w:t>
      </w:r>
      <w:r w:rsidR="00B36E22" w:rsidRPr="00D1229A">
        <w:rPr>
          <w:lang w:val="en-GB"/>
        </w:rPr>
        <w:t xml:space="preserve">Markov model to model </w:t>
      </w:r>
      <w:r w:rsidR="00EF2BD7">
        <w:rPr>
          <w:lang w:val="en-GB"/>
        </w:rPr>
        <w:t xml:space="preserve">for 55 years </w:t>
      </w:r>
      <w:r w:rsidR="006B0BEC">
        <w:rPr>
          <w:lang w:val="en-GB"/>
        </w:rPr>
        <w:t xml:space="preserve">from </w:t>
      </w:r>
      <w:r w:rsidR="00435661">
        <w:rPr>
          <w:lang w:val="en-GB"/>
        </w:rPr>
        <w:t xml:space="preserve">the time </w:t>
      </w:r>
      <w:r w:rsidR="005500EE" w:rsidRPr="00D1229A">
        <w:rPr>
          <w:lang w:val="en-GB"/>
        </w:rPr>
        <w:t xml:space="preserve">a person recovered from an episode of </w:t>
      </w:r>
      <w:r w:rsidR="00206A4C">
        <w:rPr>
          <w:lang w:val="en-GB"/>
        </w:rPr>
        <w:t>acquired TTP</w:t>
      </w:r>
      <w:r w:rsidR="006B0BEC">
        <w:rPr>
          <w:lang w:val="en-GB"/>
        </w:rPr>
        <w:t xml:space="preserve">. </w:t>
      </w:r>
      <w:r w:rsidR="00D24EEE" w:rsidRPr="00D1229A">
        <w:rPr>
          <w:lang w:val="en-GB"/>
        </w:rPr>
        <w:t xml:space="preserve">It modelled </w:t>
      </w:r>
      <w:r w:rsidR="00D24EEE">
        <w:rPr>
          <w:lang w:val="en-GB"/>
        </w:rPr>
        <w:t xml:space="preserve">the same rate of </w:t>
      </w:r>
      <w:r w:rsidR="00D24EEE" w:rsidRPr="00D1229A">
        <w:rPr>
          <w:lang w:val="en-GB"/>
        </w:rPr>
        <w:t xml:space="preserve">disease relapse on caplacizumab and on standard care </w:t>
      </w:r>
      <w:r w:rsidR="00A3408E">
        <w:rPr>
          <w:lang w:val="en-GB"/>
        </w:rPr>
        <w:t>alone</w:t>
      </w:r>
      <w:r w:rsidR="00D24EEE" w:rsidRPr="00D1229A">
        <w:rPr>
          <w:lang w:val="en-GB"/>
        </w:rPr>
        <w:t xml:space="preserve">. </w:t>
      </w:r>
      <w:r w:rsidR="006B0BEC">
        <w:rPr>
          <w:lang w:val="en-GB"/>
        </w:rPr>
        <w:t xml:space="preserve">It </w:t>
      </w:r>
      <w:r w:rsidR="00D24EEE">
        <w:rPr>
          <w:lang w:val="en-GB"/>
        </w:rPr>
        <w:t>compared</w:t>
      </w:r>
      <w:r w:rsidR="00D24EEE" w:rsidRPr="00D1229A">
        <w:rPr>
          <w:lang w:val="en-GB"/>
        </w:rPr>
        <w:t xml:space="preserve"> </w:t>
      </w:r>
      <w:r w:rsidR="00B36E22" w:rsidRPr="00D1229A">
        <w:rPr>
          <w:lang w:val="en-GB"/>
        </w:rPr>
        <w:t>long</w:t>
      </w:r>
      <w:r w:rsidR="006B0BEC">
        <w:rPr>
          <w:lang w:val="en-GB"/>
        </w:rPr>
        <w:t>-</w:t>
      </w:r>
      <w:r w:rsidR="00B36E22" w:rsidRPr="00D1229A">
        <w:rPr>
          <w:lang w:val="en-GB"/>
        </w:rPr>
        <w:t xml:space="preserve">term cognitive impairment and mental health, </w:t>
      </w:r>
      <w:r w:rsidR="00EF2BD7">
        <w:rPr>
          <w:lang w:val="en-GB"/>
        </w:rPr>
        <w:t xml:space="preserve">and </w:t>
      </w:r>
      <w:r w:rsidR="00B36E22" w:rsidRPr="00D1229A">
        <w:rPr>
          <w:lang w:val="en-GB"/>
        </w:rPr>
        <w:t xml:space="preserve">relapses and death for caplacizumab </w:t>
      </w:r>
      <w:r w:rsidR="00D24EEE">
        <w:rPr>
          <w:lang w:val="en-GB"/>
        </w:rPr>
        <w:t>and</w:t>
      </w:r>
      <w:r w:rsidR="00B36E22" w:rsidRPr="00D1229A">
        <w:rPr>
          <w:lang w:val="en-GB"/>
        </w:rPr>
        <w:t xml:space="preserve"> standard care </w:t>
      </w:r>
      <w:r w:rsidR="00A3408E">
        <w:rPr>
          <w:lang w:val="en-GB"/>
        </w:rPr>
        <w:t>alone</w:t>
      </w:r>
      <w:r w:rsidR="002B094E" w:rsidRPr="00D1229A">
        <w:rPr>
          <w:lang w:val="en-GB"/>
        </w:rPr>
        <w:t>.</w:t>
      </w:r>
      <w:r w:rsidR="00806EF1" w:rsidRPr="00D1229A">
        <w:rPr>
          <w:lang w:val="en-GB"/>
        </w:rPr>
        <w:t xml:space="preserve"> </w:t>
      </w:r>
      <w:r w:rsidRPr="00D1229A">
        <w:rPr>
          <w:lang w:val="en-GB"/>
        </w:rPr>
        <w:t xml:space="preserve">The committee considered that the </w:t>
      </w:r>
      <w:r w:rsidR="006B0BEC">
        <w:rPr>
          <w:lang w:val="en-GB"/>
        </w:rPr>
        <w:t xml:space="preserve">economic </w:t>
      </w:r>
      <w:r w:rsidRPr="00D1229A">
        <w:rPr>
          <w:lang w:val="en-GB"/>
        </w:rPr>
        <w:t xml:space="preserve">model captured relevant aspects of </w:t>
      </w:r>
      <w:r w:rsidR="00206A4C">
        <w:rPr>
          <w:lang w:val="en-GB"/>
        </w:rPr>
        <w:t>acquired TTP</w:t>
      </w:r>
      <w:r w:rsidR="00EF2BD7">
        <w:rPr>
          <w:lang w:val="en-GB"/>
        </w:rPr>
        <w:t>,</w:t>
      </w:r>
      <w:r w:rsidR="004C065C" w:rsidRPr="00D1229A">
        <w:rPr>
          <w:lang w:val="en-GB"/>
        </w:rPr>
        <w:t xml:space="preserve"> and </w:t>
      </w:r>
      <w:r w:rsidR="00F83D72" w:rsidRPr="00D1229A">
        <w:rPr>
          <w:lang w:val="en-GB"/>
        </w:rPr>
        <w:t xml:space="preserve">concluded that </w:t>
      </w:r>
      <w:r w:rsidR="006B0BEC">
        <w:rPr>
          <w:lang w:val="en-GB"/>
        </w:rPr>
        <w:t>its</w:t>
      </w:r>
      <w:r w:rsidR="00F83D72" w:rsidRPr="00D1229A">
        <w:rPr>
          <w:lang w:val="en-GB"/>
        </w:rPr>
        <w:t xml:space="preserve"> structure was appropriate for decision making. </w:t>
      </w:r>
      <w:r w:rsidRPr="00D1229A">
        <w:rPr>
          <w:lang w:val="en-GB"/>
        </w:rPr>
        <w:t>However</w:t>
      </w:r>
      <w:r w:rsidR="004C065C" w:rsidRPr="00D1229A">
        <w:rPr>
          <w:lang w:val="en-GB"/>
        </w:rPr>
        <w:t>,</w:t>
      </w:r>
      <w:r w:rsidRPr="00D1229A">
        <w:rPr>
          <w:lang w:val="en-GB"/>
        </w:rPr>
        <w:t xml:space="preserve"> </w:t>
      </w:r>
      <w:r w:rsidR="006B0BEC">
        <w:rPr>
          <w:lang w:val="en-GB"/>
        </w:rPr>
        <w:t xml:space="preserve">it </w:t>
      </w:r>
      <w:r w:rsidRPr="00D1229A">
        <w:rPr>
          <w:lang w:val="en-GB"/>
        </w:rPr>
        <w:t xml:space="preserve">noted that </w:t>
      </w:r>
      <w:r w:rsidR="004C065C" w:rsidRPr="00D1229A">
        <w:rPr>
          <w:lang w:val="en-GB"/>
        </w:rPr>
        <w:t>the company populated its model mostly with evidence from observational data</w:t>
      </w:r>
      <w:r w:rsidR="00B742B4">
        <w:rPr>
          <w:lang w:val="en-GB"/>
        </w:rPr>
        <w:t xml:space="preserve"> </w:t>
      </w:r>
      <w:r w:rsidR="00670E27">
        <w:rPr>
          <w:lang w:val="en-GB"/>
        </w:rPr>
        <w:t xml:space="preserve">which was </w:t>
      </w:r>
      <w:r w:rsidR="00B742B4">
        <w:rPr>
          <w:lang w:val="en-GB"/>
        </w:rPr>
        <w:t xml:space="preserve">unadjusted </w:t>
      </w:r>
      <w:r w:rsidR="00670E27">
        <w:rPr>
          <w:lang w:val="en-GB"/>
        </w:rPr>
        <w:t xml:space="preserve">both </w:t>
      </w:r>
      <w:r w:rsidR="00B742B4">
        <w:rPr>
          <w:lang w:val="en-GB"/>
        </w:rPr>
        <w:t>for potential confounders</w:t>
      </w:r>
      <w:r w:rsidR="00670E27">
        <w:rPr>
          <w:lang w:val="en-GB"/>
        </w:rPr>
        <w:t xml:space="preserve"> and for differences in the</w:t>
      </w:r>
      <w:r w:rsidR="0072350A">
        <w:rPr>
          <w:lang w:val="en-GB"/>
        </w:rPr>
        <w:t xml:space="preserve"> duration of the study determining mortality</w:t>
      </w:r>
      <w:r w:rsidR="00EF2BD7">
        <w:rPr>
          <w:lang w:val="en-GB"/>
        </w:rPr>
        <w:t>. It concluded</w:t>
      </w:r>
      <w:r w:rsidR="00CA7D4F" w:rsidRPr="00D1229A">
        <w:rPr>
          <w:lang w:val="en-GB"/>
        </w:rPr>
        <w:t xml:space="preserve"> that the treatment effects ascribed to </w:t>
      </w:r>
      <w:proofErr w:type="spellStart"/>
      <w:r w:rsidR="006B0BEC" w:rsidRPr="00D1229A">
        <w:rPr>
          <w:lang w:val="en-GB"/>
        </w:rPr>
        <w:lastRenderedPageBreak/>
        <w:t>caplacizumab</w:t>
      </w:r>
      <w:proofErr w:type="spellEnd"/>
      <w:r w:rsidR="006B0BEC" w:rsidRPr="00D1229A">
        <w:rPr>
          <w:lang w:val="en-GB"/>
        </w:rPr>
        <w:t xml:space="preserve"> </w:t>
      </w:r>
      <w:r w:rsidR="00CA7D4F" w:rsidRPr="00D1229A">
        <w:rPr>
          <w:lang w:val="en-GB"/>
        </w:rPr>
        <w:t xml:space="preserve">treatment </w:t>
      </w:r>
      <w:r w:rsidR="00487EF9">
        <w:rPr>
          <w:lang w:val="en-GB"/>
        </w:rPr>
        <w:t xml:space="preserve">in the model </w:t>
      </w:r>
      <w:r w:rsidRPr="00D1229A">
        <w:rPr>
          <w:lang w:val="en-GB"/>
        </w:rPr>
        <w:t>had not been validated</w:t>
      </w:r>
      <w:r w:rsidR="00F83D72" w:rsidRPr="00D1229A">
        <w:rPr>
          <w:lang w:val="en-GB"/>
        </w:rPr>
        <w:t xml:space="preserve"> (see sections </w:t>
      </w:r>
      <w:r w:rsidR="00792A4C" w:rsidRPr="00D1229A">
        <w:rPr>
          <w:lang w:val="en-GB"/>
        </w:rPr>
        <w:t>3.</w:t>
      </w:r>
      <w:r w:rsidR="00454095" w:rsidRPr="00D1229A">
        <w:rPr>
          <w:lang w:val="en-GB"/>
        </w:rPr>
        <w:t>9</w:t>
      </w:r>
      <w:r w:rsidR="006B0BEC">
        <w:rPr>
          <w:lang w:val="en-GB"/>
        </w:rPr>
        <w:t> </w:t>
      </w:r>
      <w:r w:rsidR="00792A4C" w:rsidRPr="00D1229A">
        <w:rPr>
          <w:lang w:val="en-GB"/>
        </w:rPr>
        <w:t>to</w:t>
      </w:r>
      <w:r w:rsidR="006B0BEC">
        <w:rPr>
          <w:lang w:val="en-GB"/>
        </w:rPr>
        <w:t> </w:t>
      </w:r>
      <w:r w:rsidR="00792A4C" w:rsidRPr="00D1229A">
        <w:rPr>
          <w:lang w:val="en-GB"/>
        </w:rPr>
        <w:t>3.1</w:t>
      </w:r>
      <w:r w:rsidR="00454095" w:rsidRPr="00D1229A">
        <w:rPr>
          <w:lang w:val="en-GB"/>
        </w:rPr>
        <w:t>3</w:t>
      </w:r>
      <w:r w:rsidR="00F83D72" w:rsidRPr="00D1229A">
        <w:rPr>
          <w:lang w:val="en-GB"/>
        </w:rPr>
        <w:t>)</w:t>
      </w:r>
      <w:r w:rsidRPr="00D1229A">
        <w:rPr>
          <w:lang w:val="en-GB"/>
        </w:rPr>
        <w:t>.</w:t>
      </w:r>
    </w:p>
    <w:p w14:paraId="0CE046EF" w14:textId="17BE2BC1" w:rsidR="00576ED3" w:rsidRPr="00D1229A" w:rsidRDefault="006E7456" w:rsidP="00576ED3">
      <w:pPr>
        <w:pStyle w:val="Heading3"/>
      </w:pPr>
      <w:r>
        <w:t>During an</w:t>
      </w:r>
      <w:r w:rsidRPr="00D1229A">
        <w:t xml:space="preserve"> </w:t>
      </w:r>
      <w:r w:rsidR="00403160" w:rsidRPr="00D1229A">
        <w:t xml:space="preserve">acute </w:t>
      </w:r>
      <w:r w:rsidR="00387A13">
        <w:t xml:space="preserve">episode </w:t>
      </w:r>
      <w:r w:rsidR="00691E94">
        <w:t>of acquired TTP</w:t>
      </w:r>
      <w:r w:rsidR="00403160" w:rsidRPr="00D1229A">
        <w:t>, t</w:t>
      </w:r>
      <w:r w:rsidR="00C94B10" w:rsidRPr="00D1229A">
        <w:t xml:space="preserve">he </w:t>
      </w:r>
      <w:r w:rsidR="00FB4FAB">
        <w:t>size</w:t>
      </w:r>
      <w:r w:rsidR="00FB4FAB" w:rsidRPr="00D1229A">
        <w:t xml:space="preserve"> </w:t>
      </w:r>
      <w:r w:rsidR="00C94B10" w:rsidRPr="00D1229A">
        <w:t xml:space="preserve">of </w:t>
      </w:r>
      <w:r w:rsidR="00122FD4">
        <w:t>any</w:t>
      </w:r>
      <w:r w:rsidR="00122FD4" w:rsidRPr="00D1229A">
        <w:t xml:space="preserve"> </w:t>
      </w:r>
      <w:r w:rsidR="00C94B10" w:rsidRPr="00D1229A">
        <w:t xml:space="preserve">association between </w:t>
      </w:r>
      <w:r w:rsidR="00306111" w:rsidRPr="00D1229A">
        <w:t>treatment with capl</w:t>
      </w:r>
      <w:r w:rsidR="009C0EF7" w:rsidRPr="00D1229A">
        <w:t>a</w:t>
      </w:r>
      <w:r w:rsidR="00306111" w:rsidRPr="00D1229A">
        <w:t>cizumab</w:t>
      </w:r>
      <w:r w:rsidR="00C94B10" w:rsidRPr="00D1229A">
        <w:t xml:space="preserve"> and death is unclear</w:t>
      </w:r>
    </w:p>
    <w:p w14:paraId="130DF167" w14:textId="6BE43E73" w:rsidR="00576ED3" w:rsidRPr="00D1229A" w:rsidRDefault="00D2008D" w:rsidP="00576ED3">
      <w:pPr>
        <w:pStyle w:val="Numberedlevel2text"/>
        <w:rPr>
          <w:lang w:val="en-GB"/>
        </w:rPr>
      </w:pPr>
      <w:r>
        <w:rPr>
          <w:lang w:val="en-GB"/>
        </w:rPr>
        <w:t>In HERCULES, 1 person</w:t>
      </w:r>
      <w:r w:rsidR="006B0BEC" w:rsidRPr="00D1229A">
        <w:rPr>
          <w:lang w:val="en-GB"/>
        </w:rPr>
        <w:t xml:space="preserve"> </w:t>
      </w:r>
      <w:r w:rsidR="00403160" w:rsidRPr="00D1229A">
        <w:rPr>
          <w:lang w:val="en-GB"/>
        </w:rPr>
        <w:t xml:space="preserve">randomised to </w:t>
      </w:r>
      <w:proofErr w:type="spellStart"/>
      <w:r w:rsidR="00403160" w:rsidRPr="00D1229A">
        <w:rPr>
          <w:lang w:val="en-GB"/>
        </w:rPr>
        <w:t>capl</w:t>
      </w:r>
      <w:r w:rsidR="00806EF1" w:rsidRPr="00D1229A">
        <w:rPr>
          <w:lang w:val="en-GB"/>
        </w:rPr>
        <w:t>a</w:t>
      </w:r>
      <w:r w:rsidR="00403160" w:rsidRPr="00D1229A">
        <w:rPr>
          <w:lang w:val="en-GB"/>
        </w:rPr>
        <w:t>cizumab</w:t>
      </w:r>
      <w:proofErr w:type="spellEnd"/>
      <w:r w:rsidR="001C0ED1" w:rsidRPr="00D1229A">
        <w:rPr>
          <w:lang w:val="en-GB"/>
        </w:rPr>
        <w:t xml:space="preserve"> </w:t>
      </w:r>
      <w:r w:rsidR="00403160" w:rsidRPr="00D1229A">
        <w:rPr>
          <w:lang w:val="en-GB"/>
        </w:rPr>
        <w:t>died</w:t>
      </w:r>
      <w:r>
        <w:rPr>
          <w:lang w:val="en-GB"/>
        </w:rPr>
        <w:t xml:space="preserve"> and</w:t>
      </w:r>
      <w:r w:rsidR="00403160" w:rsidRPr="00D1229A">
        <w:rPr>
          <w:lang w:val="en-GB"/>
        </w:rPr>
        <w:t xml:space="preserve"> 3</w:t>
      </w:r>
      <w:r w:rsidR="00057353">
        <w:rPr>
          <w:lang w:val="en-GB"/>
        </w:rPr>
        <w:t> </w:t>
      </w:r>
      <w:r w:rsidR="00122FD4">
        <w:rPr>
          <w:lang w:val="en-GB"/>
        </w:rPr>
        <w:t xml:space="preserve">people </w:t>
      </w:r>
      <w:r w:rsidR="00403160" w:rsidRPr="00D1229A">
        <w:rPr>
          <w:lang w:val="en-GB"/>
        </w:rPr>
        <w:t>randomised to standard care</w:t>
      </w:r>
      <w:r w:rsidR="00057353">
        <w:rPr>
          <w:lang w:val="en-GB"/>
        </w:rPr>
        <w:t xml:space="preserve"> alone</w:t>
      </w:r>
      <w:r>
        <w:rPr>
          <w:lang w:val="en-GB"/>
        </w:rPr>
        <w:t xml:space="preserve"> died</w:t>
      </w:r>
      <w:r w:rsidR="00403160" w:rsidRPr="00D1229A">
        <w:rPr>
          <w:lang w:val="en-GB"/>
        </w:rPr>
        <w:t xml:space="preserve">. </w:t>
      </w:r>
      <w:r w:rsidR="00576ED3" w:rsidRPr="00D1229A">
        <w:rPr>
          <w:lang w:val="en-GB"/>
        </w:rPr>
        <w:t>The company and the clinical experts stated that the number of deaths in the trial in both arms were lower than would be expected in clinical practice.</w:t>
      </w:r>
      <w:r w:rsidR="00403160" w:rsidRPr="00D1229A">
        <w:rPr>
          <w:lang w:val="en-GB"/>
        </w:rPr>
        <w:t xml:space="preserve"> Because the company could not use data from the trial to address whether caplacizumab prolongs life</w:t>
      </w:r>
      <w:r w:rsidR="00576ED3" w:rsidRPr="00D1229A">
        <w:rPr>
          <w:lang w:val="en-GB"/>
        </w:rPr>
        <w:t xml:space="preserve">, the company presented </w:t>
      </w:r>
      <w:r w:rsidR="00AF715E" w:rsidRPr="00D1229A">
        <w:rPr>
          <w:lang w:val="en-GB"/>
        </w:rPr>
        <w:t>a na</w:t>
      </w:r>
      <w:r w:rsidR="00503CE6">
        <w:rPr>
          <w:lang w:val="en-GB"/>
        </w:rPr>
        <w:t>i</w:t>
      </w:r>
      <w:r w:rsidR="00AF715E" w:rsidRPr="00D1229A">
        <w:rPr>
          <w:lang w:val="en-GB"/>
        </w:rPr>
        <w:t xml:space="preserve">ve comparison of </w:t>
      </w:r>
      <w:r w:rsidR="00576ED3" w:rsidRPr="00D1229A">
        <w:rPr>
          <w:lang w:val="en-GB"/>
        </w:rPr>
        <w:t xml:space="preserve">observational data for acute death </w:t>
      </w:r>
      <w:r w:rsidR="00AF715E" w:rsidRPr="00D1229A">
        <w:rPr>
          <w:lang w:val="en-GB"/>
        </w:rPr>
        <w:t xml:space="preserve">in people </w:t>
      </w:r>
      <w:r w:rsidR="00503CE6">
        <w:rPr>
          <w:lang w:val="en-GB"/>
        </w:rPr>
        <w:t xml:space="preserve">who had </w:t>
      </w:r>
      <w:r w:rsidR="00AF715E" w:rsidRPr="00D1229A">
        <w:rPr>
          <w:lang w:val="en-GB"/>
        </w:rPr>
        <w:t>treat</w:t>
      </w:r>
      <w:r w:rsidR="00503CE6">
        <w:rPr>
          <w:lang w:val="en-GB"/>
        </w:rPr>
        <w:t>ment</w:t>
      </w:r>
      <w:r w:rsidR="00AF715E" w:rsidRPr="00D1229A">
        <w:rPr>
          <w:lang w:val="en-GB"/>
        </w:rPr>
        <w:t xml:space="preserve"> with or without </w:t>
      </w:r>
      <w:proofErr w:type="spellStart"/>
      <w:r w:rsidR="00AF715E" w:rsidRPr="00D1229A">
        <w:rPr>
          <w:lang w:val="en-GB"/>
        </w:rPr>
        <w:t>caplacizumab</w:t>
      </w:r>
      <w:proofErr w:type="spellEnd"/>
      <w:r w:rsidR="004F112D" w:rsidRPr="00D1229A">
        <w:rPr>
          <w:lang w:val="en-GB"/>
        </w:rPr>
        <w:t xml:space="preserve"> to </w:t>
      </w:r>
      <w:r w:rsidR="00E23998" w:rsidRPr="00D1229A">
        <w:rPr>
          <w:lang w:val="en-GB"/>
        </w:rPr>
        <w:t xml:space="preserve">estimate </w:t>
      </w:r>
      <w:r w:rsidR="00D840C3">
        <w:rPr>
          <w:lang w:val="en-GB"/>
        </w:rPr>
        <w:t xml:space="preserve">the probability of dying </w:t>
      </w:r>
      <w:r w:rsidR="00E23998" w:rsidRPr="00D1229A">
        <w:rPr>
          <w:lang w:val="en-GB"/>
        </w:rPr>
        <w:t xml:space="preserve"> in the acute period of the model</w:t>
      </w:r>
      <w:r w:rsidR="004F112D" w:rsidRPr="00D1229A">
        <w:rPr>
          <w:lang w:val="en-GB"/>
        </w:rPr>
        <w:t>. This approach included</w:t>
      </w:r>
      <w:r w:rsidR="00576ED3" w:rsidRPr="00D1229A">
        <w:rPr>
          <w:lang w:val="en-GB"/>
        </w:rPr>
        <w:t>:</w:t>
      </w:r>
    </w:p>
    <w:p w14:paraId="34D0ADA5" w14:textId="2AA0FDE0" w:rsidR="00576ED3" w:rsidRPr="00D1229A" w:rsidRDefault="00576ED3" w:rsidP="000A4024">
      <w:pPr>
        <w:pStyle w:val="Bulletindent1"/>
      </w:pPr>
      <w:r w:rsidRPr="00D1229A">
        <w:t>For caplacizumab, a global compassionate use scheme in which clinicians requested caplacizumab from the company</w:t>
      </w:r>
      <w:r w:rsidR="00057353">
        <w:t>,</w:t>
      </w:r>
      <w:r w:rsidRPr="00D1229A">
        <w:t xml:space="preserve"> who provided it free of charge (239</w:t>
      </w:r>
      <w:r w:rsidR="00D2008D">
        <w:t> </w:t>
      </w:r>
      <w:r w:rsidRPr="00D1229A">
        <w:t>people ha</w:t>
      </w:r>
      <w:r w:rsidR="00057353">
        <w:t>d</w:t>
      </w:r>
      <w:r w:rsidRPr="00D1229A">
        <w:t xml:space="preserve"> </w:t>
      </w:r>
      <w:r w:rsidR="00503CE6">
        <w:t>had</w:t>
      </w:r>
      <w:r w:rsidR="00503CE6" w:rsidRPr="00D1229A">
        <w:t xml:space="preserve"> </w:t>
      </w:r>
      <w:r w:rsidRPr="00D1229A">
        <w:t>treat</w:t>
      </w:r>
      <w:r w:rsidR="00503CE6">
        <w:t>ment</w:t>
      </w:r>
      <w:r w:rsidRPr="00D1229A">
        <w:t xml:space="preserve"> up to February 2020)</w:t>
      </w:r>
      <w:r w:rsidR="00057353">
        <w:t>:</w:t>
      </w:r>
      <w:r w:rsidRPr="00D1229A">
        <w:t xml:space="preserve"> One of the clinical experts stated that she requests caplacizumab for all her patients</w:t>
      </w:r>
      <w:r w:rsidR="00AF715E" w:rsidRPr="00D1229A">
        <w:t>; t</w:t>
      </w:r>
      <w:r w:rsidRPr="00D1229A">
        <w:t xml:space="preserve">he other clinical expert noted that less experienced centres may not have the same access to caplacizumab. The </w:t>
      </w:r>
      <w:r w:rsidR="00487EF9">
        <w:t>compassionate use scheme</w:t>
      </w:r>
      <w:r w:rsidRPr="00D1229A">
        <w:t xml:space="preserve"> data suggested an absolute </w:t>
      </w:r>
      <w:r w:rsidR="00D840C3">
        <w:t>probability of dying</w:t>
      </w:r>
      <w:r w:rsidRPr="00D1229A">
        <w:t xml:space="preserve"> on </w:t>
      </w:r>
      <w:proofErr w:type="spellStart"/>
      <w:r w:rsidRPr="00D1229A">
        <w:t>caplacizumab</w:t>
      </w:r>
      <w:proofErr w:type="spellEnd"/>
      <w:r w:rsidRPr="00D1229A">
        <w:t xml:space="preserve"> of 3.8%</w:t>
      </w:r>
      <w:r w:rsidR="00213072" w:rsidRPr="00D1229A">
        <w:t xml:space="preserve"> </w:t>
      </w:r>
      <w:r w:rsidR="00057353">
        <w:t>(9</w:t>
      </w:r>
      <w:r w:rsidR="00D2008D">
        <w:t> </w:t>
      </w:r>
      <w:r w:rsidR="00057353">
        <w:t xml:space="preserve">deaths) </w:t>
      </w:r>
      <w:r w:rsidR="00213072" w:rsidRPr="00D1229A">
        <w:t>over an equivalent period to the follow up in HERCULES (</w:t>
      </w:r>
      <w:r w:rsidR="00057353">
        <w:t>about</w:t>
      </w:r>
      <w:r w:rsidR="00213072" w:rsidRPr="00D1229A">
        <w:t xml:space="preserve"> 3</w:t>
      </w:r>
      <w:r w:rsidR="00057353">
        <w:t> </w:t>
      </w:r>
      <w:r w:rsidR="00213072" w:rsidRPr="00D1229A">
        <w:t xml:space="preserve">months </w:t>
      </w:r>
      <w:r w:rsidR="00161689">
        <w:t>after</w:t>
      </w:r>
      <w:r w:rsidR="00213072" w:rsidRPr="00D1229A">
        <w:t xml:space="preserve"> an acute episode)</w:t>
      </w:r>
      <w:r w:rsidRPr="00D1229A">
        <w:t>.</w:t>
      </w:r>
    </w:p>
    <w:p w14:paraId="56163FE9" w14:textId="6D2945F2" w:rsidR="00576ED3" w:rsidRPr="00D1229A" w:rsidRDefault="00576ED3" w:rsidP="00225666">
      <w:pPr>
        <w:pStyle w:val="Bulletindent1last"/>
      </w:pPr>
      <w:r w:rsidRPr="00D1229A">
        <w:t xml:space="preserve">For standard care </w:t>
      </w:r>
      <w:r w:rsidR="00744EA3">
        <w:t>alone</w:t>
      </w:r>
      <w:r w:rsidRPr="00D1229A">
        <w:t xml:space="preserve">, </w:t>
      </w:r>
      <w:r w:rsidR="00FE4756" w:rsidRPr="00D1229A">
        <w:t xml:space="preserve">the company </w:t>
      </w:r>
      <w:r w:rsidR="00057353">
        <w:t>did</w:t>
      </w:r>
      <w:r w:rsidR="00057353" w:rsidRPr="00D1229A">
        <w:t xml:space="preserve"> </w:t>
      </w:r>
      <w:r w:rsidR="00FE4756" w:rsidRPr="00D1229A">
        <w:t xml:space="preserve">a </w:t>
      </w:r>
      <w:r w:rsidRPr="00D1229A">
        <w:t>meta-analysis of 129</w:t>
      </w:r>
      <w:r w:rsidR="00D2008D">
        <w:t> </w:t>
      </w:r>
      <w:r w:rsidRPr="00D1229A">
        <w:t>international studies reporting the death</w:t>
      </w:r>
      <w:r w:rsidR="00D840C3">
        <w:t>s</w:t>
      </w:r>
      <w:r w:rsidR="009C0EF7" w:rsidRPr="00D1229A">
        <w:t xml:space="preserve"> around the acute </w:t>
      </w:r>
      <w:proofErr w:type="spellStart"/>
      <w:r w:rsidR="009C0EF7" w:rsidRPr="00D1229A">
        <w:t>episode</w:t>
      </w:r>
      <w:r w:rsidRPr="00D1229A">
        <w:t>in</w:t>
      </w:r>
      <w:proofErr w:type="spellEnd"/>
      <w:r w:rsidRPr="00D1229A">
        <w:t xml:space="preserve"> people who had standard care including plasma exchange. </w:t>
      </w:r>
      <w:r w:rsidR="00066E81">
        <w:t xml:space="preserve">The company extracted the probability of dying during an acute episode, but did not adjust for the duration of the episode, or the year of the study. </w:t>
      </w:r>
      <w:r w:rsidRPr="00D1229A">
        <w:t>This</w:t>
      </w:r>
      <w:r w:rsidR="00487EF9">
        <w:t xml:space="preserve"> analysis</w:t>
      </w:r>
      <w:r w:rsidRPr="00D1229A">
        <w:t xml:space="preserve"> suggested a</w:t>
      </w:r>
      <w:r w:rsidR="001809F8">
        <w:t>n</w:t>
      </w:r>
      <w:r w:rsidRPr="00D1229A">
        <w:t xml:space="preserve"> </w:t>
      </w:r>
      <w:r w:rsidR="001809F8">
        <w:t>average’</w:t>
      </w:r>
      <w:r w:rsidR="001809F8" w:rsidRPr="00D1229A">
        <w:t xml:space="preserve"> </w:t>
      </w:r>
      <w:r w:rsidR="00066E81">
        <w:t>probability of dying</w:t>
      </w:r>
      <w:r w:rsidR="00066E81" w:rsidRPr="00D1229A">
        <w:t xml:space="preserve"> </w:t>
      </w:r>
      <w:r w:rsidRPr="00D1229A">
        <w:t>of</w:t>
      </w:r>
      <w:r w:rsidR="00066E81">
        <w:t xml:space="preserve"> </w:t>
      </w:r>
      <w:r w:rsidRPr="00D1229A">
        <w:t>13.2%</w:t>
      </w:r>
      <w:r w:rsidR="00213072" w:rsidRPr="00D1229A">
        <w:t xml:space="preserve"> </w:t>
      </w:r>
      <w:r w:rsidR="00066E81">
        <w:t>during an acute hospitalisation</w:t>
      </w:r>
      <w:r w:rsidRPr="00D1229A">
        <w:t xml:space="preserve">. The committee noted that </w:t>
      </w:r>
      <w:r w:rsidR="009C0EF7" w:rsidRPr="00D1229A">
        <w:t>limited information was presented about</w:t>
      </w:r>
      <w:r w:rsidR="001809F8">
        <w:t>:</w:t>
      </w:r>
      <w:r w:rsidR="009C0EF7" w:rsidRPr="00D1229A">
        <w:t xml:space="preserve"> the populations in the study</w:t>
      </w:r>
      <w:r w:rsidR="001809F8">
        <w:t>’</w:t>
      </w:r>
      <w:r w:rsidR="009C0EF7" w:rsidRPr="00D1229A">
        <w:t xml:space="preserve"> </w:t>
      </w:r>
      <w:r w:rsidR="00793795">
        <w:t>how the meta-analysis addressed confounding</w:t>
      </w:r>
      <w:r w:rsidR="001809F8">
        <w:t>;</w:t>
      </w:r>
      <w:r w:rsidR="00793795">
        <w:t xml:space="preserve"> </w:t>
      </w:r>
      <w:r w:rsidR="009C0EF7" w:rsidRPr="00D1229A">
        <w:t xml:space="preserve">how well </w:t>
      </w:r>
      <w:r w:rsidR="00793795">
        <w:t>the study</w:t>
      </w:r>
      <w:r w:rsidR="00793795" w:rsidRPr="00D1229A">
        <w:t xml:space="preserve"> </w:t>
      </w:r>
      <w:r w:rsidR="009C0EF7" w:rsidRPr="00D1229A">
        <w:t xml:space="preserve">reflected </w:t>
      </w:r>
      <w:r w:rsidR="009C0EF7" w:rsidRPr="00D1229A">
        <w:lastRenderedPageBreak/>
        <w:t xml:space="preserve">people in the UK with </w:t>
      </w:r>
      <w:r w:rsidR="00206A4C">
        <w:t>acquired TTP</w:t>
      </w:r>
      <w:r w:rsidR="001809F8">
        <w:t>;</w:t>
      </w:r>
      <w:r w:rsidR="00122FD4">
        <w:t xml:space="preserve"> and whether the</w:t>
      </w:r>
      <w:r w:rsidR="00793795">
        <w:t xml:space="preserve"> meta-analysis</w:t>
      </w:r>
      <w:r w:rsidR="00122FD4">
        <w:t xml:space="preserve"> accounted for changes in mortality over time</w:t>
      </w:r>
      <w:r w:rsidR="009C0EF7" w:rsidRPr="00D1229A">
        <w:t xml:space="preserve">. It also noted </w:t>
      </w:r>
      <w:r w:rsidR="00057353">
        <w:t xml:space="preserve">that </w:t>
      </w:r>
      <w:r w:rsidRPr="00D1229A">
        <w:t>the meta-analysis included studies with very heterogeneous results</w:t>
      </w:r>
      <w:r w:rsidR="00066E81">
        <w:t xml:space="preserve"> (probability of dying, 0</w:t>
      </w:r>
      <w:r w:rsidR="001809F8">
        <w:t> </w:t>
      </w:r>
      <w:r w:rsidR="00066E81">
        <w:t>to</w:t>
      </w:r>
      <w:r w:rsidR="001809F8">
        <w:t> </w:t>
      </w:r>
      <w:r w:rsidR="00066E81">
        <w:t>57%)</w:t>
      </w:r>
      <w:r w:rsidR="001809F8">
        <w:t>. It considered that</w:t>
      </w:r>
      <w:r w:rsidRPr="00D1229A">
        <w:t xml:space="preserve"> restricting the analysis to 7</w:t>
      </w:r>
      <w:r w:rsidR="00057353">
        <w:t> </w:t>
      </w:r>
      <w:r w:rsidRPr="00D1229A">
        <w:t xml:space="preserve">UK studies </w:t>
      </w:r>
      <w:r w:rsidR="00066E81">
        <w:t>lowered the range of results and probability of dying</w:t>
      </w:r>
      <w:r w:rsidRPr="00D1229A">
        <w:t xml:space="preserve">. </w:t>
      </w:r>
      <w:r w:rsidR="0082790D" w:rsidRPr="00D1229A">
        <w:t>The committee’s own a</w:t>
      </w:r>
      <w:r w:rsidRPr="00D1229A">
        <w:t>nalysis of the most relevant UK studies resulted in a</w:t>
      </w:r>
      <w:r w:rsidR="00066E81">
        <w:t xml:space="preserve"> probability of dying during an acute</w:t>
      </w:r>
      <w:r w:rsidRPr="00D1229A">
        <w:t xml:space="preserve"> </w:t>
      </w:r>
      <w:r w:rsidR="00D840C3">
        <w:t>episode</w:t>
      </w:r>
      <w:r w:rsidRPr="00D1229A">
        <w:t xml:space="preserve"> of around 7%.</w:t>
      </w:r>
      <w:r w:rsidR="00057353">
        <w:rPr>
          <w:rStyle w:val="CommentReference"/>
          <w:rFonts w:ascii="Times New Roman" w:hAnsi="Times New Roman"/>
        </w:rPr>
        <w:br/>
      </w:r>
      <w:r w:rsidR="00057353">
        <w:rPr>
          <w:rStyle w:val="CommentReference"/>
          <w:rFonts w:ascii="Times New Roman" w:hAnsi="Times New Roman"/>
        </w:rPr>
        <w:br/>
      </w:r>
      <w:r w:rsidRPr="00D1229A">
        <w:t xml:space="preserve">The committee noted that the company had </w:t>
      </w:r>
      <w:r w:rsidR="00C94B10" w:rsidRPr="00D1229A">
        <w:t xml:space="preserve">naively </w:t>
      </w:r>
      <w:r w:rsidRPr="00D1229A">
        <w:t>compared the data from these separate populations to estimate a relative risk for survival o</w:t>
      </w:r>
      <w:r w:rsidR="00057353">
        <w:t>n</w:t>
      </w:r>
      <w:r w:rsidRPr="00D1229A">
        <w:t xml:space="preserve"> caplacizumab compared with standard care alone of 0.29</w:t>
      </w:r>
      <w:r w:rsidR="00057353">
        <w:t>.</w:t>
      </w:r>
      <w:r w:rsidR="001C2B6F">
        <w:t xml:space="preserve"> </w:t>
      </w:r>
      <w:r w:rsidR="00057353">
        <w:t>This</w:t>
      </w:r>
      <w:r w:rsidRPr="00D1229A">
        <w:t xml:space="preserve"> suggest</w:t>
      </w:r>
      <w:r w:rsidR="00057353">
        <w:t>ed</w:t>
      </w:r>
      <w:r w:rsidRPr="00D1229A">
        <w:t xml:space="preserve"> that caplacizumab reduced the chance of death </w:t>
      </w:r>
      <w:r w:rsidR="0090098D" w:rsidRPr="00D1229A">
        <w:t xml:space="preserve">in the acute period </w:t>
      </w:r>
      <w:r w:rsidRPr="00D1229A">
        <w:t xml:space="preserve">by 71% compared with standard care alone. </w:t>
      </w:r>
      <w:r w:rsidR="00C94B10" w:rsidRPr="00D1229A">
        <w:t xml:space="preserve">The company </w:t>
      </w:r>
      <w:r w:rsidR="00057353">
        <w:t xml:space="preserve">confirmed that it </w:t>
      </w:r>
      <w:r w:rsidR="00C94B10" w:rsidRPr="00D1229A">
        <w:t>had not adjust</w:t>
      </w:r>
      <w:r w:rsidR="00306111" w:rsidRPr="00D1229A">
        <w:t>ed</w:t>
      </w:r>
      <w:r w:rsidR="00C94B10" w:rsidRPr="00D1229A">
        <w:t xml:space="preserve"> for any confounders, that is, characteristics of patients (or centres) that might be associated with </w:t>
      </w:r>
      <w:r w:rsidR="00FB4FAB">
        <w:t>having</w:t>
      </w:r>
      <w:r w:rsidR="00FB4FAB" w:rsidRPr="00D1229A">
        <w:t xml:space="preserve"> </w:t>
      </w:r>
      <w:r w:rsidR="00BD57A7" w:rsidRPr="00D1229A">
        <w:t xml:space="preserve">caplacizumab </w:t>
      </w:r>
      <w:r w:rsidR="00C94B10" w:rsidRPr="00D1229A">
        <w:t>and also with dying. Th</w:t>
      </w:r>
      <w:r w:rsidR="00FE4756" w:rsidRPr="00D1229A">
        <w:t>e committee’s</w:t>
      </w:r>
      <w:r w:rsidR="00C94B10" w:rsidRPr="00D1229A">
        <w:t xml:space="preserve"> concern </w:t>
      </w:r>
      <w:r w:rsidR="00FE4756" w:rsidRPr="00D1229A">
        <w:t xml:space="preserve">of confounding </w:t>
      </w:r>
      <w:r w:rsidR="00C94B10" w:rsidRPr="00D1229A">
        <w:t xml:space="preserve">was supported by the clinical expert </w:t>
      </w:r>
      <w:r w:rsidR="00FE4756" w:rsidRPr="00D1229A">
        <w:t xml:space="preserve">statement that there was </w:t>
      </w:r>
      <w:r w:rsidR="00C94B10" w:rsidRPr="00D1229A">
        <w:t xml:space="preserve">an association between access to </w:t>
      </w:r>
      <w:r w:rsidR="00FE4756" w:rsidRPr="00D1229A">
        <w:t>c</w:t>
      </w:r>
      <w:r w:rsidR="00BD57A7" w:rsidRPr="00D1229A">
        <w:t>aplacizumab</w:t>
      </w:r>
      <w:r w:rsidR="00C94B10" w:rsidRPr="00D1229A">
        <w:t xml:space="preserve"> </w:t>
      </w:r>
      <w:r w:rsidR="001C2B6F">
        <w:t xml:space="preserve">under the compassionate </w:t>
      </w:r>
      <w:r w:rsidR="00161689">
        <w:t>use</w:t>
      </w:r>
      <w:r w:rsidR="001C2B6F">
        <w:t xml:space="preserve"> programme </w:t>
      </w:r>
      <w:r w:rsidR="00C94B10" w:rsidRPr="00D1229A">
        <w:t xml:space="preserve">and being </w:t>
      </w:r>
      <w:r w:rsidR="00FE4756" w:rsidRPr="00D1229A">
        <w:t>care</w:t>
      </w:r>
      <w:r w:rsidR="00A3144F" w:rsidRPr="00D1229A">
        <w:t>d</w:t>
      </w:r>
      <w:r w:rsidR="00FE4756" w:rsidRPr="00D1229A">
        <w:t xml:space="preserve"> for in </w:t>
      </w:r>
      <w:r w:rsidR="00C94B10" w:rsidRPr="00D1229A">
        <w:t xml:space="preserve">a centre of excellence. </w:t>
      </w:r>
      <w:r w:rsidR="00306111" w:rsidRPr="00D1229A">
        <w:t>The company stated</w:t>
      </w:r>
      <w:r w:rsidR="00057353">
        <w:t xml:space="preserve"> that</w:t>
      </w:r>
      <w:r w:rsidR="00306111" w:rsidRPr="00D1229A">
        <w:t xml:space="preserve"> it did not have the necessary information to adjust for confounding. </w:t>
      </w:r>
      <w:r w:rsidR="00057353">
        <w:t>T</w:t>
      </w:r>
      <w:r w:rsidRPr="00D1229A">
        <w:t>he committee thought it was biologically plausible that caplacizumab may reduce</w:t>
      </w:r>
      <w:r w:rsidR="00331CBA">
        <w:t xml:space="preserve"> some</w:t>
      </w:r>
      <w:r w:rsidRPr="00D1229A">
        <w:t xml:space="preserve"> deaths from an episode of </w:t>
      </w:r>
      <w:r w:rsidR="00206A4C">
        <w:t>acquired TTP</w:t>
      </w:r>
      <w:r w:rsidR="00057353">
        <w:t>. However</w:t>
      </w:r>
      <w:r w:rsidRPr="00D1229A">
        <w:t xml:space="preserve">, </w:t>
      </w:r>
      <w:r w:rsidR="00FE4756" w:rsidRPr="00D1229A">
        <w:t>it questioned how the company meta-analysed the studies</w:t>
      </w:r>
      <w:r w:rsidR="00057353">
        <w:t>. It</w:t>
      </w:r>
      <w:r w:rsidR="00FE4756" w:rsidRPr="00D1229A">
        <w:t xml:space="preserve"> concluded that </w:t>
      </w:r>
      <w:r w:rsidR="00C94B10" w:rsidRPr="00D1229A">
        <w:t xml:space="preserve">the possibility for confounding was high and </w:t>
      </w:r>
      <w:r w:rsidR="00FE4756" w:rsidRPr="00D1229A">
        <w:t xml:space="preserve">that </w:t>
      </w:r>
      <w:r w:rsidRPr="00D1229A">
        <w:t xml:space="preserve">the </w:t>
      </w:r>
      <w:r w:rsidR="00C94B10" w:rsidRPr="00D1229A">
        <w:t xml:space="preserve">analyses were not adequate </w:t>
      </w:r>
      <w:r w:rsidRPr="00D1229A">
        <w:t xml:space="preserve">to estimate the extent of benefit. </w:t>
      </w:r>
      <w:r w:rsidR="006A25A8" w:rsidRPr="00D1229A">
        <w:t xml:space="preserve">The committee considered that the meta-analysis, if limited to contemporary studies generalisable to the UK, could be used to estimate an ‘average’ </w:t>
      </w:r>
      <w:r w:rsidR="00F20513">
        <w:t xml:space="preserve">probability of dying </w:t>
      </w:r>
      <w:r w:rsidR="00213072" w:rsidRPr="00D1229A">
        <w:t>around an acute episode</w:t>
      </w:r>
      <w:r w:rsidR="006A25A8" w:rsidRPr="00D1229A">
        <w:t xml:space="preserve"> for standard care. </w:t>
      </w:r>
      <w:r w:rsidR="00057353">
        <w:t>It</w:t>
      </w:r>
      <w:r w:rsidRPr="00D1229A">
        <w:t xml:space="preserve"> concluded that </w:t>
      </w:r>
      <w:r w:rsidR="00B47E35">
        <w:t>hav</w:t>
      </w:r>
      <w:r w:rsidR="00306111" w:rsidRPr="00D1229A">
        <w:t xml:space="preserve">ing </w:t>
      </w:r>
      <w:r w:rsidRPr="00D1229A">
        <w:t xml:space="preserve">caplacizumab </w:t>
      </w:r>
      <w:r w:rsidR="00057353" w:rsidRPr="00D1229A">
        <w:t>m</w:t>
      </w:r>
      <w:r w:rsidR="00057353">
        <w:t>ight</w:t>
      </w:r>
      <w:r w:rsidR="00057353" w:rsidRPr="00D1229A">
        <w:t xml:space="preserve"> </w:t>
      </w:r>
      <w:r w:rsidRPr="00D1229A">
        <w:t xml:space="preserve">reduce </w:t>
      </w:r>
      <w:r w:rsidR="00306111" w:rsidRPr="00D1229A">
        <w:t xml:space="preserve">the risk of dying </w:t>
      </w:r>
      <w:r w:rsidRPr="00D1229A">
        <w:t xml:space="preserve">from an acute episode of </w:t>
      </w:r>
      <w:r w:rsidR="00206A4C">
        <w:t>acquired TTP</w:t>
      </w:r>
      <w:r w:rsidR="00057353">
        <w:t>. However</w:t>
      </w:r>
      <w:r w:rsidR="00306111" w:rsidRPr="00D1229A">
        <w:t xml:space="preserve">, </w:t>
      </w:r>
      <w:r w:rsidR="00057353">
        <w:t xml:space="preserve">it </w:t>
      </w:r>
      <w:r w:rsidR="00AF769C">
        <w:t xml:space="preserve">concluded </w:t>
      </w:r>
      <w:r w:rsidR="00057353">
        <w:t>that</w:t>
      </w:r>
      <w:r w:rsidRPr="00D1229A">
        <w:t xml:space="preserve"> the </w:t>
      </w:r>
      <w:r w:rsidR="00057353">
        <w:t>size</w:t>
      </w:r>
      <w:r w:rsidR="00057353" w:rsidRPr="00D1229A">
        <w:t xml:space="preserve"> </w:t>
      </w:r>
      <w:r w:rsidRPr="00D1229A">
        <w:t xml:space="preserve">of this reduction </w:t>
      </w:r>
      <w:r w:rsidR="00AF769C">
        <w:t>w</w:t>
      </w:r>
      <w:r w:rsidR="00331CBA">
        <w:t xml:space="preserve">as unlikely to be as large as </w:t>
      </w:r>
      <w:r w:rsidR="000C393A">
        <w:t xml:space="preserve">that </w:t>
      </w:r>
      <w:r w:rsidR="00331CBA">
        <w:t xml:space="preserve">estimated from </w:t>
      </w:r>
      <w:r w:rsidR="00AF769C">
        <w:t xml:space="preserve">unadjusted observational </w:t>
      </w:r>
      <w:proofErr w:type="gramStart"/>
      <w:r w:rsidR="00AF769C">
        <w:t>analyses</w:t>
      </w:r>
      <w:r w:rsidR="000C393A">
        <w:t>,</w:t>
      </w:r>
      <w:r w:rsidR="00AF769C" w:rsidRPr="00D1229A">
        <w:t xml:space="preserve"> </w:t>
      </w:r>
      <w:r w:rsidR="00AF769C">
        <w:t>and</w:t>
      </w:r>
      <w:proofErr w:type="gramEnd"/>
      <w:r w:rsidR="00AF769C">
        <w:t xml:space="preserve"> remained</w:t>
      </w:r>
      <w:r w:rsidR="00AF769C" w:rsidRPr="00D1229A">
        <w:t xml:space="preserve"> </w:t>
      </w:r>
      <w:r w:rsidRPr="00D1229A">
        <w:t>uncertain</w:t>
      </w:r>
      <w:r w:rsidR="000C393A">
        <w:t>.</w:t>
      </w:r>
    </w:p>
    <w:p w14:paraId="59CAA3ED" w14:textId="1685D884" w:rsidR="00983685" w:rsidRPr="008C2DEF" w:rsidRDefault="003A5B40" w:rsidP="00576ED3">
      <w:pPr>
        <w:pStyle w:val="Heading3"/>
      </w:pPr>
      <w:r w:rsidRPr="0039482C">
        <w:lastRenderedPageBreak/>
        <w:t>The rates of long-term complications</w:t>
      </w:r>
      <w:r w:rsidR="00BE3A3F" w:rsidRPr="0039482C">
        <w:t xml:space="preserve"> on standard care modelled by the company may not be generalisable to </w:t>
      </w:r>
      <w:r w:rsidR="00451FA3">
        <w:t xml:space="preserve">the </w:t>
      </w:r>
      <w:r w:rsidR="00BE3A3F" w:rsidRPr="0039482C">
        <w:t>UK</w:t>
      </w:r>
    </w:p>
    <w:p w14:paraId="1A9FD236" w14:textId="760B97C6" w:rsidR="003A5B40" w:rsidRPr="0039482C" w:rsidRDefault="00451FA3" w:rsidP="003A5B40">
      <w:pPr>
        <w:pStyle w:val="Numberedlevel2text"/>
        <w:rPr>
          <w:lang w:val="en-GB"/>
        </w:rPr>
      </w:pPr>
      <w:r>
        <w:rPr>
          <w:lang w:val="en-GB"/>
        </w:rPr>
        <w:t>A</w:t>
      </w:r>
      <w:r w:rsidR="00164F8F" w:rsidRPr="00451FA3">
        <w:rPr>
          <w:lang w:val="en-GB"/>
        </w:rPr>
        <w:t>fter recovering from a</w:t>
      </w:r>
      <w:r>
        <w:rPr>
          <w:lang w:val="en-GB"/>
        </w:rPr>
        <w:t xml:space="preserve"> first episode of</w:t>
      </w:r>
      <w:r w:rsidR="00164F8F" w:rsidRPr="00451FA3">
        <w:rPr>
          <w:lang w:val="en-GB"/>
        </w:rPr>
        <w:t xml:space="preserve"> </w:t>
      </w:r>
      <w:r w:rsidR="00206A4C" w:rsidRPr="0039482C">
        <w:rPr>
          <w:lang w:val="en-GB"/>
        </w:rPr>
        <w:t>acquired TTP</w:t>
      </w:r>
      <w:r>
        <w:rPr>
          <w:lang w:val="en-GB"/>
        </w:rPr>
        <w:t>,</w:t>
      </w:r>
      <w:r w:rsidR="00164F8F" w:rsidRPr="0039482C">
        <w:rPr>
          <w:lang w:val="en-GB"/>
        </w:rPr>
        <w:t xml:space="preserve"> people </w:t>
      </w:r>
      <w:r w:rsidRPr="0039482C">
        <w:rPr>
          <w:lang w:val="en-GB"/>
        </w:rPr>
        <w:t>m</w:t>
      </w:r>
      <w:r>
        <w:rPr>
          <w:lang w:val="en-GB"/>
        </w:rPr>
        <w:t>ight</w:t>
      </w:r>
      <w:r w:rsidRPr="0039482C">
        <w:rPr>
          <w:lang w:val="en-GB"/>
        </w:rPr>
        <w:t xml:space="preserve"> </w:t>
      </w:r>
      <w:r w:rsidR="00164F8F" w:rsidRPr="0039482C">
        <w:rPr>
          <w:lang w:val="en-GB"/>
        </w:rPr>
        <w:t>have long</w:t>
      </w:r>
      <w:r w:rsidR="00AD3431" w:rsidRPr="0039482C">
        <w:rPr>
          <w:lang w:val="en-GB"/>
        </w:rPr>
        <w:t>-term</w:t>
      </w:r>
      <w:r w:rsidR="00164F8F" w:rsidRPr="008C2DEF">
        <w:rPr>
          <w:lang w:val="en-GB"/>
        </w:rPr>
        <w:t xml:space="preserve"> complications arising from ischaemic damage</w:t>
      </w:r>
      <w:r w:rsidR="001B6D49" w:rsidRPr="008C2DEF">
        <w:rPr>
          <w:lang w:val="en-GB"/>
        </w:rPr>
        <w:t xml:space="preserve"> (see section</w:t>
      </w:r>
      <w:r>
        <w:rPr>
          <w:lang w:val="en-GB"/>
        </w:rPr>
        <w:t> </w:t>
      </w:r>
      <w:r w:rsidR="001B6D49" w:rsidRPr="008C2DEF">
        <w:rPr>
          <w:lang w:val="en-GB"/>
        </w:rPr>
        <w:t>3.1)</w:t>
      </w:r>
      <w:r w:rsidR="00164F8F" w:rsidRPr="008C2DEF">
        <w:rPr>
          <w:lang w:val="en-GB"/>
        </w:rPr>
        <w:t xml:space="preserve">. </w:t>
      </w:r>
      <w:r>
        <w:rPr>
          <w:lang w:val="en-GB"/>
        </w:rPr>
        <w:t>I</w:t>
      </w:r>
      <w:r w:rsidRPr="00CE1163">
        <w:rPr>
          <w:lang w:val="en-GB"/>
        </w:rPr>
        <w:t>n its Markov model</w:t>
      </w:r>
      <w:r>
        <w:rPr>
          <w:lang w:val="en-GB"/>
        </w:rPr>
        <w:t>, t</w:t>
      </w:r>
      <w:r w:rsidR="00164F8F" w:rsidRPr="00451FA3">
        <w:rPr>
          <w:lang w:val="en-GB"/>
        </w:rPr>
        <w:t xml:space="preserve">he company </w:t>
      </w:r>
      <w:r w:rsidR="00164F8F" w:rsidRPr="008C2DEF">
        <w:rPr>
          <w:lang w:val="en-GB"/>
        </w:rPr>
        <w:t xml:space="preserve">modelled </w:t>
      </w:r>
      <w:r w:rsidRPr="00E24269">
        <w:rPr>
          <w:lang w:val="en-GB"/>
        </w:rPr>
        <w:t>death rate</w:t>
      </w:r>
      <w:r>
        <w:rPr>
          <w:lang w:val="en-GB"/>
        </w:rPr>
        <w:t>, and</w:t>
      </w:r>
      <w:r w:rsidRPr="00451FA3">
        <w:rPr>
          <w:lang w:val="en-GB"/>
        </w:rPr>
        <w:t xml:space="preserve"> </w:t>
      </w:r>
      <w:r w:rsidR="00164F8F" w:rsidRPr="00451FA3">
        <w:rPr>
          <w:lang w:val="en-GB"/>
        </w:rPr>
        <w:t>the prevalence of cognitive impairment</w:t>
      </w:r>
      <w:r>
        <w:rPr>
          <w:lang w:val="en-GB"/>
        </w:rPr>
        <w:t xml:space="preserve"> and</w:t>
      </w:r>
      <w:r w:rsidR="00164F8F" w:rsidRPr="00451FA3">
        <w:rPr>
          <w:lang w:val="en-GB"/>
        </w:rPr>
        <w:t xml:space="preserve"> mental health problems</w:t>
      </w:r>
      <w:r>
        <w:rPr>
          <w:lang w:val="en-GB"/>
        </w:rPr>
        <w:t xml:space="preserve"> (</w:t>
      </w:r>
      <w:r w:rsidR="00164F8F" w:rsidRPr="00451FA3">
        <w:rPr>
          <w:lang w:val="en-GB"/>
        </w:rPr>
        <w:t>such as depression and anxiety</w:t>
      </w:r>
      <w:r>
        <w:rPr>
          <w:lang w:val="en-GB"/>
        </w:rPr>
        <w:t>)</w:t>
      </w:r>
      <w:r w:rsidR="00164F8F" w:rsidRPr="00451FA3">
        <w:rPr>
          <w:lang w:val="en-GB"/>
        </w:rPr>
        <w:t xml:space="preserve"> in people with </w:t>
      </w:r>
      <w:r w:rsidR="00206A4C" w:rsidRPr="0039482C">
        <w:rPr>
          <w:lang w:val="en-GB"/>
        </w:rPr>
        <w:t>acquired TTP</w:t>
      </w:r>
      <w:r w:rsidR="001B6D49" w:rsidRPr="0039482C">
        <w:rPr>
          <w:lang w:val="en-GB"/>
        </w:rPr>
        <w:t xml:space="preserve"> having standard care </w:t>
      </w:r>
      <w:r w:rsidR="00225666">
        <w:rPr>
          <w:lang w:val="en-GB"/>
        </w:rPr>
        <w:t>alone</w:t>
      </w:r>
      <w:r w:rsidR="001B6D49" w:rsidRPr="0039482C">
        <w:rPr>
          <w:lang w:val="en-GB"/>
        </w:rPr>
        <w:t xml:space="preserve"> over the </w:t>
      </w:r>
      <w:r w:rsidRPr="0039482C">
        <w:rPr>
          <w:lang w:val="en-GB"/>
        </w:rPr>
        <w:t>lifetime</w:t>
      </w:r>
      <w:r>
        <w:rPr>
          <w:lang w:val="en-GB"/>
        </w:rPr>
        <w:t xml:space="preserve"> of the</w:t>
      </w:r>
      <w:r w:rsidRPr="0039482C">
        <w:rPr>
          <w:lang w:val="en-GB"/>
        </w:rPr>
        <w:t xml:space="preserve"> </w:t>
      </w:r>
      <w:r w:rsidR="001B6D49" w:rsidRPr="0039482C">
        <w:rPr>
          <w:lang w:val="en-GB"/>
        </w:rPr>
        <w:t>modelled populations</w:t>
      </w:r>
      <w:r w:rsidR="00164F8F" w:rsidRPr="00451FA3">
        <w:rPr>
          <w:lang w:val="en-GB"/>
        </w:rPr>
        <w:t xml:space="preserve">. </w:t>
      </w:r>
      <w:r w:rsidR="003A5B40" w:rsidRPr="00451FA3">
        <w:rPr>
          <w:lang w:val="en-GB"/>
        </w:rPr>
        <w:t>The committee considered that the company’s estimates of the prevalence of long</w:t>
      </w:r>
      <w:r w:rsidR="00AD3431" w:rsidRPr="0039482C">
        <w:rPr>
          <w:lang w:val="en-GB"/>
        </w:rPr>
        <w:t>-term</w:t>
      </w:r>
      <w:r w:rsidR="003A5B40" w:rsidRPr="008C2DEF">
        <w:rPr>
          <w:lang w:val="en-GB"/>
        </w:rPr>
        <w:t xml:space="preserve"> complications</w:t>
      </w:r>
      <w:r w:rsidR="00BE3A3F" w:rsidRPr="008C2DEF">
        <w:rPr>
          <w:lang w:val="en-GB"/>
        </w:rPr>
        <w:t xml:space="preserve"> in people with</w:t>
      </w:r>
      <w:r w:rsidR="00A3144F" w:rsidRPr="008C2DEF">
        <w:rPr>
          <w:lang w:val="en-GB"/>
        </w:rPr>
        <w:t xml:space="preserve"> </w:t>
      </w:r>
      <w:r w:rsidR="00206A4C" w:rsidRPr="0039482C">
        <w:rPr>
          <w:lang w:val="en-GB"/>
        </w:rPr>
        <w:t>acquired TTP</w:t>
      </w:r>
      <w:r w:rsidR="003A5B40" w:rsidRPr="0039482C">
        <w:rPr>
          <w:lang w:val="en-GB"/>
        </w:rPr>
        <w:t>:</w:t>
      </w:r>
    </w:p>
    <w:p w14:paraId="005015D9" w14:textId="7A13C305" w:rsidR="003A5B40" w:rsidRPr="008C2DEF" w:rsidRDefault="00164F8F" w:rsidP="003A5B40">
      <w:pPr>
        <w:pStyle w:val="Bulletindent1"/>
      </w:pPr>
      <w:r w:rsidRPr="008C2DEF">
        <w:t>d</w:t>
      </w:r>
      <w:r w:rsidR="003A5B40" w:rsidRPr="008C2DEF">
        <w:t>id not come from a UK population</w:t>
      </w:r>
    </w:p>
    <w:p w14:paraId="1B62CA1A" w14:textId="35CA78BF" w:rsidR="003A5B40" w:rsidRPr="0039482C" w:rsidRDefault="00164F8F" w:rsidP="003A5B40">
      <w:pPr>
        <w:pStyle w:val="Bulletindent1"/>
      </w:pPr>
      <w:r w:rsidRPr="008C2DEF">
        <w:t>i</w:t>
      </w:r>
      <w:r w:rsidR="003A5B40" w:rsidRPr="008C2DEF">
        <w:t xml:space="preserve">ncluded people whose complications were not specifically associated with </w:t>
      </w:r>
      <w:r w:rsidR="00206A4C" w:rsidRPr="0039482C">
        <w:t>acquired TTP</w:t>
      </w:r>
    </w:p>
    <w:p w14:paraId="4D5E494C" w14:textId="6AA8CE41" w:rsidR="00164F8F" w:rsidRPr="008C2DEF" w:rsidRDefault="001B6D49" w:rsidP="00225666">
      <w:pPr>
        <w:pStyle w:val="Bulletindent1last"/>
      </w:pPr>
      <w:r w:rsidRPr="008C2DEF">
        <w:t>r</w:t>
      </w:r>
      <w:r w:rsidR="003A5B40" w:rsidRPr="008C2DEF">
        <w:t xml:space="preserve">eflected estimates of severe depression in people in a TTP support group in the US who completed a survey rather than a random sample of people with </w:t>
      </w:r>
      <w:r w:rsidR="00206A4C" w:rsidRPr="0039482C">
        <w:t>acquired TTP</w:t>
      </w:r>
      <w:r w:rsidR="00A3144F" w:rsidRPr="0039482C">
        <w:t>.</w:t>
      </w:r>
      <w:r w:rsidR="00451FA3">
        <w:br/>
      </w:r>
      <w:r w:rsidR="00451FA3">
        <w:br/>
      </w:r>
      <w:r w:rsidR="00164F8F" w:rsidRPr="008C2DEF">
        <w:t xml:space="preserve">To determine the risk of death </w:t>
      </w:r>
      <w:r w:rsidR="00A3144F" w:rsidRPr="008C2DEF">
        <w:t xml:space="preserve">in the longer term </w:t>
      </w:r>
      <w:r w:rsidR="00164F8F" w:rsidRPr="008C2DEF">
        <w:t xml:space="preserve">in people </w:t>
      </w:r>
      <w:r w:rsidR="00503CE6" w:rsidRPr="008C2DEF">
        <w:t xml:space="preserve">who </w:t>
      </w:r>
      <w:r w:rsidR="00465D36">
        <w:t xml:space="preserve">had </w:t>
      </w:r>
      <w:r w:rsidR="00744EA3">
        <w:t xml:space="preserve">had </w:t>
      </w:r>
      <w:r w:rsidR="00465D36">
        <w:t xml:space="preserve">standard care </w:t>
      </w:r>
      <w:r w:rsidR="00744EA3">
        <w:t>alone</w:t>
      </w:r>
      <w:r w:rsidR="00164F8F" w:rsidRPr="008C2DEF">
        <w:t xml:space="preserve">, the company used </w:t>
      </w:r>
      <w:r w:rsidR="00465D36">
        <w:t>a</w:t>
      </w:r>
      <w:r w:rsidR="00465D36" w:rsidRPr="00A27568">
        <w:t xml:space="preserve"> </w:t>
      </w:r>
      <w:r w:rsidR="00451FA3" w:rsidRPr="00A27568">
        <w:t>standardised mortality ratio</w:t>
      </w:r>
      <w:r w:rsidR="00451FA3">
        <w:t>. This was</w:t>
      </w:r>
      <w:r w:rsidR="00451FA3" w:rsidRPr="008C2DEF">
        <w:t xml:space="preserve"> </w:t>
      </w:r>
      <w:r w:rsidR="00164F8F" w:rsidRPr="008C2DEF">
        <w:t xml:space="preserve">the ratio of observed deaths </w:t>
      </w:r>
      <w:r w:rsidR="00451FA3">
        <w:t>after</w:t>
      </w:r>
      <w:r w:rsidR="00451FA3" w:rsidRPr="008C2DEF">
        <w:t xml:space="preserve"> </w:t>
      </w:r>
      <w:r w:rsidR="00164F8F" w:rsidRPr="008C2DEF">
        <w:t xml:space="preserve">standard care divided by the expected number of deaths for the general population of similar age and gender. The committee considered that the company had not provided adequate information on the source of the deaths for people with </w:t>
      </w:r>
      <w:r w:rsidR="00206A4C" w:rsidRPr="0039482C">
        <w:t>acquired TTP</w:t>
      </w:r>
      <w:r w:rsidR="00164F8F" w:rsidRPr="0039482C">
        <w:t xml:space="preserve"> treated with standard care </w:t>
      </w:r>
      <w:r w:rsidR="00744EA3">
        <w:t>alone</w:t>
      </w:r>
      <w:r w:rsidR="00451FA3">
        <w:t>. I</w:t>
      </w:r>
      <w:r w:rsidRPr="0039482C">
        <w:t>n particular</w:t>
      </w:r>
      <w:r w:rsidR="00451FA3">
        <w:t>, it did not think it was clear</w:t>
      </w:r>
      <w:r w:rsidRPr="0039482C">
        <w:t xml:space="preserve"> how generalisable th</w:t>
      </w:r>
      <w:r w:rsidR="00451FA3">
        <w:t>e</w:t>
      </w:r>
      <w:r w:rsidRPr="0039482C">
        <w:t xml:space="preserve"> estimated death rate was to UK practice. The committee concluded that </w:t>
      </w:r>
      <w:r w:rsidR="00A63441" w:rsidRPr="008C2DEF">
        <w:t xml:space="preserve">the company had not </w:t>
      </w:r>
      <w:r w:rsidR="00451FA3">
        <w:t>shown</w:t>
      </w:r>
      <w:r w:rsidR="00451FA3" w:rsidRPr="008C2DEF">
        <w:t xml:space="preserve"> </w:t>
      </w:r>
      <w:r w:rsidR="00A63441" w:rsidRPr="008C2DEF">
        <w:t xml:space="preserve">that the rates of long-term complications on standard care in its model </w:t>
      </w:r>
      <w:r w:rsidR="00451FA3">
        <w:t>we</w:t>
      </w:r>
      <w:r w:rsidR="00451FA3" w:rsidRPr="008C2DEF">
        <w:t xml:space="preserve">re </w:t>
      </w:r>
      <w:r w:rsidR="00A63441" w:rsidRPr="008C2DEF">
        <w:t>generalisable to the rates of these complications in current UK practice.</w:t>
      </w:r>
    </w:p>
    <w:p w14:paraId="5D8CC691" w14:textId="028A0FDF" w:rsidR="00576ED3" w:rsidRPr="008C2DEF" w:rsidRDefault="008823D3" w:rsidP="00576ED3">
      <w:pPr>
        <w:pStyle w:val="Heading3"/>
      </w:pPr>
      <w:r w:rsidRPr="008C2DEF">
        <w:lastRenderedPageBreak/>
        <w:t>In the long term, t</w:t>
      </w:r>
      <w:r w:rsidR="00A67153" w:rsidRPr="008C2DEF">
        <w:t xml:space="preserve">here is no evidence that </w:t>
      </w:r>
      <w:bookmarkStart w:id="1" w:name="_Hlk41981025"/>
      <w:r w:rsidR="00A67153" w:rsidRPr="008C2DEF">
        <w:t>caplac</w:t>
      </w:r>
      <w:r w:rsidR="00A63441" w:rsidRPr="008C2DEF">
        <w:t>i</w:t>
      </w:r>
      <w:r w:rsidR="00A67153" w:rsidRPr="008C2DEF">
        <w:t>z</w:t>
      </w:r>
      <w:r w:rsidR="00A63441" w:rsidRPr="008C2DEF">
        <w:t>u</w:t>
      </w:r>
      <w:r w:rsidR="00A67153" w:rsidRPr="008C2DEF">
        <w:t xml:space="preserve">mab </w:t>
      </w:r>
      <w:bookmarkEnd w:id="1"/>
      <w:r w:rsidR="00A67153" w:rsidRPr="008C2DEF">
        <w:t>reduces the risk of complications</w:t>
      </w:r>
    </w:p>
    <w:p w14:paraId="290D90A8" w14:textId="7483F059" w:rsidR="00BE3A3F" w:rsidRPr="008C2DEF" w:rsidRDefault="00A63441" w:rsidP="0070600D">
      <w:pPr>
        <w:pStyle w:val="Numberedlevel2text"/>
        <w:rPr>
          <w:lang w:val="en-GB"/>
        </w:rPr>
      </w:pPr>
      <w:r w:rsidRPr="008C2DEF">
        <w:rPr>
          <w:lang w:val="en-GB"/>
        </w:rPr>
        <w:t>The committee considered whether capl</w:t>
      </w:r>
      <w:r w:rsidR="004F1EC0" w:rsidRPr="008C2DEF">
        <w:rPr>
          <w:lang w:val="en-GB"/>
        </w:rPr>
        <w:t>a</w:t>
      </w:r>
      <w:r w:rsidRPr="008C2DEF">
        <w:rPr>
          <w:lang w:val="en-GB"/>
        </w:rPr>
        <w:t>cizumab prolonged life over the lifetime horizon of the model (</w:t>
      </w:r>
      <w:r w:rsidR="00DC1443" w:rsidRPr="008C2DEF">
        <w:rPr>
          <w:lang w:val="en-GB"/>
        </w:rPr>
        <w:t xml:space="preserve">see </w:t>
      </w:r>
      <w:r w:rsidRPr="008C2DEF">
        <w:rPr>
          <w:lang w:val="en-GB"/>
        </w:rPr>
        <w:t>section</w:t>
      </w:r>
      <w:r w:rsidR="00DC1443" w:rsidRPr="008C2DEF">
        <w:rPr>
          <w:lang w:val="en-GB"/>
        </w:rPr>
        <w:t> </w:t>
      </w:r>
      <w:r w:rsidRPr="008C2DEF">
        <w:rPr>
          <w:lang w:val="en-GB"/>
        </w:rPr>
        <w:t>3.</w:t>
      </w:r>
      <w:r w:rsidR="009336C3" w:rsidRPr="008C2DEF">
        <w:rPr>
          <w:lang w:val="en-GB"/>
        </w:rPr>
        <w:t>8</w:t>
      </w:r>
      <w:r w:rsidRPr="008C2DEF">
        <w:rPr>
          <w:lang w:val="en-GB"/>
        </w:rPr>
        <w:t xml:space="preserve">). </w:t>
      </w:r>
      <w:r w:rsidR="00451FA3">
        <w:rPr>
          <w:lang w:val="en-GB"/>
        </w:rPr>
        <w:t>T</w:t>
      </w:r>
      <w:r w:rsidRPr="008C2DEF">
        <w:rPr>
          <w:lang w:val="en-GB"/>
        </w:rPr>
        <w:t xml:space="preserve">he company assumed that former treatment with </w:t>
      </w:r>
      <w:r w:rsidR="00E2585F" w:rsidRPr="008C2DEF">
        <w:rPr>
          <w:lang w:val="en-GB"/>
        </w:rPr>
        <w:t xml:space="preserve">caplacizumab </w:t>
      </w:r>
      <w:r w:rsidRPr="008C2DEF">
        <w:rPr>
          <w:lang w:val="en-GB"/>
        </w:rPr>
        <w:t xml:space="preserve">reduced complications and extended life in the remission </w:t>
      </w:r>
      <w:r w:rsidR="00B47E35" w:rsidRPr="000B4A20">
        <w:rPr>
          <w:lang w:val="en-GB"/>
        </w:rPr>
        <w:t xml:space="preserve">period </w:t>
      </w:r>
      <w:r w:rsidRPr="008C2DEF">
        <w:rPr>
          <w:lang w:val="en-GB"/>
        </w:rPr>
        <w:t xml:space="preserve">above and beyond a benefit to mortality in the short </w:t>
      </w:r>
      <w:r w:rsidR="00B47E35">
        <w:rPr>
          <w:lang w:val="en-GB"/>
        </w:rPr>
        <w:t>term</w:t>
      </w:r>
      <w:r w:rsidRPr="008C2DEF">
        <w:rPr>
          <w:lang w:val="en-GB"/>
        </w:rPr>
        <w:t xml:space="preserve">. </w:t>
      </w:r>
      <w:r w:rsidR="00576ED3" w:rsidRPr="008C2DEF">
        <w:rPr>
          <w:lang w:val="en-GB"/>
        </w:rPr>
        <w:t xml:space="preserve">Because HERCULES measured outcomes </w:t>
      </w:r>
      <w:r w:rsidR="00DA4FC7" w:rsidRPr="008C2DEF">
        <w:rPr>
          <w:lang w:val="en-GB"/>
        </w:rPr>
        <w:t xml:space="preserve">during </w:t>
      </w:r>
      <w:r w:rsidR="00576ED3" w:rsidRPr="008C2DEF">
        <w:rPr>
          <w:lang w:val="en-GB"/>
        </w:rPr>
        <w:t>an acute episode</w:t>
      </w:r>
      <w:r w:rsidR="00DA4FC7" w:rsidRPr="008C2DEF">
        <w:rPr>
          <w:lang w:val="en-GB"/>
        </w:rPr>
        <w:t xml:space="preserve"> only</w:t>
      </w:r>
      <w:r w:rsidR="00576ED3" w:rsidRPr="008C2DEF">
        <w:rPr>
          <w:lang w:val="en-GB"/>
        </w:rPr>
        <w:t xml:space="preserve">, it </w:t>
      </w:r>
      <w:r w:rsidR="006C341B" w:rsidRPr="008C2DEF">
        <w:rPr>
          <w:lang w:val="en-GB"/>
        </w:rPr>
        <w:t xml:space="preserve">did </w:t>
      </w:r>
      <w:r w:rsidR="00576ED3" w:rsidRPr="008C2DEF">
        <w:rPr>
          <w:lang w:val="en-GB"/>
        </w:rPr>
        <w:t xml:space="preserve">not provide data </w:t>
      </w:r>
      <w:r w:rsidR="00B47E35">
        <w:rPr>
          <w:lang w:val="en-GB"/>
        </w:rPr>
        <w:t xml:space="preserve">for </w:t>
      </w:r>
      <w:r w:rsidR="00576ED3" w:rsidRPr="008C2DEF">
        <w:rPr>
          <w:lang w:val="en-GB"/>
        </w:rPr>
        <w:t xml:space="preserve">caplacizumab compared with standard care on long-term complications when </w:t>
      </w:r>
      <w:r w:rsidR="00206A4C" w:rsidRPr="0039482C">
        <w:rPr>
          <w:lang w:val="en-GB"/>
        </w:rPr>
        <w:t>acquired TTP</w:t>
      </w:r>
      <w:r w:rsidR="00576ED3" w:rsidRPr="0039482C">
        <w:rPr>
          <w:lang w:val="en-GB"/>
        </w:rPr>
        <w:t xml:space="preserve"> is in remission.</w:t>
      </w:r>
      <w:r w:rsidR="004F1EC0" w:rsidRPr="008C2DEF">
        <w:rPr>
          <w:lang w:val="en-GB"/>
        </w:rPr>
        <w:t xml:space="preserve"> </w:t>
      </w:r>
      <w:r w:rsidR="00465D36">
        <w:rPr>
          <w:lang w:val="en-GB"/>
        </w:rPr>
        <w:t>After estimating a risk of death for people on standard care (</w:t>
      </w:r>
      <w:r w:rsidR="00381A3E">
        <w:rPr>
          <w:lang w:val="en-GB"/>
        </w:rPr>
        <w:t xml:space="preserve">see </w:t>
      </w:r>
      <w:r w:rsidR="00465D36">
        <w:rPr>
          <w:lang w:val="en-GB"/>
        </w:rPr>
        <w:t>section</w:t>
      </w:r>
      <w:r w:rsidR="00381A3E">
        <w:rPr>
          <w:lang w:val="en-GB"/>
        </w:rPr>
        <w:t> </w:t>
      </w:r>
      <w:r w:rsidR="00465D36">
        <w:rPr>
          <w:lang w:val="en-GB"/>
        </w:rPr>
        <w:t>3.1</w:t>
      </w:r>
      <w:r w:rsidR="00487EF9">
        <w:rPr>
          <w:lang w:val="en-GB"/>
        </w:rPr>
        <w:t>0</w:t>
      </w:r>
      <w:r w:rsidR="00465D36">
        <w:rPr>
          <w:lang w:val="en-GB"/>
        </w:rPr>
        <w:t xml:space="preserve">), </w:t>
      </w:r>
      <w:r w:rsidR="000B7E29" w:rsidRPr="008C2DEF">
        <w:rPr>
          <w:lang w:val="en-GB"/>
        </w:rPr>
        <w:t>the company</w:t>
      </w:r>
      <w:r w:rsidR="00576ED3" w:rsidRPr="008C2DEF">
        <w:rPr>
          <w:lang w:val="en-GB"/>
        </w:rPr>
        <w:t xml:space="preserve"> assumed that </w:t>
      </w:r>
      <w:r w:rsidR="00310992" w:rsidRPr="008C2DEF">
        <w:rPr>
          <w:lang w:val="en-GB"/>
        </w:rPr>
        <w:t xml:space="preserve">time in intensive care or hospital </w:t>
      </w:r>
      <w:r w:rsidR="00B47E35">
        <w:rPr>
          <w:lang w:val="en-GB"/>
        </w:rPr>
        <w:t>was</w:t>
      </w:r>
      <w:r w:rsidR="00310992" w:rsidRPr="008C2DEF">
        <w:rPr>
          <w:lang w:val="en-GB"/>
        </w:rPr>
        <w:t xml:space="preserve"> causal</w:t>
      </w:r>
      <w:r w:rsidR="00B47E35">
        <w:rPr>
          <w:lang w:val="en-GB"/>
        </w:rPr>
        <w:t>ly</w:t>
      </w:r>
      <w:r w:rsidR="00310992" w:rsidRPr="008C2DEF">
        <w:rPr>
          <w:lang w:val="en-GB"/>
        </w:rPr>
        <w:t xml:space="preserve"> relat</w:t>
      </w:r>
      <w:r w:rsidR="00B47E35">
        <w:rPr>
          <w:lang w:val="en-GB"/>
        </w:rPr>
        <w:t>ed</w:t>
      </w:r>
      <w:r w:rsidR="00310992" w:rsidRPr="008C2DEF">
        <w:rPr>
          <w:lang w:val="en-GB"/>
        </w:rPr>
        <w:t xml:space="preserve"> to</w:t>
      </w:r>
      <w:r w:rsidR="00A463B2" w:rsidRPr="008C2DEF">
        <w:rPr>
          <w:lang w:val="en-GB"/>
        </w:rPr>
        <w:t xml:space="preserve"> the prevalence of</w:t>
      </w:r>
      <w:r w:rsidR="00310992" w:rsidRPr="008C2DEF">
        <w:rPr>
          <w:lang w:val="en-GB"/>
        </w:rPr>
        <w:t xml:space="preserve"> </w:t>
      </w:r>
      <w:r w:rsidR="00576ED3" w:rsidRPr="008C2DEF">
        <w:rPr>
          <w:lang w:val="en-GB"/>
        </w:rPr>
        <w:t>long</w:t>
      </w:r>
      <w:r w:rsidR="00AD3431" w:rsidRPr="0039482C">
        <w:rPr>
          <w:lang w:val="en-GB"/>
        </w:rPr>
        <w:t>-term</w:t>
      </w:r>
      <w:r w:rsidR="00576ED3" w:rsidRPr="008C2DEF">
        <w:rPr>
          <w:lang w:val="en-GB"/>
        </w:rPr>
        <w:t xml:space="preserve"> outcomes including cognitive impairment</w:t>
      </w:r>
      <w:r w:rsidR="00B47E35">
        <w:rPr>
          <w:lang w:val="en-GB"/>
        </w:rPr>
        <w:t xml:space="preserve"> and</w:t>
      </w:r>
      <w:r w:rsidR="00576ED3" w:rsidRPr="008C2DEF">
        <w:rPr>
          <w:lang w:val="en-GB"/>
        </w:rPr>
        <w:t xml:space="preserve"> mental health (including depression, anxiety, post-traumatic stress)</w:t>
      </w:r>
      <w:r w:rsidR="00B47E35">
        <w:rPr>
          <w:lang w:val="en-GB"/>
        </w:rPr>
        <w:t>,</w:t>
      </w:r>
      <w:r w:rsidR="00576ED3" w:rsidRPr="008C2DEF">
        <w:rPr>
          <w:lang w:val="en-GB"/>
        </w:rPr>
        <w:t xml:space="preserve"> and</w:t>
      </w:r>
      <w:r w:rsidR="00267C5A" w:rsidRPr="008C2DEF">
        <w:rPr>
          <w:lang w:val="en-GB"/>
        </w:rPr>
        <w:t xml:space="preserve"> the</w:t>
      </w:r>
      <w:r w:rsidR="00D576BA" w:rsidRPr="008C2DEF">
        <w:rPr>
          <w:lang w:val="en-GB"/>
        </w:rPr>
        <w:t xml:space="preserve"> </w:t>
      </w:r>
      <w:r w:rsidR="00CA34F0">
        <w:rPr>
          <w:lang w:val="en-GB"/>
        </w:rPr>
        <w:t>relative risk</w:t>
      </w:r>
      <w:r w:rsidR="00267C5A" w:rsidRPr="008C2DEF">
        <w:rPr>
          <w:lang w:val="en-GB"/>
        </w:rPr>
        <w:t xml:space="preserve"> of</w:t>
      </w:r>
      <w:r w:rsidR="00576ED3" w:rsidRPr="0039482C">
        <w:rPr>
          <w:lang w:val="en-GB"/>
        </w:rPr>
        <w:t xml:space="preserve"> death</w:t>
      </w:r>
      <w:r w:rsidR="00331CBA">
        <w:rPr>
          <w:lang w:val="en-GB"/>
        </w:rPr>
        <w:t xml:space="preserve"> in the Markov model</w:t>
      </w:r>
      <w:r w:rsidR="00B47E35">
        <w:rPr>
          <w:lang w:val="en-GB"/>
        </w:rPr>
        <w:t>. It assumed</w:t>
      </w:r>
      <w:r w:rsidR="00267C5A" w:rsidRPr="0039482C">
        <w:rPr>
          <w:lang w:val="en-GB"/>
        </w:rPr>
        <w:t xml:space="preserve"> that this equalled the </w:t>
      </w:r>
      <w:r w:rsidR="00CA34F0">
        <w:rPr>
          <w:lang w:val="en-GB"/>
        </w:rPr>
        <w:t>ratio</w:t>
      </w:r>
      <w:r w:rsidR="00267C5A" w:rsidRPr="0039482C">
        <w:rPr>
          <w:lang w:val="en-GB"/>
        </w:rPr>
        <w:t xml:space="preserve"> (0.62) </w:t>
      </w:r>
      <w:r w:rsidR="00CA34F0">
        <w:rPr>
          <w:lang w:val="en-GB"/>
        </w:rPr>
        <w:t>of</w:t>
      </w:r>
      <w:r w:rsidR="00267C5A" w:rsidRPr="0039482C">
        <w:rPr>
          <w:lang w:val="en-GB"/>
        </w:rPr>
        <w:t xml:space="preserve"> time in intensive care and hospital measured in HERCULES </w:t>
      </w:r>
      <w:r w:rsidR="00CA34F0">
        <w:rPr>
          <w:lang w:val="en-GB"/>
        </w:rPr>
        <w:t xml:space="preserve">for </w:t>
      </w:r>
      <w:r w:rsidR="00267C5A" w:rsidRPr="0039482C">
        <w:rPr>
          <w:lang w:val="en-GB"/>
        </w:rPr>
        <w:t>caplacizumab</w:t>
      </w:r>
      <w:r w:rsidR="00CA34F0">
        <w:rPr>
          <w:lang w:val="en-GB"/>
        </w:rPr>
        <w:t xml:space="preserve"> compared</w:t>
      </w:r>
      <w:r w:rsidR="00267C5A" w:rsidRPr="0039482C">
        <w:rPr>
          <w:lang w:val="en-GB"/>
        </w:rPr>
        <w:t xml:space="preserve"> with standard care</w:t>
      </w:r>
      <w:r w:rsidR="00B47E35">
        <w:rPr>
          <w:lang w:val="en-GB"/>
        </w:rPr>
        <w:t xml:space="preserve"> alone</w:t>
      </w:r>
      <w:r w:rsidR="00267C5A" w:rsidRPr="0039482C">
        <w:rPr>
          <w:lang w:val="en-GB"/>
        </w:rPr>
        <w:t xml:space="preserve">. This meant that </w:t>
      </w:r>
      <w:r w:rsidR="004F1EC0" w:rsidRPr="008C2DEF">
        <w:rPr>
          <w:lang w:val="en-GB"/>
        </w:rPr>
        <w:t xml:space="preserve">the company assumed that </w:t>
      </w:r>
      <w:r w:rsidR="00267C5A" w:rsidRPr="008C2DEF">
        <w:rPr>
          <w:lang w:val="en-GB"/>
        </w:rPr>
        <w:t xml:space="preserve">caplacizumab reduced the risk of long-term complications and death by 38% </w:t>
      </w:r>
      <w:r w:rsidR="00267C5A" w:rsidRPr="0039482C">
        <w:rPr>
          <w:lang w:val="en-GB"/>
        </w:rPr>
        <w:t xml:space="preserve">compared with standard care </w:t>
      </w:r>
      <w:r w:rsidR="00744EA3">
        <w:rPr>
          <w:lang w:val="en-GB"/>
        </w:rPr>
        <w:t>alone</w:t>
      </w:r>
      <w:r w:rsidR="00744EA3" w:rsidRPr="0039482C">
        <w:rPr>
          <w:lang w:val="en-GB"/>
        </w:rPr>
        <w:t xml:space="preserve"> </w:t>
      </w:r>
      <w:r w:rsidR="006A25A8" w:rsidRPr="0039482C">
        <w:rPr>
          <w:lang w:val="en-GB"/>
        </w:rPr>
        <w:t>above and beyond acute effects</w:t>
      </w:r>
      <w:r w:rsidR="00D3127C" w:rsidRPr="008C2DEF">
        <w:rPr>
          <w:lang w:val="en-GB"/>
        </w:rPr>
        <w:t xml:space="preserve">. The committee </w:t>
      </w:r>
      <w:r w:rsidR="00B47E35">
        <w:rPr>
          <w:lang w:val="en-GB"/>
        </w:rPr>
        <w:t>noted</w:t>
      </w:r>
      <w:r w:rsidR="00D3127C" w:rsidRPr="008C2DEF">
        <w:rPr>
          <w:lang w:val="en-GB"/>
        </w:rPr>
        <w:t xml:space="preserve"> that </w:t>
      </w:r>
      <w:r w:rsidR="00CF104B" w:rsidRPr="008C2DEF">
        <w:rPr>
          <w:lang w:val="en-GB"/>
        </w:rPr>
        <w:t>caplacizumab</w:t>
      </w:r>
      <w:r w:rsidR="00D3127C" w:rsidRPr="008C2DEF">
        <w:rPr>
          <w:lang w:val="en-GB"/>
        </w:rPr>
        <w:t xml:space="preserve"> was not disease modifying, and would not be expected to work after people stopped </w:t>
      </w:r>
      <w:r w:rsidR="00B47E35">
        <w:rPr>
          <w:lang w:val="en-GB"/>
        </w:rPr>
        <w:t>having</w:t>
      </w:r>
      <w:r w:rsidR="00B47E35" w:rsidRPr="008C2DEF">
        <w:rPr>
          <w:lang w:val="en-GB"/>
        </w:rPr>
        <w:t xml:space="preserve"> </w:t>
      </w:r>
      <w:r w:rsidR="00D3127C" w:rsidRPr="008C2DEF">
        <w:rPr>
          <w:lang w:val="en-GB"/>
        </w:rPr>
        <w:t xml:space="preserve">it. </w:t>
      </w:r>
      <w:r w:rsidR="00B47E35">
        <w:rPr>
          <w:lang w:val="en-GB"/>
        </w:rPr>
        <w:t>It</w:t>
      </w:r>
      <w:r w:rsidR="004B2483" w:rsidRPr="008C2DEF">
        <w:rPr>
          <w:lang w:val="en-GB"/>
        </w:rPr>
        <w:t xml:space="preserve"> understood</w:t>
      </w:r>
      <w:r w:rsidR="00267C5A" w:rsidRPr="008C2DEF">
        <w:rPr>
          <w:lang w:val="en-GB"/>
        </w:rPr>
        <w:t xml:space="preserve"> that </w:t>
      </w:r>
      <w:r w:rsidR="00B47E35">
        <w:rPr>
          <w:lang w:val="en-GB"/>
        </w:rPr>
        <w:t>reducing</w:t>
      </w:r>
      <w:r w:rsidR="00B47E35" w:rsidRPr="008C2DEF">
        <w:rPr>
          <w:lang w:val="en-GB"/>
        </w:rPr>
        <w:t xml:space="preserve"> </w:t>
      </w:r>
      <w:r w:rsidR="00267C5A" w:rsidRPr="008C2DEF">
        <w:rPr>
          <w:lang w:val="en-GB"/>
        </w:rPr>
        <w:t>exposure to blood clots</w:t>
      </w:r>
      <w:r w:rsidR="00B47E35">
        <w:rPr>
          <w:lang w:val="en-GB"/>
        </w:rPr>
        <w:t>,</w:t>
      </w:r>
      <w:r w:rsidR="00267C5A" w:rsidRPr="008C2DEF">
        <w:rPr>
          <w:lang w:val="en-GB"/>
        </w:rPr>
        <w:t xml:space="preserve"> </w:t>
      </w:r>
      <w:r w:rsidR="00B47E35">
        <w:rPr>
          <w:lang w:val="en-GB"/>
        </w:rPr>
        <w:t>and so</w:t>
      </w:r>
      <w:r w:rsidR="00267C5A" w:rsidRPr="008C2DEF">
        <w:rPr>
          <w:lang w:val="en-GB"/>
        </w:rPr>
        <w:t xml:space="preserve"> the likelihood of complications</w:t>
      </w:r>
      <w:r w:rsidR="00B47E35">
        <w:rPr>
          <w:lang w:val="en-GB"/>
        </w:rPr>
        <w:t>,</w:t>
      </w:r>
      <w:r w:rsidR="004B2483" w:rsidRPr="008C2DEF">
        <w:rPr>
          <w:lang w:val="en-GB"/>
        </w:rPr>
        <w:t xml:space="preserve"> in the short term</w:t>
      </w:r>
      <w:r w:rsidR="00267C5A" w:rsidRPr="008C2DEF">
        <w:rPr>
          <w:lang w:val="en-GB"/>
        </w:rPr>
        <w:t xml:space="preserve"> </w:t>
      </w:r>
      <w:r w:rsidR="004B2483" w:rsidRPr="008C2DEF">
        <w:rPr>
          <w:lang w:val="en-GB"/>
        </w:rPr>
        <w:t xml:space="preserve">would, in turn, reduce the risk of </w:t>
      </w:r>
      <w:r w:rsidR="00A3144F" w:rsidRPr="008C2DEF">
        <w:rPr>
          <w:lang w:val="en-GB"/>
        </w:rPr>
        <w:t>sequalae</w:t>
      </w:r>
      <w:r w:rsidR="004B2483" w:rsidRPr="008C2DEF">
        <w:rPr>
          <w:lang w:val="en-GB"/>
        </w:rPr>
        <w:t xml:space="preserve"> from</w:t>
      </w:r>
      <w:r w:rsidR="00267C5A" w:rsidRPr="008C2DEF">
        <w:rPr>
          <w:lang w:val="en-GB"/>
        </w:rPr>
        <w:t xml:space="preserve"> these complications in the long term</w:t>
      </w:r>
      <w:r w:rsidR="004B2483" w:rsidRPr="008C2DEF">
        <w:rPr>
          <w:lang w:val="en-GB"/>
        </w:rPr>
        <w:t>. The clinical experts state</w:t>
      </w:r>
      <w:r w:rsidR="00894403" w:rsidRPr="008C2DEF">
        <w:rPr>
          <w:lang w:val="en-GB"/>
        </w:rPr>
        <w:t>d</w:t>
      </w:r>
      <w:r w:rsidR="00267C5A" w:rsidRPr="008C2DEF">
        <w:rPr>
          <w:lang w:val="en-GB"/>
        </w:rPr>
        <w:t xml:space="preserve"> that a relationship between hospital stay and long-term outcomes was plausible. </w:t>
      </w:r>
      <w:bookmarkStart w:id="2" w:name="_Hlk41555195"/>
      <w:r w:rsidR="000B7E29" w:rsidRPr="008C2DEF">
        <w:rPr>
          <w:lang w:val="en-GB"/>
        </w:rPr>
        <w:t>T</w:t>
      </w:r>
      <w:r w:rsidR="00576ED3" w:rsidRPr="008C2DEF">
        <w:rPr>
          <w:lang w:val="en-GB"/>
        </w:rPr>
        <w:t xml:space="preserve">he committee noted that </w:t>
      </w:r>
      <w:r w:rsidR="00A463B2" w:rsidRPr="008C2DEF">
        <w:rPr>
          <w:lang w:val="en-GB"/>
        </w:rPr>
        <w:t xml:space="preserve">a </w:t>
      </w:r>
      <w:r w:rsidR="00576ED3" w:rsidRPr="008C2DEF">
        <w:rPr>
          <w:lang w:val="en-GB"/>
        </w:rPr>
        <w:t xml:space="preserve">relationship </w:t>
      </w:r>
      <w:r w:rsidR="00A463B2" w:rsidRPr="008C2DEF">
        <w:rPr>
          <w:lang w:val="en-GB"/>
        </w:rPr>
        <w:t xml:space="preserve">between length of stay and the development of subsequent complications </w:t>
      </w:r>
      <w:r w:rsidR="00576ED3" w:rsidRPr="008C2DEF">
        <w:rPr>
          <w:lang w:val="en-GB"/>
        </w:rPr>
        <w:t>had not been validated</w:t>
      </w:r>
      <w:r w:rsidR="000B7E29" w:rsidRPr="008C2DEF">
        <w:rPr>
          <w:lang w:val="en-GB"/>
        </w:rPr>
        <w:t xml:space="preserve">, and </w:t>
      </w:r>
      <w:r w:rsidR="001211B3" w:rsidRPr="008C2DEF">
        <w:rPr>
          <w:lang w:val="en-GB"/>
        </w:rPr>
        <w:t xml:space="preserve">that </w:t>
      </w:r>
      <w:r w:rsidR="000B7E29" w:rsidRPr="008C2DEF">
        <w:rPr>
          <w:lang w:val="en-GB"/>
        </w:rPr>
        <w:t>the company had not</w:t>
      </w:r>
      <w:r w:rsidR="00576ED3" w:rsidRPr="008C2DEF">
        <w:rPr>
          <w:lang w:val="en-GB"/>
        </w:rPr>
        <w:t xml:space="preserve"> presented </w:t>
      </w:r>
      <w:r w:rsidR="000B7E29" w:rsidRPr="008C2DEF">
        <w:rPr>
          <w:lang w:val="en-GB"/>
        </w:rPr>
        <w:t xml:space="preserve">any </w:t>
      </w:r>
      <w:r w:rsidR="00576ED3" w:rsidRPr="008C2DEF">
        <w:rPr>
          <w:lang w:val="en-GB"/>
        </w:rPr>
        <w:t xml:space="preserve">clinical data. </w:t>
      </w:r>
      <w:bookmarkEnd w:id="2"/>
      <w:r w:rsidR="00B47E35">
        <w:rPr>
          <w:lang w:val="en-GB"/>
        </w:rPr>
        <w:t>It</w:t>
      </w:r>
      <w:r w:rsidR="001211B3" w:rsidRPr="008C2DEF">
        <w:rPr>
          <w:lang w:val="en-GB"/>
        </w:rPr>
        <w:t xml:space="preserve"> </w:t>
      </w:r>
      <w:r w:rsidR="00541097" w:rsidRPr="008C2DEF">
        <w:rPr>
          <w:lang w:val="en-GB"/>
        </w:rPr>
        <w:t xml:space="preserve">recalled that the same proportion of people in each arm of </w:t>
      </w:r>
      <w:r w:rsidR="00894403" w:rsidRPr="008C2DEF">
        <w:rPr>
          <w:lang w:val="en-GB"/>
        </w:rPr>
        <w:t>HERCULES</w:t>
      </w:r>
      <w:r w:rsidR="00541097" w:rsidRPr="008C2DEF">
        <w:rPr>
          <w:lang w:val="en-GB"/>
        </w:rPr>
        <w:t xml:space="preserve"> developed a major thromboembolic complication</w:t>
      </w:r>
      <w:r w:rsidR="005751C5" w:rsidRPr="008C2DEF">
        <w:rPr>
          <w:lang w:val="en-GB"/>
        </w:rPr>
        <w:t xml:space="preserve"> during short</w:t>
      </w:r>
      <w:r w:rsidR="00AD3431" w:rsidRPr="0039482C">
        <w:rPr>
          <w:lang w:val="en-GB"/>
        </w:rPr>
        <w:t>-term</w:t>
      </w:r>
      <w:r w:rsidR="005751C5" w:rsidRPr="008C2DEF">
        <w:rPr>
          <w:lang w:val="en-GB"/>
        </w:rPr>
        <w:t xml:space="preserve"> follow up </w:t>
      </w:r>
      <w:r w:rsidR="00B47E35">
        <w:rPr>
          <w:lang w:val="en-GB"/>
        </w:rPr>
        <w:t>in</w:t>
      </w:r>
      <w:r w:rsidR="00B47E35" w:rsidRPr="008C2DEF">
        <w:rPr>
          <w:lang w:val="en-GB"/>
        </w:rPr>
        <w:t xml:space="preserve"> </w:t>
      </w:r>
      <w:r w:rsidR="005751C5" w:rsidRPr="008C2DEF">
        <w:rPr>
          <w:lang w:val="en-GB"/>
        </w:rPr>
        <w:t>this trial</w:t>
      </w:r>
      <w:r w:rsidR="00541097" w:rsidRPr="008C2DEF">
        <w:rPr>
          <w:lang w:val="en-GB"/>
        </w:rPr>
        <w:t xml:space="preserve">. </w:t>
      </w:r>
      <w:r w:rsidR="001211B3" w:rsidRPr="008C2DEF">
        <w:rPr>
          <w:lang w:val="en-GB"/>
        </w:rPr>
        <w:t xml:space="preserve">The committee was aware that some people </w:t>
      </w:r>
      <w:r w:rsidR="00B47E35">
        <w:rPr>
          <w:lang w:val="en-GB"/>
        </w:rPr>
        <w:t xml:space="preserve">might </w:t>
      </w:r>
      <w:r w:rsidR="001211B3" w:rsidRPr="008C2DEF">
        <w:rPr>
          <w:lang w:val="en-GB"/>
        </w:rPr>
        <w:t xml:space="preserve">have pre-existing complications before </w:t>
      </w:r>
      <w:r w:rsidR="00B47E35">
        <w:rPr>
          <w:lang w:val="en-GB"/>
        </w:rPr>
        <w:t>having</w:t>
      </w:r>
      <w:r w:rsidR="00B47E35" w:rsidRPr="008C2DEF">
        <w:rPr>
          <w:lang w:val="en-GB"/>
        </w:rPr>
        <w:t xml:space="preserve"> </w:t>
      </w:r>
      <w:r w:rsidR="001211B3" w:rsidRPr="008C2DEF">
        <w:rPr>
          <w:lang w:val="en-GB"/>
        </w:rPr>
        <w:t xml:space="preserve">caplacizumab, </w:t>
      </w:r>
      <w:r w:rsidR="00E26F3A">
        <w:rPr>
          <w:lang w:val="en-GB"/>
        </w:rPr>
        <w:t xml:space="preserve">which might </w:t>
      </w:r>
      <w:r w:rsidR="00381A3E">
        <w:rPr>
          <w:lang w:val="en-GB"/>
        </w:rPr>
        <w:t xml:space="preserve">also </w:t>
      </w:r>
      <w:r w:rsidR="00E26F3A">
        <w:rPr>
          <w:lang w:val="en-GB"/>
        </w:rPr>
        <w:lastRenderedPageBreak/>
        <w:t xml:space="preserve">prolong </w:t>
      </w:r>
      <w:r w:rsidR="00381A3E">
        <w:rPr>
          <w:lang w:val="en-GB"/>
        </w:rPr>
        <w:t xml:space="preserve">stay in </w:t>
      </w:r>
      <w:r w:rsidR="00E26F3A">
        <w:rPr>
          <w:lang w:val="en-GB"/>
        </w:rPr>
        <w:t xml:space="preserve">hospital and </w:t>
      </w:r>
      <w:r w:rsidR="001211B3" w:rsidRPr="008C2DEF">
        <w:rPr>
          <w:lang w:val="en-GB"/>
        </w:rPr>
        <w:t xml:space="preserve">which </w:t>
      </w:r>
      <w:r w:rsidR="00B47E35">
        <w:rPr>
          <w:lang w:val="en-GB"/>
        </w:rPr>
        <w:t>the drug</w:t>
      </w:r>
      <w:r w:rsidR="00B47E35" w:rsidRPr="008C2DEF">
        <w:rPr>
          <w:lang w:val="en-GB"/>
        </w:rPr>
        <w:t xml:space="preserve"> </w:t>
      </w:r>
      <w:r w:rsidR="001211B3" w:rsidRPr="008C2DEF">
        <w:rPr>
          <w:lang w:val="en-GB"/>
        </w:rPr>
        <w:t>would not improve</w:t>
      </w:r>
      <w:r w:rsidR="00E26F3A">
        <w:rPr>
          <w:lang w:val="en-GB"/>
        </w:rPr>
        <w:t xml:space="preserve"> or cure</w:t>
      </w:r>
      <w:r w:rsidR="001211B3" w:rsidRPr="0039482C">
        <w:rPr>
          <w:lang w:val="en-GB"/>
        </w:rPr>
        <w:t xml:space="preserve">. </w:t>
      </w:r>
      <w:bookmarkStart w:id="3" w:name="_Hlk41555245"/>
      <w:r w:rsidR="00E74239" w:rsidRPr="008C2DEF">
        <w:rPr>
          <w:lang w:val="en-GB"/>
        </w:rPr>
        <w:t>The committee concluded</w:t>
      </w:r>
      <w:r w:rsidR="00B47E35">
        <w:rPr>
          <w:lang w:val="en-GB"/>
        </w:rPr>
        <w:t xml:space="preserve"> that</w:t>
      </w:r>
      <w:r w:rsidR="00E74239" w:rsidRPr="008C2DEF">
        <w:rPr>
          <w:lang w:val="en-GB"/>
        </w:rPr>
        <w:t xml:space="preserve"> it was not possible to </w:t>
      </w:r>
      <w:r w:rsidR="00E26F3A">
        <w:rPr>
          <w:lang w:val="en-GB"/>
        </w:rPr>
        <w:t xml:space="preserve">validate a causal link between former treatment with </w:t>
      </w:r>
      <w:proofErr w:type="spellStart"/>
      <w:r w:rsidR="00381A3E">
        <w:rPr>
          <w:lang w:val="en-GB"/>
        </w:rPr>
        <w:t>caplacizumab</w:t>
      </w:r>
      <w:proofErr w:type="spellEnd"/>
      <w:r w:rsidR="00E26F3A">
        <w:rPr>
          <w:lang w:val="en-GB"/>
        </w:rPr>
        <w:t xml:space="preserve"> and long</w:t>
      </w:r>
      <w:r w:rsidR="00A3408E">
        <w:rPr>
          <w:lang w:val="en-GB"/>
        </w:rPr>
        <w:t>-</w:t>
      </w:r>
      <w:r w:rsidR="00E26F3A">
        <w:rPr>
          <w:lang w:val="en-GB"/>
        </w:rPr>
        <w:t>term complications based on the evidence provided by the company</w:t>
      </w:r>
      <w:r w:rsidR="00E74239" w:rsidRPr="008C2DEF">
        <w:rPr>
          <w:lang w:val="en-GB"/>
        </w:rPr>
        <w:t>.</w:t>
      </w:r>
      <w:bookmarkEnd w:id="3"/>
    </w:p>
    <w:p w14:paraId="1D82222F" w14:textId="489C8BDB" w:rsidR="00454095" w:rsidRPr="00D1229A" w:rsidRDefault="00454095" w:rsidP="00454095">
      <w:pPr>
        <w:pStyle w:val="Heading3"/>
      </w:pPr>
      <w:r w:rsidRPr="00D1229A">
        <w:t xml:space="preserve">Modelled rate of relapse </w:t>
      </w:r>
      <w:r w:rsidR="00584316">
        <w:t>is</w:t>
      </w:r>
      <w:r w:rsidRPr="00D1229A">
        <w:t xml:space="preserve"> low, and it is uncertain whether caplacizumab works equally well </w:t>
      </w:r>
      <w:r w:rsidR="00691E94">
        <w:t>when reused</w:t>
      </w:r>
    </w:p>
    <w:p w14:paraId="24661AA6" w14:textId="73071E79" w:rsidR="00454095" w:rsidRPr="00D1229A" w:rsidRDefault="00454095" w:rsidP="00454095">
      <w:pPr>
        <w:pStyle w:val="Numberedlevel2text"/>
        <w:rPr>
          <w:lang w:val="en-GB"/>
        </w:rPr>
      </w:pPr>
      <w:r w:rsidRPr="00D1229A">
        <w:rPr>
          <w:lang w:val="en-GB"/>
        </w:rPr>
        <w:t xml:space="preserve">The committee appreciated that </w:t>
      </w:r>
      <w:r w:rsidR="00E452E6">
        <w:rPr>
          <w:lang w:val="en-GB"/>
        </w:rPr>
        <w:t>someone</w:t>
      </w:r>
      <w:r w:rsidRPr="00D1229A">
        <w:rPr>
          <w:lang w:val="en-GB"/>
        </w:rPr>
        <w:t xml:space="preserve"> could </w:t>
      </w:r>
      <w:r w:rsidR="00FB4FAB">
        <w:rPr>
          <w:lang w:val="en-GB"/>
        </w:rPr>
        <w:t>have</w:t>
      </w:r>
      <w:r w:rsidR="00FB4FAB" w:rsidRPr="00D1229A">
        <w:rPr>
          <w:lang w:val="en-GB"/>
        </w:rPr>
        <w:t xml:space="preserve"> </w:t>
      </w:r>
      <w:r w:rsidRPr="00D1229A">
        <w:rPr>
          <w:lang w:val="en-GB"/>
        </w:rPr>
        <w:t xml:space="preserve">caplacizumab </w:t>
      </w:r>
      <w:r w:rsidR="00E23998" w:rsidRPr="00D1229A">
        <w:rPr>
          <w:lang w:val="en-GB"/>
        </w:rPr>
        <w:t xml:space="preserve">after </w:t>
      </w:r>
      <w:r w:rsidRPr="00D1229A">
        <w:rPr>
          <w:lang w:val="en-GB"/>
        </w:rPr>
        <w:t>each relapse. The company assumed an annual disease</w:t>
      </w:r>
      <w:r w:rsidR="000E5994">
        <w:rPr>
          <w:lang w:val="en-GB"/>
        </w:rPr>
        <w:t>-</w:t>
      </w:r>
      <w:r w:rsidRPr="00D1229A">
        <w:rPr>
          <w:lang w:val="en-GB"/>
        </w:rPr>
        <w:t xml:space="preserve">relapse rate of 1%, based on the opinions of clinicians it surveyed. One clinical expert at the meeting noted that the increased use of rituximab to prevent relapse meant that the relapse rate in the UK </w:t>
      </w:r>
      <w:r w:rsidR="00462CCA">
        <w:rPr>
          <w:lang w:val="en-GB"/>
        </w:rPr>
        <w:t xml:space="preserve">was now lower than </w:t>
      </w:r>
      <w:r w:rsidR="00FB77D7">
        <w:rPr>
          <w:lang w:val="en-GB"/>
        </w:rPr>
        <w:t xml:space="preserve">it had been </w:t>
      </w:r>
      <w:r w:rsidR="00462CCA">
        <w:rPr>
          <w:lang w:val="en-GB"/>
        </w:rPr>
        <w:t>before rituximab was standard care</w:t>
      </w:r>
      <w:r w:rsidR="000E5994">
        <w:rPr>
          <w:lang w:val="en-GB"/>
        </w:rPr>
        <w:t xml:space="preserve">. However, </w:t>
      </w:r>
      <w:r w:rsidR="00462CCA">
        <w:rPr>
          <w:lang w:val="en-GB"/>
        </w:rPr>
        <w:t xml:space="preserve">he </w:t>
      </w:r>
      <w:r w:rsidR="000E5994">
        <w:rPr>
          <w:lang w:val="en-GB"/>
        </w:rPr>
        <w:t>thought</w:t>
      </w:r>
      <w:r w:rsidRPr="00D1229A">
        <w:rPr>
          <w:lang w:val="en-GB"/>
        </w:rPr>
        <w:t xml:space="preserve"> that 1% per year was too low</w:t>
      </w:r>
      <w:r w:rsidR="000E5994">
        <w:rPr>
          <w:lang w:val="en-GB"/>
        </w:rPr>
        <w:t>, and that</w:t>
      </w:r>
      <w:r w:rsidRPr="00D1229A">
        <w:rPr>
          <w:lang w:val="en-GB"/>
        </w:rPr>
        <w:t xml:space="preserve"> a more realistic estimate would be somewhere between 1% and 5%. The company assumed that </w:t>
      </w:r>
      <w:r w:rsidR="00BE3DA1" w:rsidRPr="00D1229A">
        <w:rPr>
          <w:lang w:val="en-GB"/>
        </w:rPr>
        <w:t>caplacizumab</w:t>
      </w:r>
      <w:r w:rsidRPr="00D1229A">
        <w:rPr>
          <w:lang w:val="en-GB"/>
        </w:rPr>
        <w:t xml:space="preserve"> works as well on retreatment as it does when first used but </w:t>
      </w:r>
      <w:r w:rsidR="00462CCA">
        <w:rPr>
          <w:lang w:val="en-GB"/>
        </w:rPr>
        <w:t xml:space="preserve">did not present </w:t>
      </w:r>
      <w:r w:rsidRPr="00D1229A">
        <w:rPr>
          <w:lang w:val="en-GB"/>
        </w:rPr>
        <w:t>data to support this. The committee concluded the relapse rate was likely to be higher than 1% in clinical practice, and that it was uncertain whether caplacizumab was as effective on reuse compared with initial use.</w:t>
      </w:r>
    </w:p>
    <w:p w14:paraId="56C8B515" w14:textId="33200E63" w:rsidR="00B43AF3" w:rsidRPr="00D1229A" w:rsidRDefault="00E452E6" w:rsidP="00B43AF3">
      <w:pPr>
        <w:pStyle w:val="Heading3"/>
      </w:pPr>
      <w:r>
        <w:t>I</w:t>
      </w:r>
      <w:r w:rsidR="00A67153" w:rsidRPr="00D1229A">
        <w:t>nformation on</w:t>
      </w:r>
      <w:r w:rsidR="00B43AF3" w:rsidRPr="00D1229A">
        <w:t xml:space="preserve"> quality of life</w:t>
      </w:r>
      <w:r>
        <w:t xml:space="preserve"> is not available from HERCULES</w:t>
      </w:r>
      <w:r w:rsidR="00A67153" w:rsidRPr="00D1229A">
        <w:t xml:space="preserve">, and </w:t>
      </w:r>
      <w:r w:rsidR="00BE3DA1" w:rsidRPr="00D1229A">
        <w:t xml:space="preserve">caplacizumab’s </w:t>
      </w:r>
      <w:r w:rsidR="00A67153" w:rsidRPr="00D1229A">
        <w:t>effect on quality of life remains uncertain</w:t>
      </w:r>
    </w:p>
    <w:p w14:paraId="2C946761" w14:textId="6CB08643" w:rsidR="00B43AF3" w:rsidRPr="00D1229A" w:rsidRDefault="004D1DA3" w:rsidP="00B43AF3">
      <w:pPr>
        <w:pStyle w:val="Numberedlevel2text"/>
        <w:rPr>
          <w:lang w:val="en-GB"/>
        </w:rPr>
      </w:pPr>
      <w:r w:rsidRPr="00D1229A">
        <w:rPr>
          <w:lang w:val="en-GB"/>
        </w:rPr>
        <w:t>There were no quality</w:t>
      </w:r>
      <w:r w:rsidR="002B33C2">
        <w:rPr>
          <w:lang w:val="en-GB"/>
        </w:rPr>
        <w:t>-</w:t>
      </w:r>
      <w:r w:rsidRPr="00D1229A">
        <w:rPr>
          <w:lang w:val="en-GB"/>
        </w:rPr>
        <w:t>of</w:t>
      </w:r>
      <w:r w:rsidR="002B33C2">
        <w:rPr>
          <w:lang w:val="en-GB"/>
        </w:rPr>
        <w:t>-</w:t>
      </w:r>
      <w:r w:rsidRPr="00D1229A">
        <w:rPr>
          <w:lang w:val="en-GB"/>
        </w:rPr>
        <w:t xml:space="preserve">life data collected in HERCULES. The company </w:t>
      </w:r>
      <w:r w:rsidR="005555E2" w:rsidRPr="00D1229A">
        <w:rPr>
          <w:lang w:val="en-GB"/>
        </w:rPr>
        <w:t xml:space="preserve">instead </w:t>
      </w:r>
      <w:r w:rsidRPr="00D1229A">
        <w:rPr>
          <w:lang w:val="en-GB"/>
        </w:rPr>
        <w:t>used quality</w:t>
      </w:r>
      <w:r w:rsidR="00AD3431">
        <w:rPr>
          <w:lang w:val="en-GB"/>
        </w:rPr>
        <w:t>-</w:t>
      </w:r>
      <w:r w:rsidRPr="00D1229A">
        <w:rPr>
          <w:lang w:val="en-GB"/>
        </w:rPr>
        <w:t>of</w:t>
      </w:r>
      <w:r w:rsidR="00AD3431">
        <w:rPr>
          <w:lang w:val="en-GB"/>
        </w:rPr>
        <w:t>-</w:t>
      </w:r>
      <w:r w:rsidRPr="00D1229A">
        <w:rPr>
          <w:lang w:val="en-GB"/>
        </w:rPr>
        <w:t xml:space="preserve">life data from people who were </w:t>
      </w:r>
      <w:r w:rsidR="001848C3" w:rsidRPr="00D1229A">
        <w:rPr>
          <w:lang w:val="en-GB"/>
        </w:rPr>
        <w:t xml:space="preserve">hospitalised </w:t>
      </w:r>
      <w:r w:rsidRPr="00D1229A">
        <w:rPr>
          <w:lang w:val="en-GB"/>
        </w:rPr>
        <w:t>with stroke to estimate quality of life during an acute episode</w:t>
      </w:r>
      <w:r w:rsidR="00FE0CFE" w:rsidRPr="00D1229A">
        <w:rPr>
          <w:lang w:val="en-GB"/>
        </w:rPr>
        <w:t xml:space="preserve"> of </w:t>
      </w:r>
      <w:r w:rsidR="00206A4C">
        <w:rPr>
          <w:lang w:val="en-GB"/>
        </w:rPr>
        <w:t>acquired TTP</w:t>
      </w:r>
      <w:r w:rsidR="00E452E6">
        <w:rPr>
          <w:lang w:val="en-GB"/>
        </w:rPr>
        <w:t>. This resulted</w:t>
      </w:r>
      <w:r w:rsidR="00655350" w:rsidRPr="00D1229A">
        <w:rPr>
          <w:lang w:val="en-GB"/>
        </w:rPr>
        <w:t xml:space="preserve"> in a baseline utility value of</w:t>
      </w:r>
      <w:r w:rsidR="00057353">
        <w:rPr>
          <w:lang w:val="en-GB"/>
        </w:rPr>
        <w:t> </w:t>
      </w:r>
      <w:r w:rsidR="00655350" w:rsidRPr="00D1229A">
        <w:rPr>
          <w:lang w:val="en-GB"/>
        </w:rPr>
        <w:t>0.64</w:t>
      </w:r>
      <w:r w:rsidR="00FE0CFE" w:rsidRPr="00D1229A">
        <w:rPr>
          <w:lang w:val="en-GB"/>
        </w:rPr>
        <w:t>.</w:t>
      </w:r>
      <w:r w:rsidR="00A67153" w:rsidRPr="00D1229A">
        <w:rPr>
          <w:lang w:val="en-GB"/>
        </w:rPr>
        <w:t xml:space="preserve"> </w:t>
      </w:r>
      <w:r w:rsidR="00FE0CFE" w:rsidRPr="00D1229A">
        <w:rPr>
          <w:lang w:val="en-GB"/>
        </w:rPr>
        <w:t xml:space="preserve">The committee </w:t>
      </w:r>
      <w:r w:rsidR="00655350" w:rsidRPr="00D1229A">
        <w:rPr>
          <w:lang w:val="en-GB"/>
        </w:rPr>
        <w:t>stated</w:t>
      </w:r>
      <w:r w:rsidR="00691E94">
        <w:rPr>
          <w:lang w:val="en-GB"/>
        </w:rPr>
        <w:t xml:space="preserve"> that</w:t>
      </w:r>
      <w:r w:rsidR="00655350" w:rsidRPr="00D1229A">
        <w:rPr>
          <w:lang w:val="en-GB"/>
        </w:rPr>
        <w:t xml:space="preserve"> this appeared to be </w:t>
      </w:r>
      <w:r w:rsidR="00987494">
        <w:rPr>
          <w:lang w:val="en-GB"/>
        </w:rPr>
        <w:t xml:space="preserve">high, suggesting better quality of life than would </w:t>
      </w:r>
      <w:r w:rsidR="00FB77D7">
        <w:rPr>
          <w:lang w:val="en-GB"/>
        </w:rPr>
        <w:t xml:space="preserve">be </w:t>
      </w:r>
      <w:r w:rsidR="00987494">
        <w:rPr>
          <w:lang w:val="en-GB"/>
        </w:rPr>
        <w:t>expect</w:t>
      </w:r>
      <w:r w:rsidR="00FB77D7">
        <w:rPr>
          <w:lang w:val="en-GB"/>
        </w:rPr>
        <w:t>ed</w:t>
      </w:r>
      <w:r w:rsidR="00987494">
        <w:rPr>
          <w:lang w:val="en-GB"/>
        </w:rPr>
        <w:t xml:space="preserve"> for people in hospital for a life-threatening condition (see section</w:t>
      </w:r>
      <w:r w:rsidR="00381A3E">
        <w:rPr>
          <w:lang w:val="en-GB"/>
        </w:rPr>
        <w:t> </w:t>
      </w:r>
      <w:r w:rsidR="00987494">
        <w:rPr>
          <w:lang w:val="en-GB"/>
        </w:rPr>
        <w:t>3.1)</w:t>
      </w:r>
      <w:r w:rsidR="00E452E6">
        <w:rPr>
          <w:lang w:val="en-GB"/>
        </w:rPr>
        <w:t xml:space="preserve">. </w:t>
      </w:r>
      <w:r w:rsidR="00331CBA">
        <w:rPr>
          <w:lang w:val="en-GB"/>
        </w:rPr>
        <w:t>T</w:t>
      </w:r>
      <w:r w:rsidR="00655350" w:rsidRPr="00D1229A">
        <w:rPr>
          <w:lang w:val="en-GB"/>
        </w:rPr>
        <w:t>he patient expert</w:t>
      </w:r>
      <w:r w:rsidR="001848C3" w:rsidRPr="00D1229A">
        <w:rPr>
          <w:lang w:val="en-GB"/>
        </w:rPr>
        <w:t>s</w:t>
      </w:r>
      <w:r w:rsidR="00E452E6">
        <w:rPr>
          <w:lang w:val="en-GB"/>
        </w:rPr>
        <w:t xml:space="preserve"> said</w:t>
      </w:r>
      <w:r w:rsidR="00655350" w:rsidRPr="00D1229A">
        <w:rPr>
          <w:lang w:val="en-GB"/>
        </w:rPr>
        <w:t xml:space="preserve"> that</w:t>
      </w:r>
      <w:r w:rsidR="00E452E6">
        <w:rPr>
          <w:lang w:val="en-GB"/>
        </w:rPr>
        <w:t>,</w:t>
      </w:r>
      <w:r w:rsidR="001848C3" w:rsidRPr="00D1229A">
        <w:rPr>
          <w:lang w:val="en-GB"/>
        </w:rPr>
        <w:t xml:space="preserve"> in their opinion</w:t>
      </w:r>
      <w:r w:rsidR="00A67153" w:rsidRPr="00D1229A">
        <w:rPr>
          <w:lang w:val="en-GB"/>
        </w:rPr>
        <w:t>,</w:t>
      </w:r>
      <w:r w:rsidR="00655350" w:rsidRPr="00D1229A">
        <w:rPr>
          <w:lang w:val="en-GB"/>
        </w:rPr>
        <w:t xml:space="preserve"> </w:t>
      </w:r>
      <w:r w:rsidR="001848C3" w:rsidRPr="00D1229A">
        <w:rPr>
          <w:lang w:val="en-GB"/>
        </w:rPr>
        <w:t xml:space="preserve">this </w:t>
      </w:r>
      <w:r w:rsidR="00FE0CFE" w:rsidRPr="00D1229A">
        <w:rPr>
          <w:lang w:val="en-GB"/>
        </w:rPr>
        <w:t xml:space="preserve">did not reflect </w:t>
      </w:r>
      <w:r w:rsidR="00E452E6">
        <w:rPr>
          <w:lang w:val="en-GB"/>
        </w:rPr>
        <w:t>how severely</w:t>
      </w:r>
      <w:r w:rsidR="00FE0CFE" w:rsidRPr="00D1229A">
        <w:rPr>
          <w:lang w:val="en-GB"/>
        </w:rPr>
        <w:t xml:space="preserve"> an acute episode</w:t>
      </w:r>
      <w:r w:rsidR="00E452E6">
        <w:rPr>
          <w:lang w:val="en-GB"/>
        </w:rPr>
        <w:t xml:space="preserve"> affected people</w:t>
      </w:r>
      <w:r w:rsidR="00FE0CFE" w:rsidRPr="00D1229A">
        <w:rPr>
          <w:lang w:val="en-GB"/>
        </w:rPr>
        <w:t xml:space="preserve">. The committee </w:t>
      </w:r>
      <w:r w:rsidR="00115B70" w:rsidRPr="00D1229A">
        <w:rPr>
          <w:lang w:val="en-GB"/>
        </w:rPr>
        <w:t>noted</w:t>
      </w:r>
      <w:r w:rsidR="00FE0CFE" w:rsidRPr="00D1229A">
        <w:rPr>
          <w:lang w:val="en-GB"/>
        </w:rPr>
        <w:t xml:space="preserve"> that a company scenario</w:t>
      </w:r>
      <w:r w:rsidR="00115B70" w:rsidRPr="00D1229A">
        <w:rPr>
          <w:lang w:val="en-GB"/>
        </w:rPr>
        <w:t xml:space="preserve"> which assumed a greater </w:t>
      </w:r>
      <w:r w:rsidR="00E452E6">
        <w:rPr>
          <w:lang w:val="en-GB"/>
        </w:rPr>
        <w:t>effect</w:t>
      </w:r>
      <w:r w:rsidR="00E452E6" w:rsidRPr="00D1229A">
        <w:rPr>
          <w:lang w:val="en-GB"/>
        </w:rPr>
        <w:t xml:space="preserve"> </w:t>
      </w:r>
      <w:r w:rsidR="00115B70" w:rsidRPr="00D1229A">
        <w:rPr>
          <w:lang w:val="en-GB"/>
        </w:rPr>
        <w:t>on quality of life had only a small effect on the company</w:t>
      </w:r>
      <w:r w:rsidR="00E452E6">
        <w:rPr>
          <w:lang w:val="en-GB"/>
        </w:rPr>
        <w:t>’s</w:t>
      </w:r>
      <w:r w:rsidR="00115B70" w:rsidRPr="00D1229A">
        <w:rPr>
          <w:lang w:val="en-GB"/>
        </w:rPr>
        <w:t xml:space="preserve"> cost</w:t>
      </w:r>
      <w:r w:rsidR="00AD3431">
        <w:rPr>
          <w:lang w:val="en-GB"/>
        </w:rPr>
        <w:t>-</w:t>
      </w:r>
      <w:r w:rsidR="00115B70" w:rsidRPr="00D1229A">
        <w:rPr>
          <w:lang w:val="en-GB"/>
        </w:rPr>
        <w:t>effectiveness estimates.</w:t>
      </w:r>
      <w:r w:rsidR="00FE0CFE" w:rsidRPr="00D1229A">
        <w:rPr>
          <w:lang w:val="en-GB"/>
        </w:rPr>
        <w:t xml:space="preserve"> </w:t>
      </w:r>
      <w:r w:rsidR="00FB77D7">
        <w:rPr>
          <w:lang w:val="en-GB"/>
        </w:rPr>
        <w:t>It</w:t>
      </w:r>
      <w:r w:rsidR="00FB77D7" w:rsidRPr="00D1229A">
        <w:rPr>
          <w:lang w:val="en-GB"/>
        </w:rPr>
        <w:t xml:space="preserve"> </w:t>
      </w:r>
      <w:r w:rsidR="00FB77D7">
        <w:rPr>
          <w:lang w:val="en-GB"/>
        </w:rPr>
        <w:t>also</w:t>
      </w:r>
      <w:r w:rsidR="00115B70" w:rsidRPr="00D1229A">
        <w:rPr>
          <w:lang w:val="en-GB"/>
        </w:rPr>
        <w:t xml:space="preserve"> </w:t>
      </w:r>
      <w:r w:rsidR="00FB77D7">
        <w:rPr>
          <w:lang w:val="en-GB"/>
        </w:rPr>
        <w:t>noted</w:t>
      </w:r>
      <w:r w:rsidR="00FB77D7" w:rsidRPr="00D1229A">
        <w:rPr>
          <w:lang w:val="en-GB"/>
        </w:rPr>
        <w:t xml:space="preserve"> </w:t>
      </w:r>
      <w:r w:rsidR="00115B70" w:rsidRPr="00D1229A">
        <w:rPr>
          <w:lang w:val="en-GB"/>
        </w:rPr>
        <w:t>that quality</w:t>
      </w:r>
      <w:r w:rsidR="00AD3431">
        <w:rPr>
          <w:lang w:val="en-GB"/>
        </w:rPr>
        <w:t>-</w:t>
      </w:r>
      <w:r w:rsidR="00115B70" w:rsidRPr="00D1229A">
        <w:rPr>
          <w:lang w:val="en-GB"/>
        </w:rPr>
        <w:t>of</w:t>
      </w:r>
      <w:r w:rsidR="00AD3431">
        <w:rPr>
          <w:lang w:val="en-GB"/>
        </w:rPr>
        <w:t>-</w:t>
      </w:r>
      <w:r w:rsidR="00115B70" w:rsidRPr="00D1229A">
        <w:rPr>
          <w:lang w:val="en-GB"/>
        </w:rPr>
        <w:t xml:space="preserve">life estimates for </w:t>
      </w:r>
      <w:r w:rsidR="00206A4C">
        <w:rPr>
          <w:lang w:val="en-GB"/>
        </w:rPr>
        <w:t>acquired TTP</w:t>
      </w:r>
      <w:r w:rsidR="00115B70" w:rsidRPr="00D1229A">
        <w:rPr>
          <w:lang w:val="en-GB"/>
        </w:rPr>
        <w:t xml:space="preserve"> </w:t>
      </w:r>
      <w:r w:rsidR="00115B70" w:rsidRPr="00D1229A">
        <w:rPr>
          <w:lang w:val="en-GB"/>
        </w:rPr>
        <w:lastRenderedPageBreak/>
        <w:t xml:space="preserve">should </w:t>
      </w:r>
      <w:r w:rsidR="00FB1F89">
        <w:rPr>
          <w:lang w:val="en-GB"/>
        </w:rPr>
        <w:t>include</w:t>
      </w:r>
      <w:r w:rsidR="00115B70" w:rsidRPr="00D1229A">
        <w:rPr>
          <w:lang w:val="en-GB"/>
        </w:rPr>
        <w:t xml:space="preserve"> an estimate of the fear of relapse</w:t>
      </w:r>
      <w:r w:rsidR="00E452E6">
        <w:rPr>
          <w:lang w:val="en-GB"/>
        </w:rPr>
        <w:t>. This was because people with the condition</w:t>
      </w:r>
      <w:r w:rsidR="00115B70" w:rsidRPr="00D1229A">
        <w:rPr>
          <w:lang w:val="en-GB"/>
        </w:rPr>
        <w:t xml:space="preserve"> stated this affected their mental health</w:t>
      </w:r>
      <w:r w:rsidR="0090098D" w:rsidRPr="00D1229A">
        <w:rPr>
          <w:lang w:val="en-GB"/>
        </w:rPr>
        <w:t xml:space="preserve"> (see section</w:t>
      </w:r>
      <w:r w:rsidR="00057353">
        <w:rPr>
          <w:lang w:val="en-GB"/>
        </w:rPr>
        <w:t> </w:t>
      </w:r>
      <w:r w:rsidR="00792A4C" w:rsidRPr="00D1229A">
        <w:rPr>
          <w:lang w:val="en-GB"/>
        </w:rPr>
        <w:t>3.1)</w:t>
      </w:r>
      <w:r w:rsidR="00A67153" w:rsidRPr="00D1229A">
        <w:rPr>
          <w:lang w:val="en-GB"/>
        </w:rPr>
        <w:t>, not because capl</w:t>
      </w:r>
      <w:r w:rsidR="00100D2D" w:rsidRPr="00D1229A">
        <w:rPr>
          <w:lang w:val="en-GB"/>
        </w:rPr>
        <w:t>a</w:t>
      </w:r>
      <w:r w:rsidR="00A67153" w:rsidRPr="00D1229A">
        <w:rPr>
          <w:lang w:val="en-GB"/>
        </w:rPr>
        <w:t xml:space="preserve">cizumab would lessen relapse, but because </w:t>
      </w:r>
      <w:r w:rsidR="00E452E6">
        <w:rPr>
          <w:lang w:val="en-GB"/>
        </w:rPr>
        <w:t>they</w:t>
      </w:r>
      <w:r w:rsidR="00E452E6" w:rsidRPr="00D1229A">
        <w:rPr>
          <w:lang w:val="en-GB"/>
        </w:rPr>
        <w:t xml:space="preserve"> </w:t>
      </w:r>
      <w:r w:rsidR="00A67153" w:rsidRPr="00D1229A">
        <w:rPr>
          <w:lang w:val="en-GB"/>
        </w:rPr>
        <w:t>would know a treatment exists</w:t>
      </w:r>
      <w:r w:rsidR="00115B70" w:rsidRPr="00D1229A">
        <w:rPr>
          <w:lang w:val="en-GB"/>
        </w:rPr>
        <w:t xml:space="preserve">. </w:t>
      </w:r>
      <w:r w:rsidR="00100D2D" w:rsidRPr="00D1229A">
        <w:rPr>
          <w:lang w:val="en-GB"/>
        </w:rPr>
        <w:t xml:space="preserve">The committee noted that the company had estimated the quality of life associated with cognitive impairment and mental health in the long term based on studies in people with stroke and people with depressive disorder respectively. </w:t>
      </w:r>
      <w:bookmarkStart w:id="4" w:name="_Hlk41555338"/>
      <w:r w:rsidR="00FB77D7">
        <w:rPr>
          <w:lang w:val="en-GB"/>
        </w:rPr>
        <w:t>It acknowledged that</w:t>
      </w:r>
      <w:r w:rsidR="00100D2D" w:rsidRPr="00D1229A">
        <w:rPr>
          <w:lang w:val="en-GB"/>
        </w:rPr>
        <w:t xml:space="preserve"> cognitive impairment and mental health would lower a person’s quality of life</w:t>
      </w:r>
      <w:r w:rsidR="00FB77D7">
        <w:rPr>
          <w:lang w:val="en-GB"/>
        </w:rPr>
        <w:t>. However</w:t>
      </w:r>
      <w:r w:rsidR="00E74239" w:rsidRPr="00D1229A">
        <w:rPr>
          <w:lang w:val="en-GB"/>
        </w:rPr>
        <w:t>,</w:t>
      </w:r>
      <w:r w:rsidR="00100D2D" w:rsidRPr="00D1229A">
        <w:rPr>
          <w:lang w:val="en-GB"/>
        </w:rPr>
        <w:t xml:space="preserve"> </w:t>
      </w:r>
      <w:r w:rsidR="00FB77D7">
        <w:rPr>
          <w:lang w:val="en-GB"/>
        </w:rPr>
        <w:t>it</w:t>
      </w:r>
      <w:r w:rsidR="00E452E6">
        <w:rPr>
          <w:lang w:val="en-GB"/>
        </w:rPr>
        <w:t xml:space="preserve"> recalled that</w:t>
      </w:r>
      <w:r w:rsidR="00100D2D" w:rsidRPr="00D1229A">
        <w:rPr>
          <w:lang w:val="en-GB"/>
        </w:rPr>
        <w:t xml:space="preserve"> there was no evidence that caplacizumab would </w:t>
      </w:r>
      <w:r w:rsidR="00EB25D1">
        <w:rPr>
          <w:lang w:val="en-GB"/>
        </w:rPr>
        <w:t xml:space="preserve">decrease the likelihood of having these complications or </w:t>
      </w:r>
      <w:r w:rsidR="00100D2D" w:rsidRPr="00D1229A">
        <w:rPr>
          <w:lang w:val="en-GB"/>
        </w:rPr>
        <w:t xml:space="preserve">improve quality of life by decreasing these complications of </w:t>
      </w:r>
      <w:r w:rsidR="00206A4C">
        <w:rPr>
          <w:lang w:val="en-GB"/>
        </w:rPr>
        <w:t>acquired TTP</w:t>
      </w:r>
      <w:r w:rsidR="00EB25D1">
        <w:rPr>
          <w:lang w:val="en-GB"/>
        </w:rPr>
        <w:t xml:space="preserve"> (see section</w:t>
      </w:r>
      <w:r w:rsidR="00FB77D7">
        <w:rPr>
          <w:lang w:val="en-GB"/>
        </w:rPr>
        <w:t> </w:t>
      </w:r>
      <w:r w:rsidR="00EB25D1">
        <w:rPr>
          <w:lang w:val="en-GB"/>
        </w:rPr>
        <w:t>3.11)</w:t>
      </w:r>
      <w:r w:rsidR="00100D2D" w:rsidRPr="00D1229A">
        <w:rPr>
          <w:lang w:val="en-GB"/>
        </w:rPr>
        <w:t xml:space="preserve">. </w:t>
      </w:r>
      <w:bookmarkEnd w:id="4"/>
      <w:r w:rsidR="00115B70" w:rsidRPr="00D1229A">
        <w:rPr>
          <w:lang w:val="en-GB"/>
        </w:rPr>
        <w:t xml:space="preserve">The committee concluded that the effect of </w:t>
      </w:r>
      <w:r w:rsidR="00206A4C">
        <w:rPr>
          <w:lang w:val="en-GB"/>
        </w:rPr>
        <w:t>acquired TTP</w:t>
      </w:r>
      <w:r w:rsidR="00115B70" w:rsidRPr="00D1229A">
        <w:rPr>
          <w:lang w:val="en-GB"/>
        </w:rPr>
        <w:t xml:space="preserve"> on quality of life </w:t>
      </w:r>
      <w:r w:rsidR="001848C3" w:rsidRPr="00D1229A">
        <w:rPr>
          <w:lang w:val="en-GB"/>
        </w:rPr>
        <w:t xml:space="preserve">is </w:t>
      </w:r>
      <w:r w:rsidR="00A67153" w:rsidRPr="00D1229A">
        <w:rPr>
          <w:lang w:val="en-GB"/>
        </w:rPr>
        <w:t xml:space="preserve">considerable </w:t>
      </w:r>
      <w:r w:rsidR="001848C3" w:rsidRPr="00D1229A">
        <w:rPr>
          <w:lang w:val="en-GB"/>
        </w:rPr>
        <w:t xml:space="preserve">but uncertain, and that the </w:t>
      </w:r>
      <w:r w:rsidR="00E452E6">
        <w:rPr>
          <w:lang w:val="en-GB"/>
        </w:rPr>
        <w:t>effect</w:t>
      </w:r>
      <w:r w:rsidR="00E452E6" w:rsidRPr="00D1229A">
        <w:rPr>
          <w:lang w:val="en-GB"/>
        </w:rPr>
        <w:t xml:space="preserve"> </w:t>
      </w:r>
      <w:r w:rsidR="001848C3" w:rsidRPr="00D1229A">
        <w:rPr>
          <w:lang w:val="en-GB"/>
        </w:rPr>
        <w:t>of alternative quality</w:t>
      </w:r>
      <w:r w:rsidR="00AD3431">
        <w:rPr>
          <w:lang w:val="en-GB"/>
        </w:rPr>
        <w:t>-</w:t>
      </w:r>
      <w:r w:rsidR="001848C3" w:rsidRPr="00D1229A">
        <w:rPr>
          <w:lang w:val="en-GB"/>
        </w:rPr>
        <w:t>of</w:t>
      </w:r>
      <w:r w:rsidR="00AD3431">
        <w:rPr>
          <w:lang w:val="en-GB"/>
        </w:rPr>
        <w:t>-</w:t>
      </w:r>
      <w:r w:rsidR="001848C3" w:rsidRPr="00D1229A">
        <w:rPr>
          <w:lang w:val="en-GB"/>
        </w:rPr>
        <w:t>life assumptions should be explored further</w:t>
      </w:r>
      <w:r w:rsidR="00115B70" w:rsidRPr="00D1229A">
        <w:rPr>
          <w:lang w:val="en-GB"/>
        </w:rPr>
        <w:t>.</w:t>
      </w:r>
    </w:p>
    <w:p w14:paraId="7C3F71A6" w14:textId="367E9F5C" w:rsidR="00B43AF3" w:rsidRPr="00D1229A" w:rsidRDefault="00B43AF3" w:rsidP="00B43AF3">
      <w:pPr>
        <w:pStyle w:val="Heading3"/>
      </w:pPr>
      <w:r w:rsidRPr="00D1229A">
        <w:t xml:space="preserve">The </w:t>
      </w:r>
      <w:r w:rsidR="00A67153" w:rsidRPr="00D1229A">
        <w:t xml:space="preserve">estimates for cost effectiveness from the </w:t>
      </w:r>
      <w:r w:rsidR="00096ABE" w:rsidRPr="00D1229A">
        <w:t>company and</w:t>
      </w:r>
      <w:r w:rsidR="00691E94">
        <w:t xml:space="preserve"> the</w:t>
      </w:r>
      <w:r w:rsidR="00096ABE" w:rsidRPr="00D1229A">
        <w:t xml:space="preserve"> ERG</w:t>
      </w:r>
      <w:r w:rsidR="001C0ED1" w:rsidRPr="00D1229A">
        <w:t xml:space="preserve"> do</w:t>
      </w:r>
      <w:r w:rsidR="00096ABE" w:rsidRPr="00D1229A">
        <w:t xml:space="preserve"> not account for uncertainty around </w:t>
      </w:r>
      <w:r w:rsidR="00B42CAB" w:rsidRPr="00D1229A">
        <w:t>assumptions</w:t>
      </w:r>
    </w:p>
    <w:p w14:paraId="5A8801EA" w14:textId="26C627EC" w:rsidR="008D2817" w:rsidRDefault="002C1E17" w:rsidP="005A1EDF">
      <w:pPr>
        <w:pStyle w:val="Numberedlevel2text"/>
        <w:rPr>
          <w:lang w:val="en-GB"/>
        </w:rPr>
      </w:pPr>
      <w:r w:rsidRPr="00D1229A">
        <w:rPr>
          <w:lang w:val="en-GB"/>
        </w:rPr>
        <w:t>The company</w:t>
      </w:r>
      <w:r w:rsidR="00F66F45">
        <w:rPr>
          <w:lang w:val="en-GB"/>
        </w:rPr>
        <w:t>’s</w:t>
      </w:r>
      <w:r w:rsidRPr="00D1229A">
        <w:rPr>
          <w:lang w:val="en-GB"/>
        </w:rPr>
        <w:t xml:space="preserve"> and ERG</w:t>
      </w:r>
      <w:r w:rsidR="00F66F45">
        <w:rPr>
          <w:lang w:val="en-GB"/>
        </w:rPr>
        <w:t>’s</w:t>
      </w:r>
      <w:r w:rsidRPr="00D1229A">
        <w:rPr>
          <w:lang w:val="en-GB"/>
        </w:rPr>
        <w:t xml:space="preserve"> </w:t>
      </w:r>
      <w:r w:rsidR="004C56A7" w:rsidRPr="00D1229A">
        <w:rPr>
          <w:lang w:val="en-GB"/>
        </w:rPr>
        <w:t>base</w:t>
      </w:r>
      <w:r w:rsidR="00F66F45">
        <w:rPr>
          <w:lang w:val="en-GB"/>
        </w:rPr>
        <w:t>-</w:t>
      </w:r>
      <w:r w:rsidR="004C56A7" w:rsidRPr="00D1229A">
        <w:rPr>
          <w:lang w:val="en-GB"/>
        </w:rPr>
        <w:t xml:space="preserve">case </w:t>
      </w:r>
      <w:r w:rsidRPr="00D1229A">
        <w:rPr>
          <w:lang w:val="en-GB"/>
        </w:rPr>
        <w:t>cost</w:t>
      </w:r>
      <w:r w:rsidR="00F66F45">
        <w:rPr>
          <w:lang w:val="en-GB"/>
        </w:rPr>
        <w:t>-</w:t>
      </w:r>
      <w:r w:rsidRPr="00D1229A">
        <w:rPr>
          <w:lang w:val="en-GB"/>
        </w:rPr>
        <w:t>effectiveness estimates were similar (£28,000 and £31,000 per QALY gained respectively). The ERG</w:t>
      </w:r>
      <w:r w:rsidR="008D2817">
        <w:rPr>
          <w:lang w:val="en-GB"/>
        </w:rPr>
        <w:t>’s</w:t>
      </w:r>
      <w:r w:rsidRPr="00D1229A">
        <w:rPr>
          <w:lang w:val="en-GB"/>
        </w:rPr>
        <w:t xml:space="preserve"> base case used the company assumptions </w:t>
      </w:r>
      <w:r w:rsidR="008D2817" w:rsidRPr="00D1229A">
        <w:rPr>
          <w:lang w:val="en-GB"/>
        </w:rPr>
        <w:t xml:space="preserve">both </w:t>
      </w:r>
      <w:r w:rsidRPr="00D1229A">
        <w:rPr>
          <w:lang w:val="en-GB"/>
        </w:rPr>
        <w:t xml:space="preserve">for </w:t>
      </w:r>
      <w:r w:rsidR="008D2817">
        <w:rPr>
          <w:lang w:val="en-GB"/>
        </w:rPr>
        <w:t>the</w:t>
      </w:r>
      <w:r w:rsidR="00D840C3">
        <w:rPr>
          <w:lang w:val="en-GB"/>
        </w:rPr>
        <w:t xml:space="preserve"> probability of dying in the</w:t>
      </w:r>
      <w:r w:rsidR="008D2817">
        <w:rPr>
          <w:lang w:val="en-GB"/>
        </w:rPr>
        <w:t xml:space="preserve"> </w:t>
      </w:r>
      <w:r w:rsidRPr="00D1229A">
        <w:rPr>
          <w:lang w:val="en-GB"/>
        </w:rPr>
        <w:t>short</w:t>
      </w:r>
      <w:r w:rsidR="008D2817">
        <w:rPr>
          <w:lang w:val="en-GB"/>
        </w:rPr>
        <w:t>-</w:t>
      </w:r>
      <w:r w:rsidRPr="00D1229A">
        <w:rPr>
          <w:lang w:val="en-GB"/>
        </w:rPr>
        <w:t>term (see section</w:t>
      </w:r>
      <w:r w:rsidR="008D2817">
        <w:rPr>
          <w:lang w:val="en-GB"/>
        </w:rPr>
        <w:t> </w:t>
      </w:r>
      <w:r w:rsidR="00484E2F" w:rsidRPr="00D1229A">
        <w:rPr>
          <w:lang w:val="en-GB"/>
        </w:rPr>
        <w:t>3.</w:t>
      </w:r>
      <w:r w:rsidR="009336C3" w:rsidRPr="00D1229A">
        <w:rPr>
          <w:lang w:val="en-GB"/>
        </w:rPr>
        <w:t>9</w:t>
      </w:r>
      <w:r w:rsidRPr="00D1229A">
        <w:rPr>
          <w:lang w:val="en-GB"/>
        </w:rPr>
        <w:t>) and for estimating the long</w:t>
      </w:r>
      <w:r w:rsidR="008D2817">
        <w:rPr>
          <w:lang w:val="en-GB"/>
        </w:rPr>
        <w:t>-</w:t>
      </w:r>
      <w:r w:rsidRPr="00D1229A">
        <w:rPr>
          <w:lang w:val="en-GB"/>
        </w:rPr>
        <w:t>term complications and death rate (see section</w:t>
      </w:r>
      <w:r w:rsidR="009336C3" w:rsidRPr="00D1229A">
        <w:rPr>
          <w:lang w:val="en-GB"/>
        </w:rPr>
        <w:t>s</w:t>
      </w:r>
      <w:r w:rsidR="008D2817">
        <w:rPr>
          <w:lang w:val="en-GB"/>
        </w:rPr>
        <w:t> </w:t>
      </w:r>
      <w:r w:rsidR="00484E2F" w:rsidRPr="00D1229A">
        <w:rPr>
          <w:lang w:val="en-GB"/>
        </w:rPr>
        <w:t>3.</w:t>
      </w:r>
      <w:r w:rsidR="009336C3" w:rsidRPr="00D1229A">
        <w:rPr>
          <w:lang w:val="en-GB"/>
        </w:rPr>
        <w:t>10 and</w:t>
      </w:r>
      <w:r w:rsidR="008D2817">
        <w:rPr>
          <w:lang w:val="en-GB"/>
        </w:rPr>
        <w:t> </w:t>
      </w:r>
      <w:r w:rsidR="009336C3" w:rsidRPr="00D1229A">
        <w:rPr>
          <w:lang w:val="en-GB"/>
        </w:rPr>
        <w:t>3.11</w:t>
      </w:r>
      <w:r w:rsidRPr="00D1229A">
        <w:rPr>
          <w:lang w:val="en-GB"/>
        </w:rPr>
        <w:t>)</w:t>
      </w:r>
      <w:r w:rsidR="004C56A7" w:rsidRPr="00D1229A">
        <w:rPr>
          <w:lang w:val="en-GB"/>
        </w:rPr>
        <w:t xml:space="preserve">. </w:t>
      </w:r>
      <w:r w:rsidR="008D2817">
        <w:rPr>
          <w:lang w:val="en-GB"/>
        </w:rPr>
        <w:t>T</w:t>
      </w:r>
      <w:r w:rsidR="004C56A7" w:rsidRPr="00D1229A">
        <w:rPr>
          <w:lang w:val="en-GB"/>
        </w:rPr>
        <w:t xml:space="preserve">he ERG </w:t>
      </w:r>
      <w:r w:rsidR="008D2817">
        <w:rPr>
          <w:lang w:val="en-GB"/>
        </w:rPr>
        <w:t xml:space="preserve">explained </w:t>
      </w:r>
      <w:r w:rsidR="004C56A7" w:rsidRPr="00D1229A">
        <w:rPr>
          <w:lang w:val="en-GB"/>
        </w:rPr>
        <w:t>that</w:t>
      </w:r>
      <w:r w:rsidR="001848C3" w:rsidRPr="00D1229A">
        <w:rPr>
          <w:lang w:val="en-GB"/>
        </w:rPr>
        <w:t xml:space="preserve"> </w:t>
      </w:r>
      <w:r w:rsidR="0000604E" w:rsidRPr="00D1229A">
        <w:rPr>
          <w:lang w:val="en-GB"/>
        </w:rPr>
        <w:t xml:space="preserve">it had not varied </w:t>
      </w:r>
      <w:r w:rsidR="0090098D" w:rsidRPr="00D1229A">
        <w:rPr>
          <w:lang w:val="en-GB"/>
        </w:rPr>
        <w:t>the company</w:t>
      </w:r>
      <w:r w:rsidR="008D2817">
        <w:rPr>
          <w:lang w:val="en-GB"/>
        </w:rPr>
        <w:t>’s</w:t>
      </w:r>
      <w:r w:rsidR="0000604E" w:rsidRPr="00D1229A">
        <w:rPr>
          <w:lang w:val="en-GB"/>
        </w:rPr>
        <w:t xml:space="preserve"> assumptions because </w:t>
      </w:r>
      <w:r w:rsidR="001848C3" w:rsidRPr="00D1229A">
        <w:rPr>
          <w:lang w:val="en-GB"/>
        </w:rPr>
        <w:t>there were a range of sources for</w:t>
      </w:r>
      <w:r w:rsidR="00905732">
        <w:rPr>
          <w:lang w:val="en-GB"/>
        </w:rPr>
        <w:t xml:space="preserve"> short-term</w:t>
      </w:r>
      <w:r w:rsidR="001848C3" w:rsidRPr="00D1229A">
        <w:rPr>
          <w:lang w:val="en-GB"/>
        </w:rPr>
        <w:t xml:space="preserve"> mortality presented by the company, all of which were consisten</w:t>
      </w:r>
      <w:r w:rsidR="008D2817">
        <w:rPr>
          <w:lang w:val="en-GB"/>
        </w:rPr>
        <w:t>t. It also thought that</w:t>
      </w:r>
      <w:r w:rsidR="001848C3" w:rsidRPr="00D1229A">
        <w:rPr>
          <w:lang w:val="en-GB"/>
        </w:rPr>
        <w:t xml:space="preserve"> it was biologically plausible to assume an effect</w:t>
      </w:r>
      <w:r w:rsidR="004C56A7" w:rsidRPr="00D1229A">
        <w:rPr>
          <w:lang w:val="en-GB"/>
        </w:rPr>
        <w:t xml:space="preserve">. </w:t>
      </w:r>
      <w:r w:rsidR="00A67153" w:rsidRPr="00D1229A">
        <w:rPr>
          <w:lang w:val="en-GB"/>
        </w:rPr>
        <w:t xml:space="preserve">The </w:t>
      </w:r>
      <w:r w:rsidR="004D4A68" w:rsidRPr="00D1229A">
        <w:rPr>
          <w:lang w:val="en-GB"/>
        </w:rPr>
        <w:t xml:space="preserve">committee </w:t>
      </w:r>
      <w:r w:rsidR="008D2817">
        <w:rPr>
          <w:lang w:val="en-GB"/>
        </w:rPr>
        <w:t>noted</w:t>
      </w:r>
      <w:r w:rsidR="008D2817" w:rsidRPr="00D1229A">
        <w:rPr>
          <w:lang w:val="en-GB"/>
        </w:rPr>
        <w:t xml:space="preserve"> </w:t>
      </w:r>
      <w:r w:rsidR="004D4A68" w:rsidRPr="00D1229A">
        <w:rPr>
          <w:lang w:val="en-GB"/>
        </w:rPr>
        <w:t>that</w:t>
      </w:r>
      <w:r w:rsidR="002B33C2">
        <w:rPr>
          <w:lang w:val="en-GB"/>
        </w:rPr>
        <w:t>:</w:t>
      </w:r>
    </w:p>
    <w:p w14:paraId="232E4055" w14:textId="19FD88A0" w:rsidR="002B33C2" w:rsidRDefault="004D4A68" w:rsidP="008D2817">
      <w:pPr>
        <w:pStyle w:val="Bulletindent1"/>
      </w:pPr>
      <w:r w:rsidRPr="00D1229A">
        <w:t xml:space="preserve">the </w:t>
      </w:r>
      <w:r w:rsidR="00FB77D7">
        <w:t xml:space="preserve">size </w:t>
      </w:r>
      <w:r w:rsidR="009B6380">
        <w:t xml:space="preserve">of association from </w:t>
      </w:r>
      <w:r w:rsidRPr="00D1229A">
        <w:t xml:space="preserve">epidemiological </w:t>
      </w:r>
      <w:r w:rsidR="008D2817">
        <w:t>evidence</w:t>
      </w:r>
      <w:r w:rsidR="008D2817" w:rsidRPr="00D1229A">
        <w:t xml:space="preserve"> </w:t>
      </w:r>
      <w:r w:rsidRPr="00D1229A">
        <w:t xml:space="preserve">relating </w:t>
      </w:r>
      <w:r w:rsidR="008D2817" w:rsidRPr="00D1229A">
        <w:t xml:space="preserve">caplacizumab </w:t>
      </w:r>
      <w:r w:rsidRPr="00D1229A">
        <w:t>treatment with better outcomes was potentially highly biased</w:t>
      </w:r>
    </w:p>
    <w:p w14:paraId="518A88D4" w14:textId="2E6F1C58" w:rsidR="009B6380" w:rsidRDefault="009B6380" w:rsidP="008D2817">
      <w:pPr>
        <w:pStyle w:val="Bulletindent1"/>
      </w:pPr>
      <w:r>
        <w:t xml:space="preserve">the company did </w:t>
      </w:r>
      <w:r w:rsidR="00EB25D1">
        <w:t xml:space="preserve">not </w:t>
      </w:r>
      <w:r>
        <w:t>validate the surrogate endpoints it chose to reflect long-term complications</w:t>
      </w:r>
    </w:p>
    <w:p w14:paraId="4A579ED3" w14:textId="389A9771" w:rsidR="002B33C2" w:rsidRDefault="004C56A7" w:rsidP="008D2817">
      <w:pPr>
        <w:pStyle w:val="Bulletindent1"/>
      </w:pPr>
      <w:r w:rsidRPr="00D1229A">
        <w:lastRenderedPageBreak/>
        <w:t>all the approaches suggested by the company were associated with high levels of uncertainty</w:t>
      </w:r>
    </w:p>
    <w:p w14:paraId="7E03C5F1" w14:textId="1AF65C22" w:rsidR="00096ABE" w:rsidRPr="00D1229A" w:rsidRDefault="00407AFE" w:rsidP="00905732">
      <w:pPr>
        <w:pStyle w:val="Bulletindent1last"/>
      </w:pPr>
      <w:r w:rsidRPr="00D1229A">
        <w:t>the model was highly sensitive to the</w:t>
      </w:r>
      <w:r w:rsidR="002B33C2">
        <w:t xml:space="preserve"> company’s</w:t>
      </w:r>
      <w:r w:rsidRPr="00D1229A">
        <w:t xml:space="preserve"> assumptions</w:t>
      </w:r>
      <w:r w:rsidR="002B33C2">
        <w:t>.</w:t>
      </w:r>
      <w:r w:rsidR="002B33C2">
        <w:br/>
      </w:r>
      <w:r w:rsidR="002B33C2">
        <w:br/>
        <w:t>This meant that</w:t>
      </w:r>
      <w:r w:rsidR="002107D1" w:rsidRPr="00D1229A">
        <w:t xml:space="preserve"> it was essential that the </w:t>
      </w:r>
      <w:r w:rsidR="00797E18" w:rsidRPr="00D1229A">
        <w:t>company and ERG explore</w:t>
      </w:r>
      <w:r w:rsidR="002B33C2">
        <w:t>d</w:t>
      </w:r>
      <w:r w:rsidR="00797E18" w:rsidRPr="00D1229A">
        <w:t xml:space="preserve"> </w:t>
      </w:r>
      <w:r w:rsidR="002107D1" w:rsidRPr="00D1229A">
        <w:t>uncertainty around varying these assumptions</w:t>
      </w:r>
      <w:r w:rsidR="002B33C2">
        <w:t>,</w:t>
      </w:r>
      <w:r w:rsidR="00797E18" w:rsidRPr="00D1229A">
        <w:t xml:space="preserve"> including the possibility of no effect</w:t>
      </w:r>
      <w:r w:rsidR="002107D1" w:rsidRPr="00D1229A">
        <w:t xml:space="preserve">. </w:t>
      </w:r>
      <w:r w:rsidR="002B33C2">
        <w:t>T</w:t>
      </w:r>
      <w:r w:rsidR="000577CB" w:rsidRPr="00D1229A">
        <w:t xml:space="preserve">he committee considered that caplacizumab </w:t>
      </w:r>
      <w:r w:rsidR="009B6380">
        <w:t xml:space="preserve">might </w:t>
      </w:r>
      <w:r w:rsidR="000577CB" w:rsidRPr="00D1229A">
        <w:t>reduce short</w:t>
      </w:r>
      <w:r w:rsidR="002B33C2">
        <w:t>-</w:t>
      </w:r>
      <w:r w:rsidR="000577CB" w:rsidRPr="00D1229A">
        <w:t>term death</w:t>
      </w:r>
      <w:r w:rsidR="00D840C3">
        <w:t>s</w:t>
      </w:r>
      <w:r w:rsidR="000577CB" w:rsidRPr="00D1229A">
        <w:t xml:space="preserve"> around an acute episode</w:t>
      </w:r>
      <w:r w:rsidR="002B33C2">
        <w:t>. However</w:t>
      </w:r>
      <w:r w:rsidR="004C56A7" w:rsidRPr="00D1229A">
        <w:t>,</w:t>
      </w:r>
      <w:r w:rsidR="002B33C2">
        <w:t xml:space="preserve"> it thought that</w:t>
      </w:r>
      <w:r w:rsidR="000577CB" w:rsidRPr="00D1229A">
        <w:t xml:space="preserve"> the limitations of the data meant the extent of the survival benefit was unclear. </w:t>
      </w:r>
      <w:r w:rsidR="00797E18" w:rsidRPr="00D1229A">
        <w:t xml:space="preserve">Any </w:t>
      </w:r>
      <w:r w:rsidR="000577CB" w:rsidRPr="00D1229A">
        <w:t>evidence for a benefit of caplacizumab on long</w:t>
      </w:r>
      <w:r w:rsidR="002B33C2">
        <w:t>-</w:t>
      </w:r>
      <w:r w:rsidR="000577CB" w:rsidRPr="00D1229A">
        <w:t xml:space="preserve">term complications and </w:t>
      </w:r>
      <w:r w:rsidR="00206A4C">
        <w:t>acquired TTP</w:t>
      </w:r>
      <w:r w:rsidR="002B33C2">
        <w:t>-</w:t>
      </w:r>
      <w:r w:rsidR="000577CB" w:rsidRPr="00D1229A">
        <w:t>related death was even more limited</w:t>
      </w:r>
      <w:r w:rsidR="002B33C2">
        <w:t>. T</w:t>
      </w:r>
      <w:r w:rsidR="000577CB" w:rsidRPr="00D1229A">
        <w:t>he clinical experts stated</w:t>
      </w:r>
      <w:r w:rsidR="002B33C2">
        <w:t xml:space="preserve"> that</w:t>
      </w:r>
      <w:r w:rsidR="000577CB" w:rsidRPr="00D1229A">
        <w:t xml:space="preserve"> </w:t>
      </w:r>
      <w:r w:rsidR="002B33C2">
        <w:t xml:space="preserve">this meant </w:t>
      </w:r>
      <w:r w:rsidR="000577CB" w:rsidRPr="00D1229A">
        <w:t>it was not possible to say whether the estimates in the company</w:t>
      </w:r>
      <w:r w:rsidR="002B33C2">
        <w:t>’s</w:t>
      </w:r>
      <w:r w:rsidR="000577CB" w:rsidRPr="00D1229A">
        <w:t xml:space="preserve"> model were plausible. The committee </w:t>
      </w:r>
      <w:r w:rsidR="002B33C2">
        <w:t xml:space="preserve">further </w:t>
      </w:r>
      <w:r w:rsidR="000577CB" w:rsidRPr="00D1229A">
        <w:t>noted that:</w:t>
      </w:r>
    </w:p>
    <w:p w14:paraId="045873DC" w14:textId="04875D92" w:rsidR="000577CB" w:rsidRPr="00D1229A" w:rsidRDefault="000577CB" w:rsidP="000577CB">
      <w:pPr>
        <w:pStyle w:val="Bulletindent1"/>
      </w:pPr>
      <w:r w:rsidRPr="00D1229A">
        <w:t xml:space="preserve">Assuming no survival benefit in the short term around an acute episode and no survival benefit in the long term resulted in an ICER of around £120,000 per QALY gained. Assuming no benefit of caplacizumab on the rate of </w:t>
      </w:r>
      <w:r w:rsidR="00407AFE" w:rsidRPr="00D1229A">
        <w:t>long-term</w:t>
      </w:r>
      <w:r w:rsidRPr="00D1229A">
        <w:t xml:space="preserve"> complications such as cognitive impairment and mental health issues compared with standard care increased this further</w:t>
      </w:r>
      <w:r w:rsidR="00407AFE" w:rsidRPr="00D1229A">
        <w:t>.</w:t>
      </w:r>
    </w:p>
    <w:p w14:paraId="207040DC" w14:textId="7A423251" w:rsidR="00E41407" w:rsidRPr="00D1229A" w:rsidRDefault="000577CB" w:rsidP="00905732">
      <w:pPr>
        <w:pStyle w:val="Bulletindent1last"/>
      </w:pPr>
      <w:r w:rsidRPr="00D1229A">
        <w:t>Accepting the compan</w:t>
      </w:r>
      <w:r w:rsidR="00407AFE" w:rsidRPr="00D1229A">
        <w:t>y’s</w:t>
      </w:r>
      <w:r w:rsidRPr="00D1229A">
        <w:t xml:space="preserve"> estimate of short</w:t>
      </w:r>
      <w:r w:rsidR="00484E2F" w:rsidRPr="00D1229A">
        <w:t>-</w:t>
      </w:r>
      <w:r w:rsidRPr="00D1229A">
        <w:t>term survival benefit but assuming no survival benefit in the long</w:t>
      </w:r>
      <w:r w:rsidR="00AD3431">
        <w:t xml:space="preserve"> term</w:t>
      </w:r>
      <w:r w:rsidRPr="00D1229A">
        <w:t xml:space="preserve"> resulted in an ICER of </w:t>
      </w:r>
      <w:r w:rsidR="00E41407" w:rsidRPr="00D1229A">
        <w:t>around £</w:t>
      </w:r>
      <w:r w:rsidR="00484E2F" w:rsidRPr="00D1229A">
        <w:t>47,000 per QALY gained</w:t>
      </w:r>
      <w:r w:rsidR="00E41407" w:rsidRPr="00D1229A">
        <w:t>. Assuming no benefit of caplacizumab on reducing long</w:t>
      </w:r>
      <w:r w:rsidR="00514FD6">
        <w:t>-</w:t>
      </w:r>
      <w:r w:rsidR="00E41407" w:rsidRPr="00D1229A">
        <w:t>term complications increased this further.</w:t>
      </w:r>
      <w:r w:rsidR="00514FD6">
        <w:br/>
      </w:r>
      <w:r w:rsidR="00514FD6">
        <w:br/>
      </w:r>
      <w:r w:rsidR="00E41407" w:rsidRPr="00D1229A">
        <w:t xml:space="preserve">The committee </w:t>
      </w:r>
      <w:r w:rsidR="002B33C2">
        <w:t>concluded</w:t>
      </w:r>
      <w:r w:rsidR="002B33C2" w:rsidRPr="00D1229A">
        <w:t xml:space="preserve"> </w:t>
      </w:r>
      <w:r w:rsidR="00E41407" w:rsidRPr="00D1229A">
        <w:t>that neither the company</w:t>
      </w:r>
      <w:r w:rsidR="008D2817">
        <w:t>’s</w:t>
      </w:r>
      <w:r w:rsidR="00E41407" w:rsidRPr="00D1229A">
        <w:t xml:space="preserve"> nor </w:t>
      </w:r>
      <w:r w:rsidR="00407AFE" w:rsidRPr="00D1229A">
        <w:t xml:space="preserve">the </w:t>
      </w:r>
      <w:r w:rsidR="00E41407" w:rsidRPr="00D1229A">
        <w:t>ERG</w:t>
      </w:r>
      <w:r w:rsidR="008D2817">
        <w:t>’s</w:t>
      </w:r>
      <w:r w:rsidR="00E41407" w:rsidRPr="00D1229A">
        <w:t xml:space="preserve"> cost</w:t>
      </w:r>
      <w:r w:rsidR="008D2817">
        <w:t>-</w:t>
      </w:r>
      <w:r w:rsidR="00E41407" w:rsidRPr="00D1229A">
        <w:t>effectiveness estimates accounted for the uncertainty around the assumptions in the economic model</w:t>
      </w:r>
      <w:r w:rsidR="008D2817">
        <w:t>,</w:t>
      </w:r>
      <w:r w:rsidR="00E41407" w:rsidRPr="00D1229A">
        <w:t xml:space="preserve"> particularly those around death rates.</w:t>
      </w:r>
    </w:p>
    <w:p w14:paraId="37D3BF6E" w14:textId="00D0AC83" w:rsidR="00096ABE" w:rsidRPr="00D1229A" w:rsidRDefault="00EB25D1" w:rsidP="00096ABE">
      <w:pPr>
        <w:pStyle w:val="Heading3"/>
      </w:pPr>
      <w:r>
        <w:lastRenderedPageBreak/>
        <w:t>S</w:t>
      </w:r>
      <w:r w:rsidR="00A71B28" w:rsidRPr="00D1229A">
        <w:t>teps</w:t>
      </w:r>
      <w:r w:rsidR="00096ABE" w:rsidRPr="00D1229A">
        <w:t xml:space="preserve"> </w:t>
      </w:r>
      <w:r w:rsidR="00C375AB">
        <w:t xml:space="preserve">are needed </w:t>
      </w:r>
      <w:r w:rsidR="00096ABE" w:rsidRPr="00D1229A">
        <w:t xml:space="preserve">to </w:t>
      </w:r>
      <w:r w:rsidR="0000604E" w:rsidRPr="00D1229A">
        <w:t xml:space="preserve">address </w:t>
      </w:r>
      <w:r w:rsidR="008D2817">
        <w:t xml:space="preserve">remaining </w:t>
      </w:r>
      <w:r w:rsidR="00096ABE" w:rsidRPr="00D1229A">
        <w:t>uncertaint</w:t>
      </w:r>
      <w:r w:rsidR="008D2817">
        <w:t>ies</w:t>
      </w:r>
    </w:p>
    <w:p w14:paraId="5FF62F63" w14:textId="299D322A" w:rsidR="00096ABE" w:rsidRDefault="00314360" w:rsidP="00096ABE">
      <w:pPr>
        <w:pStyle w:val="Numberedlevel2text"/>
        <w:rPr>
          <w:lang w:val="en-GB"/>
        </w:rPr>
      </w:pPr>
      <w:r w:rsidRPr="00D1229A">
        <w:rPr>
          <w:lang w:val="en-GB"/>
        </w:rPr>
        <w:t xml:space="preserve">The committee </w:t>
      </w:r>
      <w:r w:rsidR="00CD6554" w:rsidRPr="00D1229A">
        <w:rPr>
          <w:lang w:val="en-GB"/>
        </w:rPr>
        <w:t xml:space="preserve">agreed that </w:t>
      </w:r>
      <w:r w:rsidR="005A1EDF" w:rsidRPr="00D1229A">
        <w:rPr>
          <w:lang w:val="en-GB"/>
        </w:rPr>
        <w:t xml:space="preserve">the </w:t>
      </w:r>
      <w:r w:rsidR="00702E9C" w:rsidRPr="00D1229A">
        <w:rPr>
          <w:lang w:val="en-GB"/>
        </w:rPr>
        <w:t xml:space="preserve">company </w:t>
      </w:r>
      <w:r w:rsidR="005A1EDF" w:rsidRPr="00D1229A">
        <w:rPr>
          <w:lang w:val="en-GB"/>
        </w:rPr>
        <w:t>would need to address the following uncertainties before it could further assess the potential cost</w:t>
      </w:r>
      <w:r w:rsidR="008C2DEF">
        <w:rPr>
          <w:lang w:val="en-GB"/>
        </w:rPr>
        <w:t xml:space="preserve"> </w:t>
      </w:r>
      <w:r w:rsidR="005A1EDF" w:rsidRPr="00D1229A">
        <w:rPr>
          <w:lang w:val="en-GB"/>
        </w:rPr>
        <w:t>effectiveness of caplacizumab</w:t>
      </w:r>
      <w:r w:rsidRPr="00D1229A">
        <w:rPr>
          <w:lang w:val="en-GB"/>
        </w:rPr>
        <w:t>:</w:t>
      </w:r>
    </w:p>
    <w:p w14:paraId="0E9A2CA2" w14:textId="779F3AFA" w:rsidR="00872C95" w:rsidRPr="00D1229A" w:rsidRDefault="00FB77D7" w:rsidP="009C02F0">
      <w:pPr>
        <w:pStyle w:val="Bulletindent1"/>
      </w:pPr>
      <w:r>
        <w:t>E</w:t>
      </w:r>
      <w:r w:rsidR="00872C95">
        <w:t xml:space="preserve">stimates of </w:t>
      </w:r>
      <w:r w:rsidR="008F01C2">
        <w:t xml:space="preserve">the </w:t>
      </w:r>
      <w:r w:rsidR="002849FD">
        <w:t xml:space="preserve">probability of dying around </w:t>
      </w:r>
      <w:r w:rsidR="00872C95">
        <w:t>an acute episode</w:t>
      </w:r>
      <w:r>
        <w:t>:</w:t>
      </w:r>
    </w:p>
    <w:p w14:paraId="37D55F01" w14:textId="7F847E80" w:rsidR="003E4385" w:rsidRPr="00D1229A" w:rsidRDefault="00FB77D7" w:rsidP="009C02F0">
      <w:pPr>
        <w:pStyle w:val="Bulletindent2"/>
      </w:pPr>
      <w:r>
        <w:t>The</w:t>
      </w:r>
      <w:r w:rsidRPr="00D1229A">
        <w:t xml:space="preserve"> </w:t>
      </w:r>
      <w:r w:rsidR="003E4385" w:rsidRPr="00D1229A">
        <w:t xml:space="preserve">meta-analysis of </w:t>
      </w:r>
      <w:r w:rsidR="00251576">
        <w:t xml:space="preserve">the probability of dying </w:t>
      </w:r>
      <w:r w:rsidR="00514FD6">
        <w:t>for</w:t>
      </w:r>
      <w:r w:rsidR="00514FD6" w:rsidRPr="00D1229A">
        <w:t xml:space="preserve"> </w:t>
      </w:r>
      <w:r w:rsidR="003E4385" w:rsidRPr="00D1229A">
        <w:t xml:space="preserve">standard care </w:t>
      </w:r>
      <w:r w:rsidR="00744EA3">
        <w:t>alone</w:t>
      </w:r>
      <w:r w:rsidR="00744EA3" w:rsidRPr="00D1229A">
        <w:t xml:space="preserve"> </w:t>
      </w:r>
      <w:r w:rsidR="003E4385" w:rsidRPr="00D1229A">
        <w:t xml:space="preserve">around an acute episode of </w:t>
      </w:r>
      <w:r w:rsidR="00206A4C">
        <w:t>acquired TTP</w:t>
      </w:r>
      <w:r w:rsidR="003E4385" w:rsidRPr="00D1229A">
        <w:t xml:space="preserve"> (see section</w:t>
      </w:r>
      <w:r w:rsidR="00514FD6">
        <w:t> </w:t>
      </w:r>
      <w:r w:rsidR="003E4385" w:rsidRPr="00D1229A">
        <w:t xml:space="preserve">3.9) should </w:t>
      </w:r>
      <w:r w:rsidR="0038706D">
        <w:t>reflect current UK practice</w:t>
      </w:r>
      <w:r w:rsidR="003E4385" w:rsidRPr="00D1229A">
        <w:t xml:space="preserve"> using studies from the UK only, or those most relevant to UK clinical practice</w:t>
      </w:r>
      <w:r w:rsidR="00514FD6">
        <w:t>.</w:t>
      </w:r>
    </w:p>
    <w:p w14:paraId="7EC71DF6" w14:textId="6EFE73D8" w:rsidR="003E4385" w:rsidRPr="00D1229A" w:rsidRDefault="00FB77D7" w:rsidP="009C02F0">
      <w:pPr>
        <w:pStyle w:val="Bulletindent2"/>
      </w:pPr>
      <w:r>
        <w:t>The</w:t>
      </w:r>
      <w:r w:rsidRPr="00D1229A">
        <w:t xml:space="preserve"> </w:t>
      </w:r>
      <w:r w:rsidR="003E4385" w:rsidRPr="00D1229A">
        <w:t>estimate of death</w:t>
      </w:r>
      <w:r w:rsidR="00D840C3">
        <w:t xml:space="preserve">s </w:t>
      </w:r>
      <w:proofErr w:type="spellStart"/>
      <w:r w:rsidR="00D840C3">
        <w:t>on</w:t>
      </w:r>
      <w:r w:rsidR="003E4385" w:rsidRPr="00D1229A">
        <w:t>caplacizumab</w:t>
      </w:r>
      <w:proofErr w:type="spellEnd"/>
      <w:r w:rsidR="003E4385" w:rsidRPr="00D1229A">
        <w:t xml:space="preserve"> around an acute episode should provide information on the setting in which people </w:t>
      </w:r>
      <w:r w:rsidR="00503CE6">
        <w:t>had</w:t>
      </w:r>
      <w:r w:rsidR="00503CE6" w:rsidRPr="00D1229A">
        <w:t xml:space="preserve"> </w:t>
      </w:r>
      <w:r w:rsidR="003E4385" w:rsidRPr="00D1229A">
        <w:t>treat</w:t>
      </w:r>
      <w:r w:rsidR="00503CE6">
        <w:t>ment</w:t>
      </w:r>
      <w:r w:rsidR="003E4385" w:rsidRPr="00D1229A">
        <w:t xml:space="preserve"> and how generalisable these data are to a UK population</w:t>
      </w:r>
      <w:r w:rsidR="00987494">
        <w:t>.</w:t>
      </w:r>
    </w:p>
    <w:p w14:paraId="2FF8C758" w14:textId="31B5BECB" w:rsidR="00797E18" w:rsidRPr="00D1229A" w:rsidRDefault="00FB77D7" w:rsidP="009C02F0">
      <w:pPr>
        <w:pStyle w:val="Bulletindent2"/>
      </w:pPr>
      <w:r>
        <w:t>The</w:t>
      </w:r>
      <w:r w:rsidRPr="00D1229A">
        <w:t xml:space="preserve"> </w:t>
      </w:r>
      <w:r w:rsidR="00CD6554" w:rsidRPr="00D1229A">
        <w:t>i</w:t>
      </w:r>
      <w:r w:rsidR="00314360" w:rsidRPr="00D1229A">
        <w:t xml:space="preserve">ndirect comparison of </w:t>
      </w:r>
      <w:r w:rsidR="0038706D">
        <w:t xml:space="preserve">probability of dying </w:t>
      </w:r>
      <w:r w:rsidR="00314360" w:rsidRPr="00D1229A">
        <w:t>around a</w:t>
      </w:r>
      <w:r w:rsidR="007B0E5B" w:rsidRPr="00D1229A">
        <w:t xml:space="preserve">n acute </w:t>
      </w:r>
      <w:r w:rsidR="00387A13" w:rsidRPr="00D1229A">
        <w:t xml:space="preserve">episode </w:t>
      </w:r>
      <w:r w:rsidR="00387A13">
        <w:t xml:space="preserve">of </w:t>
      </w:r>
      <w:r w:rsidR="00206A4C">
        <w:t>acquired TTP</w:t>
      </w:r>
      <w:r w:rsidR="007B0E5B" w:rsidRPr="00D1229A">
        <w:t xml:space="preserve"> </w:t>
      </w:r>
      <w:r w:rsidR="00CD6554" w:rsidRPr="00D1229A">
        <w:t>(see section</w:t>
      </w:r>
      <w:r w:rsidR="00514FD6">
        <w:t> </w:t>
      </w:r>
      <w:r w:rsidR="00792A4C" w:rsidRPr="00D1229A">
        <w:t>3.9</w:t>
      </w:r>
      <w:r w:rsidR="00CD6554" w:rsidRPr="00D1229A">
        <w:t>)</w:t>
      </w:r>
      <w:r w:rsidR="00717EEB">
        <w:t xml:space="preserve"> </w:t>
      </w:r>
      <w:r w:rsidR="0038706D">
        <w:t>should</w:t>
      </w:r>
      <w:r w:rsidR="00FA239A" w:rsidRPr="00D1229A">
        <w:t xml:space="preserve"> provid</w:t>
      </w:r>
      <w:r w:rsidR="00FA239A">
        <w:t>e</w:t>
      </w:r>
      <w:r w:rsidR="00FA239A" w:rsidRPr="00D1229A">
        <w:t xml:space="preserve"> clear methods</w:t>
      </w:r>
      <w:r w:rsidR="0038706D">
        <w:t xml:space="preserve">, adjust for confounding, </w:t>
      </w:r>
      <w:r w:rsidR="00FA239A" w:rsidRPr="00D1229A">
        <w:t>discuss</w:t>
      </w:r>
      <w:r w:rsidR="0038706D">
        <w:t xml:space="preserve"> </w:t>
      </w:r>
      <w:r w:rsidR="00FA239A" w:rsidRPr="00D1229A">
        <w:t xml:space="preserve">how residual confounding may </w:t>
      </w:r>
      <w:r w:rsidR="00FA239A">
        <w:t xml:space="preserve">have </w:t>
      </w:r>
      <w:r w:rsidR="00FA239A" w:rsidRPr="00D1229A">
        <w:t>bias</w:t>
      </w:r>
      <w:r w:rsidR="00FA239A">
        <w:t>ed</w:t>
      </w:r>
      <w:r w:rsidR="00FA239A" w:rsidRPr="00D1229A">
        <w:t xml:space="preserve"> the results</w:t>
      </w:r>
      <w:r w:rsidR="0038706D">
        <w:t xml:space="preserve"> and justify the </w:t>
      </w:r>
      <w:r>
        <w:t xml:space="preserve">size </w:t>
      </w:r>
      <w:r w:rsidR="0038706D">
        <w:t>of any mortality benefit assumed.</w:t>
      </w:r>
    </w:p>
    <w:p w14:paraId="0C3EDC0C" w14:textId="58BEDCF4" w:rsidR="00314360" w:rsidRDefault="00FB77D7" w:rsidP="009C02F0">
      <w:pPr>
        <w:pStyle w:val="Bulletindent2"/>
      </w:pPr>
      <w:r>
        <w:t>The</w:t>
      </w:r>
      <w:r w:rsidRPr="00D1229A">
        <w:t xml:space="preserve"> </w:t>
      </w:r>
      <w:r w:rsidR="00F42C21" w:rsidRPr="00D1229A">
        <w:t xml:space="preserve">estimates </w:t>
      </w:r>
      <w:r w:rsidR="00797E18" w:rsidRPr="00D1229A">
        <w:t>should be put in</w:t>
      </w:r>
      <w:r w:rsidR="00514FD6">
        <w:t xml:space="preserve">to </w:t>
      </w:r>
      <w:r w:rsidR="00797E18" w:rsidRPr="00D1229A">
        <w:t xml:space="preserve">context </w:t>
      </w:r>
      <w:r w:rsidR="00514FD6">
        <w:t>in terms of</w:t>
      </w:r>
      <w:r w:rsidR="00514FD6" w:rsidRPr="00D1229A">
        <w:t xml:space="preserve"> </w:t>
      </w:r>
      <w:r w:rsidR="00797E18" w:rsidRPr="00D1229A">
        <w:t xml:space="preserve">interventional trials </w:t>
      </w:r>
      <w:r w:rsidR="00514FD6">
        <w:t xml:space="preserve">of </w:t>
      </w:r>
      <w:r w:rsidR="00797E18" w:rsidRPr="00D1229A">
        <w:t>other treatments</w:t>
      </w:r>
      <w:r w:rsidR="00F42C21" w:rsidRPr="00D1229A">
        <w:t xml:space="preserve"> </w:t>
      </w:r>
      <w:r w:rsidR="00514FD6">
        <w:t>for</w:t>
      </w:r>
      <w:r w:rsidR="00514FD6" w:rsidRPr="00D1229A">
        <w:t xml:space="preserve"> </w:t>
      </w:r>
      <w:r w:rsidR="00206A4C">
        <w:t>acquired TTP</w:t>
      </w:r>
      <w:r w:rsidR="00514FD6">
        <w:t>,</w:t>
      </w:r>
      <w:r w:rsidR="00514FD6" w:rsidRPr="00D1229A">
        <w:t xml:space="preserve"> </w:t>
      </w:r>
      <w:r w:rsidR="00F42C21" w:rsidRPr="00D1229A">
        <w:t>with mortality as the outcome</w:t>
      </w:r>
      <w:r w:rsidR="00514FD6">
        <w:t>.</w:t>
      </w:r>
    </w:p>
    <w:p w14:paraId="20F5302A" w14:textId="6E4C7918" w:rsidR="00872C95" w:rsidRPr="00D1229A" w:rsidRDefault="00FB77D7" w:rsidP="009C02F0">
      <w:pPr>
        <w:pStyle w:val="Bulletindent1"/>
      </w:pPr>
      <w:r>
        <w:t>E</w:t>
      </w:r>
      <w:r w:rsidR="00872C95">
        <w:t xml:space="preserve">stimates of </w:t>
      </w:r>
      <w:proofErr w:type="spellStart"/>
      <w:r w:rsidR="008F01C2">
        <w:t>caplacizumab’s</w:t>
      </w:r>
      <w:proofErr w:type="spellEnd"/>
      <w:r w:rsidR="00872C95">
        <w:t xml:space="preserve"> long-term treatment effect</w:t>
      </w:r>
      <w:r>
        <w:t>:</w:t>
      </w:r>
    </w:p>
    <w:p w14:paraId="5FD5D6C5" w14:textId="053CAF7E" w:rsidR="00872C95" w:rsidRDefault="008F01C2" w:rsidP="009C02F0">
      <w:pPr>
        <w:pStyle w:val="Bulletindent2"/>
      </w:pPr>
      <w:r>
        <w:t>D</w:t>
      </w:r>
      <w:r w:rsidR="007B0E5B" w:rsidRPr="00D1229A">
        <w:t xml:space="preserve">ata </w:t>
      </w:r>
      <w:r>
        <w:t xml:space="preserve">should be included </w:t>
      </w:r>
      <w:r w:rsidR="007B0E5B" w:rsidRPr="00D1229A">
        <w:t>for long</w:t>
      </w:r>
      <w:r w:rsidR="00AD3431">
        <w:t>-</w:t>
      </w:r>
      <w:r w:rsidR="007B0E5B" w:rsidRPr="00D1229A">
        <w:t>term morbidity and mortality on current standard care for the UK population</w:t>
      </w:r>
      <w:r w:rsidR="005A1EDF" w:rsidRPr="00D1229A">
        <w:t>, particularly for serious organ damage</w:t>
      </w:r>
      <w:r w:rsidR="00514FD6">
        <w:t>.</w:t>
      </w:r>
    </w:p>
    <w:p w14:paraId="00BE1D6C" w14:textId="2551D2F0" w:rsidR="007B0E5B" w:rsidRPr="00D1229A" w:rsidRDefault="008F01C2" w:rsidP="009C02F0">
      <w:pPr>
        <w:pStyle w:val="Bulletindent2"/>
      </w:pPr>
      <w:r>
        <w:t>T</w:t>
      </w:r>
      <w:r w:rsidR="007B0E5B" w:rsidRPr="00D1229A">
        <w:t>he relationship between intensive care</w:t>
      </w:r>
      <w:r w:rsidR="00514FD6">
        <w:t xml:space="preserve"> or </w:t>
      </w:r>
      <w:r w:rsidR="007B0E5B" w:rsidRPr="00D1229A">
        <w:t>hospital stay and long</w:t>
      </w:r>
      <w:r w:rsidR="00514FD6">
        <w:t>-</w:t>
      </w:r>
      <w:r w:rsidR="007B0E5B" w:rsidRPr="00D1229A">
        <w:t xml:space="preserve">term outcomes for people with </w:t>
      </w:r>
      <w:r w:rsidR="00206A4C">
        <w:t>acquired TTP</w:t>
      </w:r>
      <w:r>
        <w:t xml:space="preserve"> should be validated</w:t>
      </w:r>
      <w:r w:rsidR="007B0E5B" w:rsidRPr="00D1229A">
        <w:t>.</w:t>
      </w:r>
    </w:p>
    <w:p w14:paraId="783CFBB9" w14:textId="4F16194D" w:rsidR="00E34969" w:rsidRDefault="00E34969" w:rsidP="009C02F0">
      <w:pPr>
        <w:pStyle w:val="Bulletindent2"/>
      </w:pPr>
      <w:r w:rsidRPr="00D1229A">
        <w:t>If data are not available</w:t>
      </w:r>
      <w:r w:rsidR="00514FD6">
        <w:t>,</w:t>
      </w:r>
      <w:r w:rsidRPr="00D1229A">
        <w:t xml:space="preserve"> other short</w:t>
      </w:r>
      <w:r w:rsidR="00514FD6">
        <w:t>-</w:t>
      </w:r>
      <w:r w:rsidRPr="00D1229A">
        <w:t xml:space="preserve">term outcomes should be </w:t>
      </w:r>
      <w:r w:rsidR="00514FD6">
        <w:t>used</w:t>
      </w:r>
      <w:r w:rsidR="00514FD6" w:rsidRPr="00D1229A">
        <w:t xml:space="preserve"> </w:t>
      </w:r>
      <w:r w:rsidRPr="00D1229A">
        <w:t xml:space="preserve">to model the treatment effect of caplacizumab compared with standard care </w:t>
      </w:r>
      <w:r w:rsidR="00744EA3">
        <w:t>alone</w:t>
      </w:r>
      <w:r w:rsidR="00744EA3" w:rsidRPr="00D1229A">
        <w:t xml:space="preserve"> </w:t>
      </w:r>
      <w:r w:rsidRPr="00D1229A">
        <w:t>on long</w:t>
      </w:r>
      <w:r w:rsidR="00514FD6">
        <w:t>-</w:t>
      </w:r>
      <w:r w:rsidRPr="00D1229A">
        <w:t>term outcomes</w:t>
      </w:r>
      <w:r w:rsidR="00514FD6">
        <w:t>. The</w:t>
      </w:r>
      <w:r w:rsidRPr="00D1229A">
        <w:t xml:space="preserve"> relationship between the short</w:t>
      </w:r>
      <w:r w:rsidR="00514FD6">
        <w:t>-</w:t>
      </w:r>
      <w:r w:rsidRPr="00D1229A">
        <w:t xml:space="preserve"> long</w:t>
      </w:r>
      <w:r w:rsidR="00514FD6">
        <w:t>-</w:t>
      </w:r>
      <w:r w:rsidRPr="00D1229A">
        <w:t>term outcome</w:t>
      </w:r>
      <w:r w:rsidR="00514FD6">
        <w:t>s</w:t>
      </w:r>
      <w:r w:rsidRPr="00D1229A">
        <w:t xml:space="preserve"> should be fully justified and validated</w:t>
      </w:r>
      <w:r w:rsidR="00514FD6">
        <w:t>.</w:t>
      </w:r>
    </w:p>
    <w:p w14:paraId="7CE5DEE3" w14:textId="0A2CD6EE" w:rsidR="00883C32" w:rsidRDefault="00883C32" w:rsidP="009C02F0">
      <w:pPr>
        <w:pStyle w:val="Bulletindent2"/>
      </w:pPr>
      <w:r>
        <w:lastRenderedPageBreak/>
        <w:t>Whe</w:t>
      </w:r>
      <w:r w:rsidR="00BC5726">
        <w:t>n</w:t>
      </w:r>
      <w:r>
        <w:t xml:space="preserve"> possible, the modelled rates of long-term complications </w:t>
      </w:r>
      <w:r w:rsidR="00BC5726">
        <w:t xml:space="preserve">with </w:t>
      </w:r>
      <w:proofErr w:type="spellStart"/>
      <w:r>
        <w:t>caplacizumab</w:t>
      </w:r>
      <w:proofErr w:type="spellEnd"/>
      <w:r>
        <w:t xml:space="preserve"> and standard care alone </w:t>
      </w:r>
      <w:r w:rsidR="00BC5726">
        <w:t xml:space="preserve">should be compared </w:t>
      </w:r>
      <w:r>
        <w:t>with observed data.</w:t>
      </w:r>
    </w:p>
    <w:p w14:paraId="6A4714DB" w14:textId="7B0F34ED" w:rsidR="0038706D" w:rsidRDefault="00FB1F89" w:rsidP="009C02F0">
      <w:pPr>
        <w:pStyle w:val="Bulletindent2"/>
      </w:pPr>
      <w:r>
        <w:t>S</w:t>
      </w:r>
      <w:r w:rsidR="0038706D">
        <w:t>cenario</w:t>
      </w:r>
      <w:r w:rsidR="00D840C3">
        <w:t>s</w:t>
      </w:r>
      <w:r w:rsidR="0038706D">
        <w:t xml:space="preserve"> </w:t>
      </w:r>
      <w:r w:rsidR="00BC5726">
        <w:t xml:space="preserve">in which </w:t>
      </w:r>
      <w:r w:rsidR="0038706D">
        <w:t>former treatment with capl</w:t>
      </w:r>
      <w:r w:rsidR="002849FD">
        <w:t>a</w:t>
      </w:r>
      <w:r w:rsidR="0038706D">
        <w:t xml:space="preserve">cizumab does not extend </w:t>
      </w:r>
      <w:proofErr w:type="gramStart"/>
      <w:r w:rsidR="0038706D">
        <w:t>life</w:t>
      </w:r>
      <w:r w:rsidR="00BC5726">
        <w:t xml:space="preserve"> </w:t>
      </w:r>
      <w:r w:rsidR="00D840C3">
        <w:t xml:space="preserve"> and</w:t>
      </w:r>
      <w:proofErr w:type="gramEnd"/>
      <w:r w:rsidR="00D840C3">
        <w:t xml:space="preserve"> in which </w:t>
      </w:r>
      <w:proofErr w:type="spellStart"/>
      <w:r w:rsidR="00D840C3">
        <w:t>caplacizumab</w:t>
      </w:r>
      <w:proofErr w:type="spellEnd"/>
      <w:r w:rsidR="00D840C3">
        <w:t xml:space="preserve"> does not extend life or reduce complications </w:t>
      </w:r>
      <w:r w:rsidR="00BC5726">
        <w:t xml:space="preserve"> should be considered</w:t>
      </w:r>
      <w:r w:rsidR="0038706D">
        <w:t xml:space="preserve"> in the Markov portion of the model</w:t>
      </w:r>
      <w:r w:rsidR="00BC5726">
        <w:t>.</w:t>
      </w:r>
    </w:p>
    <w:p w14:paraId="00071686" w14:textId="0D2F04E7" w:rsidR="00872C95" w:rsidRPr="00D1229A" w:rsidRDefault="00BC5726" w:rsidP="009C02F0">
      <w:pPr>
        <w:pStyle w:val="Bulletindent1"/>
      </w:pPr>
      <w:r>
        <w:t xml:space="preserve">Utility </w:t>
      </w:r>
      <w:r w:rsidR="00872C95">
        <w:t>values</w:t>
      </w:r>
      <w:r>
        <w:t>:</w:t>
      </w:r>
    </w:p>
    <w:p w14:paraId="74EC8F51" w14:textId="6C0E609F" w:rsidR="005A1EDF" w:rsidRDefault="008F01C2" w:rsidP="009C02F0">
      <w:pPr>
        <w:pStyle w:val="Bulletindent2"/>
      </w:pPr>
      <w:bookmarkStart w:id="5" w:name="_Hlk41555387"/>
      <w:r>
        <w:t>A</w:t>
      </w:r>
      <w:r w:rsidR="00E23998" w:rsidRPr="00D1229A">
        <w:t xml:space="preserve">lternative </w:t>
      </w:r>
      <w:r w:rsidR="007B0E5B" w:rsidRPr="00D1229A">
        <w:t>quality</w:t>
      </w:r>
      <w:r w:rsidR="00514FD6">
        <w:t>-</w:t>
      </w:r>
      <w:r w:rsidR="007B0E5B" w:rsidRPr="00D1229A">
        <w:t>of</w:t>
      </w:r>
      <w:r w:rsidR="00514FD6">
        <w:t>-</w:t>
      </w:r>
      <w:r w:rsidR="007B0E5B" w:rsidRPr="00D1229A">
        <w:t>life scenarios</w:t>
      </w:r>
      <w:r w:rsidR="00514FD6">
        <w:t>,</w:t>
      </w:r>
      <w:r w:rsidR="00E23998" w:rsidRPr="00D1229A">
        <w:t xml:space="preserve"> including</w:t>
      </w:r>
      <w:r w:rsidR="007B0E5B" w:rsidRPr="00D1229A">
        <w:t xml:space="preserve"> </w:t>
      </w:r>
      <w:r w:rsidR="00514FD6">
        <w:t xml:space="preserve">the </w:t>
      </w:r>
      <w:r w:rsidR="007B0E5B" w:rsidRPr="00D1229A">
        <w:t xml:space="preserve">modelling </w:t>
      </w:r>
      <w:r w:rsidR="00BC5726">
        <w:t xml:space="preserve">of </w:t>
      </w:r>
      <w:r w:rsidR="007B0E5B" w:rsidRPr="00D1229A">
        <w:t xml:space="preserve">worse quality of life during an acute episode of </w:t>
      </w:r>
      <w:r w:rsidR="00206A4C">
        <w:t>acquired TTP</w:t>
      </w:r>
      <w:r w:rsidR="00792A4C" w:rsidRPr="00D1229A">
        <w:t xml:space="preserve"> (see section</w:t>
      </w:r>
      <w:r w:rsidR="00514FD6">
        <w:t> </w:t>
      </w:r>
      <w:r w:rsidR="00792A4C" w:rsidRPr="00D1229A">
        <w:t>3.11)</w:t>
      </w:r>
      <w:r>
        <w:t xml:space="preserve"> should be provided</w:t>
      </w:r>
      <w:r w:rsidR="007B0E5B" w:rsidRPr="00D1229A">
        <w:t>.</w:t>
      </w:r>
    </w:p>
    <w:p w14:paraId="195A22E9" w14:textId="5C4766C0" w:rsidR="00872C95" w:rsidRDefault="00883C32" w:rsidP="009C02F0">
      <w:pPr>
        <w:pStyle w:val="Bulletindent1"/>
      </w:pPr>
      <w:r>
        <w:t>Scenario analys</w:t>
      </w:r>
      <w:r w:rsidR="008C08ED">
        <w:t>e</w:t>
      </w:r>
      <w:r>
        <w:t>s</w:t>
      </w:r>
      <w:r w:rsidR="00BC5726">
        <w:t>:</w:t>
      </w:r>
    </w:p>
    <w:p w14:paraId="3FD52DE9" w14:textId="0701C101" w:rsidR="00872C95" w:rsidRPr="00872C95" w:rsidRDefault="008F01C2" w:rsidP="009C02F0">
      <w:pPr>
        <w:pStyle w:val="Bulletindent2"/>
      </w:pPr>
      <w:r>
        <w:t>A</w:t>
      </w:r>
      <w:r w:rsidR="00883C32">
        <w:t xml:space="preserve"> range of scenarios including conservative assumptions on the relative risk of short- and long-term mortality and long-term complications</w:t>
      </w:r>
      <w:r>
        <w:t xml:space="preserve"> should be presented</w:t>
      </w:r>
      <w:r w:rsidR="00717EEB">
        <w:t>.</w:t>
      </w:r>
    </w:p>
    <w:bookmarkEnd w:id="5"/>
    <w:p w14:paraId="74F12640" w14:textId="139C2B80" w:rsidR="00096ABE" w:rsidRPr="00D1229A" w:rsidRDefault="00B32EAF" w:rsidP="00096ABE">
      <w:pPr>
        <w:pStyle w:val="Heading3"/>
      </w:pPr>
      <w:r w:rsidRPr="00D1229A">
        <w:t>C</w:t>
      </w:r>
      <w:r w:rsidR="00096ABE" w:rsidRPr="00D1229A">
        <w:t xml:space="preserve">aplacizumab is innovative </w:t>
      </w:r>
      <w:r w:rsidRPr="00D1229A">
        <w:t>but the extent to which it is a step change in treatment remains unclear</w:t>
      </w:r>
    </w:p>
    <w:p w14:paraId="33941D49" w14:textId="6648A4E3" w:rsidR="006A5C89" w:rsidRPr="00D1229A" w:rsidRDefault="00C375AB" w:rsidP="006A5C89">
      <w:pPr>
        <w:pStyle w:val="Numberedlevel2text"/>
        <w:rPr>
          <w:lang w:val="en-GB"/>
        </w:rPr>
      </w:pPr>
      <w:r>
        <w:rPr>
          <w:lang w:val="en-GB"/>
        </w:rPr>
        <w:t>C</w:t>
      </w:r>
      <w:r w:rsidR="00115B70" w:rsidRPr="00D1229A">
        <w:rPr>
          <w:lang w:val="en-GB"/>
        </w:rPr>
        <w:t xml:space="preserve">aplacizumab is the first new treatment for </w:t>
      </w:r>
      <w:r w:rsidR="00206A4C">
        <w:rPr>
          <w:lang w:val="en-GB"/>
        </w:rPr>
        <w:t>acquired TTP</w:t>
      </w:r>
      <w:r w:rsidR="00115B70" w:rsidRPr="00D1229A">
        <w:rPr>
          <w:lang w:val="en-GB"/>
        </w:rPr>
        <w:t xml:space="preserve"> in </w:t>
      </w:r>
      <w:r>
        <w:rPr>
          <w:lang w:val="en-GB"/>
        </w:rPr>
        <w:t>about</w:t>
      </w:r>
      <w:r w:rsidRPr="00D1229A">
        <w:rPr>
          <w:lang w:val="en-GB"/>
        </w:rPr>
        <w:t xml:space="preserve"> </w:t>
      </w:r>
      <w:r w:rsidR="00115B70" w:rsidRPr="00D1229A">
        <w:rPr>
          <w:lang w:val="en-GB"/>
        </w:rPr>
        <w:t>25</w:t>
      </w:r>
      <w:r>
        <w:rPr>
          <w:lang w:val="en-GB"/>
        </w:rPr>
        <w:t> </w:t>
      </w:r>
      <w:r w:rsidR="00115B70" w:rsidRPr="00D1229A">
        <w:rPr>
          <w:lang w:val="en-GB"/>
        </w:rPr>
        <w:t>years</w:t>
      </w:r>
      <w:r>
        <w:rPr>
          <w:lang w:val="en-GB"/>
        </w:rPr>
        <w:t>. It</w:t>
      </w:r>
      <w:r w:rsidR="00115B70" w:rsidRPr="00D1229A">
        <w:rPr>
          <w:lang w:val="en-GB"/>
        </w:rPr>
        <w:t xml:space="preserve"> has a different mechanism of action to the other drugs and treatments </w:t>
      </w:r>
      <w:r>
        <w:rPr>
          <w:lang w:val="en-GB"/>
        </w:rPr>
        <w:t>that</w:t>
      </w:r>
      <w:r w:rsidRPr="00D1229A">
        <w:rPr>
          <w:lang w:val="en-GB"/>
        </w:rPr>
        <w:t xml:space="preserve"> </w:t>
      </w:r>
      <w:r w:rsidR="00115B70" w:rsidRPr="00D1229A">
        <w:rPr>
          <w:lang w:val="en-GB"/>
        </w:rPr>
        <w:t>form current standard care. Caplacizumab has additional benefits to standard care</w:t>
      </w:r>
      <w:r>
        <w:rPr>
          <w:lang w:val="en-GB"/>
        </w:rPr>
        <w:t xml:space="preserve">. However, the committee thought the extent to which it is a step change in the treatment of </w:t>
      </w:r>
      <w:r w:rsidR="00206A4C">
        <w:rPr>
          <w:lang w:val="en-GB"/>
        </w:rPr>
        <w:t>acquired TTP</w:t>
      </w:r>
      <w:r>
        <w:rPr>
          <w:lang w:val="en-GB"/>
        </w:rPr>
        <w:t xml:space="preserve"> was unclear</w:t>
      </w:r>
      <w:r w:rsidR="00115B70" w:rsidRPr="00D1229A">
        <w:rPr>
          <w:lang w:val="en-GB"/>
        </w:rPr>
        <w:t xml:space="preserve"> because of the uncertainty </w:t>
      </w:r>
      <w:r>
        <w:rPr>
          <w:lang w:val="en-GB"/>
        </w:rPr>
        <w:t>about</w:t>
      </w:r>
      <w:r w:rsidRPr="00D1229A">
        <w:rPr>
          <w:lang w:val="en-GB"/>
        </w:rPr>
        <w:t xml:space="preserve"> </w:t>
      </w:r>
      <w:r w:rsidR="00115B70" w:rsidRPr="00D1229A">
        <w:rPr>
          <w:lang w:val="en-GB"/>
        </w:rPr>
        <w:t>its effect on overall survival and long</w:t>
      </w:r>
      <w:r>
        <w:rPr>
          <w:lang w:val="en-GB"/>
        </w:rPr>
        <w:t>-</w:t>
      </w:r>
      <w:r w:rsidR="00115B70" w:rsidRPr="00D1229A">
        <w:rPr>
          <w:lang w:val="en-GB"/>
        </w:rPr>
        <w:t xml:space="preserve">term complications. </w:t>
      </w:r>
      <w:r>
        <w:rPr>
          <w:lang w:val="en-GB"/>
        </w:rPr>
        <w:t>It</w:t>
      </w:r>
      <w:r w:rsidR="00115B70" w:rsidRPr="00D1229A">
        <w:rPr>
          <w:lang w:val="en-GB"/>
        </w:rPr>
        <w:t xml:space="preserve"> noted that there were benefits which may not have been captured in the </w:t>
      </w:r>
      <w:r w:rsidR="00040F0E" w:rsidRPr="00D1229A">
        <w:rPr>
          <w:lang w:val="en-GB"/>
        </w:rPr>
        <w:t xml:space="preserve">QALY </w:t>
      </w:r>
      <w:r w:rsidR="00115B70" w:rsidRPr="00D1229A">
        <w:rPr>
          <w:lang w:val="en-GB"/>
        </w:rPr>
        <w:t>calculation such as</w:t>
      </w:r>
      <w:r w:rsidR="00BF0767" w:rsidRPr="00D1229A">
        <w:rPr>
          <w:lang w:val="en-GB"/>
        </w:rPr>
        <w:t>:</w:t>
      </w:r>
    </w:p>
    <w:p w14:paraId="2BD9C0E0" w14:textId="372E6AE6" w:rsidR="00BF0767" w:rsidRPr="00D1229A" w:rsidRDefault="00C375AB" w:rsidP="00BF0767">
      <w:pPr>
        <w:pStyle w:val="Bulletindent1"/>
      </w:pPr>
      <w:r>
        <w:t>t</w:t>
      </w:r>
      <w:r w:rsidR="00BF0767" w:rsidRPr="00D1229A">
        <w:t xml:space="preserve">he </w:t>
      </w:r>
      <w:r>
        <w:t>effect</w:t>
      </w:r>
      <w:r w:rsidRPr="00D1229A">
        <w:t xml:space="preserve"> </w:t>
      </w:r>
      <w:r w:rsidR="00BF0767" w:rsidRPr="00D1229A">
        <w:t xml:space="preserve">of caplacizumab in reducing plasma exchange </w:t>
      </w:r>
      <w:r w:rsidRPr="00D1229A">
        <w:t xml:space="preserve">duration </w:t>
      </w:r>
      <w:r w:rsidR="00BF0767" w:rsidRPr="00D1229A">
        <w:t xml:space="preserve">on the number of </w:t>
      </w:r>
      <w:r w:rsidRPr="00D1229A">
        <w:t xml:space="preserve">central lines </w:t>
      </w:r>
      <w:r w:rsidR="00BF0767" w:rsidRPr="00D1229A">
        <w:t>replacements a patient would need</w:t>
      </w:r>
      <w:r w:rsidR="00B51B5F">
        <w:t>, how this reduces the risk of infection</w:t>
      </w:r>
      <w:r w:rsidR="00BF0767" w:rsidRPr="00D1229A">
        <w:t xml:space="preserve"> and </w:t>
      </w:r>
      <w:r>
        <w:t>how this would affect a</w:t>
      </w:r>
      <w:r w:rsidR="00BF0767" w:rsidRPr="00D1229A">
        <w:t xml:space="preserve"> </w:t>
      </w:r>
      <w:r w:rsidR="00040F0E" w:rsidRPr="00D1229A">
        <w:t>patient’s</w:t>
      </w:r>
      <w:r w:rsidR="00BF0767" w:rsidRPr="00D1229A">
        <w:t xml:space="preserve"> quality of life</w:t>
      </w:r>
    </w:p>
    <w:p w14:paraId="3FA45FCB" w14:textId="6C5A91CB" w:rsidR="00BF0767" w:rsidRPr="00D1229A" w:rsidRDefault="00C375AB" w:rsidP="00BF0767">
      <w:pPr>
        <w:pStyle w:val="Bulletindent1"/>
      </w:pPr>
      <w:r>
        <w:t>t</w:t>
      </w:r>
      <w:r w:rsidR="00BF0767" w:rsidRPr="00D1229A">
        <w:t xml:space="preserve">he </w:t>
      </w:r>
      <w:r>
        <w:t>effect</w:t>
      </w:r>
      <w:r w:rsidRPr="00D1229A">
        <w:t xml:space="preserve"> </w:t>
      </w:r>
      <w:r>
        <w:t>that</w:t>
      </w:r>
      <w:r w:rsidR="00F42C21" w:rsidRPr="00D1229A">
        <w:t xml:space="preserve"> knowing another treatment exists</w:t>
      </w:r>
      <w:r>
        <w:t xml:space="preserve"> would have on anxiety</w:t>
      </w:r>
    </w:p>
    <w:p w14:paraId="0F9470B5" w14:textId="2B06F8D9" w:rsidR="0082790D" w:rsidRPr="00D1229A" w:rsidRDefault="00C375AB" w:rsidP="00250D5C">
      <w:pPr>
        <w:pStyle w:val="Bulletindent1last"/>
      </w:pPr>
      <w:r>
        <w:lastRenderedPageBreak/>
        <w:t>t</w:t>
      </w:r>
      <w:r w:rsidR="002D17F3" w:rsidRPr="00D1229A">
        <w:t xml:space="preserve">he broader positive </w:t>
      </w:r>
      <w:r>
        <w:t>effect</w:t>
      </w:r>
      <w:r w:rsidRPr="00D1229A">
        <w:t xml:space="preserve"> </w:t>
      </w:r>
      <w:r w:rsidR="002D17F3" w:rsidRPr="00D1229A">
        <w:t>on the NHS of reducing the use of scarce NHS resources, such as plasma.</w:t>
      </w:r>
      <w:r>
        <w:br/>
      </w:r>
      <w:r>
        <w:br/>
      </w:r>
      <w:r w:rsidR="00BF0767" w:rsidRPr="00D1229A">
        <w:t xml:space="preserve">Overall, the committee concluded that caplacizumab </w:t>
      </w:r>
      <w:r>
        <w:t>i</w:t>
      </w:r>
      <w:r w:rsidR="00BF0767" w:rsidRPr="00D1229A">
        <w:t xml:space="preserve">s </w:t>
      </w:r>
      <w:r w:rsidR="008C78D2" w:rsidRPr="00D1229A">
        <w:t xml:space="preserve">likely </w:t>
      </w:r>
      <w:r w:rsidR="00BF0767" w:rsidRPr="00D1229A">
        <w:t>innovative</w:t>
      </w:r>
      <w:r w:rsidR="008C78D2" w:rsidRPr="00D1229A">
        <w:t>,</w:t>
      </w:r>
      <w:r w:rsidR="00B32EAF" w:rsidRPr="00D1229A">
        <w:t xml:space="preserve"> but the extent to which it </w:t>
      </w:r>
      <w:r>
        <w:t>is</w:t>
      </w:r>
      <w:r w:rsidRPr="00D1229A">
        <w:t xml:space="preserve"> </w:t>
      </w:r>
      <w:r w:rsidR="00B32EAF" w:rsidRPr="00D1229A">
        <w:t>a step</w:t>
      </w:r>
      <w:r w:rsidR="00AD3431">
        <w:t xml:space="preserve"> change</w:t>
      </w:r>
      <w:r w:rsidR="00B32EAF" w:rsidRPr="00D1229A">
        <w:t xml:space="preserve"> in treatment </w:t>
      </w:r>
      <w:r w:rsidR="00DE0D57" w:rsidRPr="00D1229A">
        <w:t xml:space="preserve">for </w:t>
      </w:r>
      <w:r w:rsidR="00206A4C">
        <w:t>acquired TTP</w:t>
      </w:r>
      <w:r w:rsidR="00DE0D57" w:rsidRPr="00D1229A">
        <w:t xml:space="preserve"> </w:t>
      </w:r>
      <w:r w:rsidRPr="00D1229A">
        <w:t>remain</w:t>
      </w:r>
      <w:r>
        <w:t>ed</w:t>
      </w:r>
      <w:r w:rsidRPr="00D1229A">
        <w:t xml:space="preserve"> </w:t>
      </w:r>
      <w:r w:rsidR="00A50EDF" w:rsidRPr="00D1229A">
        <w:t>unclear</w:t>
      </w:r>
      <w:r>
        <w:t>.</w:t>
      </w:r>
    </w:p>
    <w:p w14:paraId="37FE154F" w14:textId="45855913" w:rsidR="0082790D" w:rsidRPr="00D1229A" w:rsidRDefault="0082790D" w:rsidP="0082790D">
      <w:pPr>
        <w:pStyle w:val="Heading3"/>
      </w:pPr>
      <w:r w:rsidRPr="00D1229A">
        <w:t>Further data collection through a managed access agreement could reduce the risk to the NHS</w:t>
      </w:r>
    </w:p>
    <w:p w14:paraId="29843C43" w14:textId="3FDF82F3" w:rsidR="0082790D" w:rsidRPr="00D1229A" w:rsidRDefault="0082790D" w:rsidP="0082790D">
      <w:pPr>
        <w:pStyle w:val="Numberedlevel2text"/>
        <w:numPr>
          <w:ilvl w:val="1"/>
          <w:numId w:val="1"/>
        </w:numPr>
        <w:rPr>
          <w:lang w:val="en-GB"/>
        </w:rPr>
      </w:pPr>
      <w:r w:rsidRPr="00D1229A">
        <w:rPr>
          <w:lang w:val="en-GB"/>
        </w:rPr>
        <w:t>The committee was aware that NICE has published guidance that include</w:t>
      </w:r>
      <w:r w:rsidR="007D2D48" w:rsidRPr="00D1229A">
        <w:rPr>
          <w:lang w:val="en-GB"/>
        </w:rPr>
        <w:t>s</w:t>
      </w:r>
      <w:r w:rsidRPr="00D1229A">
        <w:rPr>
          <w:lang w:val="en-GB"/>
        </w:rPr>
        <w:t xml:space="preserve"> time-limited managed access agreements</w:t>
      </w:r>
      <w:r w:rsidR="008E1EDF">
        <w:rPr>
          <w:lang w:val="en-GB"/>
        </w:rPr>
        <w:t>.</w:t>
      </w:r>
      <w:r w:rsidR="00C375AB">
        <w:rPr>
          <w:lang w:val="en-GB"/>
        </w:rPr>
        <w:t xml:space="preserve"> T</w:t>
      </w:r>
      <w:r w:rsidR="008C78D2" w:rsidRPr="00D1229A">
        <w:rPr>
          <w:lang w:val="en-GB"/>
        </w:rPr>
        <w:t xml:space="preserve">hese </w:t>
      </w:r>
      <w:r w:rsidRPr="00D1229A">
        <w:rPr>
          <w:lang w:val="en-GB"/>
        </w:rPr>
        <w:t xml:space="preserve">are </w:t>
      </w:r>
      <w:r w:rsidR="008C78D2" w:rsidRPr="00D1229A">
        <w:rPr>
          <w:lang w:val="en-GB"/>
        </w:rPr>
        <w:t xml:space="preserve">temporary </w:t>
      </w:r>
      <w:r w:rsidRPr="00D1229A">
        <w:rPr>
          <w:lang w:val="en-GB"/>
        </w:rPr>
        <w:t>commercial agreement</w:t>
      </w:r>
      <w:r w:rsidR="007D2D48" w:rsidRPr="00D1229A">
        <w:rPr>
          <w:lang w:val="en-GB"/>
        </w:rPr>
        <w:t>s</w:t>
      </w:r>
      <w:r w:rsidRPr="00D1229A">
        <w:rPr>
          <w:lang w:val="en-GB"/>
        </w:rPr>
        <w:t xml:space="preserve"> to manage high</w:t>
      </w:r>
      <w:r w:rsidR="00C375AB">
        <w:rPr>
          <w:lang w:val="en-GB"/>
        </w:rPr>
        <w:t>-</w:t>
      </w:r>
      <w:r w:rsidRPr="00D1229A">
        <w:rPr>
          <w:lang w:val="en-GB"/>
        </w:rPr>
        <w:t xml:space="preserve">level clinical uncertainty </w:t>
      </w:r>
      <w:r w:rsidR="007D2D48" w:rsidRPr="00D1229A">
        <w:rPr>
          <w:lang w:val="en-GB"/>
        </w:rPr>
        <w:t>while</w:t>
      </w:r>
      <w:r w:rsidRPr="00D1229A">
        <w:rPr>
          <w:lang w:val="en-GB"/>
        </w:rPr>
        <w:t xml:space="preserve"> </w:t>
      </w:r>
      <w:r w:rsidR="007D2D48" w:rsidRPr="00D1229A">
        <w:rPr>
          <w:lang w:val="en-GB"/>
        </w:rPr>
        <w:t xml:space="preserve">collecting </w:t>
      </w:r>
      <w:r w:rsidRPr="00D1229A">
        <w:rPr>
          <w:lang w:val="en-GB"/>
        </w:rPr>
        <w:t xml:space="preserve">data from ongoing trials and NHS clinical practice to resolve these uncertainties before a NICE review. The committee considered that a managed access arrangement could reduce the risk to the NHS in this case. It recognised that a managed access agreement </w:t>
      </w:r>
      <w:r w:rsidR="00C375AB">
        <w:rPr>
          <w:lang w:val="en-GB"/>
        </w:rPr>
        <w:t>needs</w:t>
      </w:r>
      <w:r w:rsidR="00C375AB" w:rsidRPr="00D1229A">
        <w:rPr>
          <w:lang w:val="en-GB"/>
        </w:rPr>
        <w:t xml:space="preserve"> </w:t>
      </w:r>
      <w:r w:rsidRPr="00D1229A">
        <w:rPr>
          <w:lang w:val="en-GB"/>
        </w:rPr>
        <w:t>NHS England and Improvement, NICE, the company and relevant data holders to sign up to it. The committee concluded that the feasibility of a managed access agreement should be explored</w:t>
      </w:r>
      <w:r w:rsidR="008C78D2" w:rsidRPr="00D1229A">
        <w:rPr>
          <w:lang w:val="en-GB"/>
        </w:rPr>
        <w:t xml:space="preserve"> using the committee’s preferred assumptions around modelling</w:t>
      </w:r>
      <w:r w:rsidRPr="00D1229A">
        <w:rPr>
          <w:lang w:val="en-GB"/>
        </w:rPr>
        <w:t>.</w:t>
      </w:r>
    </w:p>
    <w:p w14:paraId="492DE442" w14:textId="69D9E22F" w:rsidR="004B7D57" w:rsidRPr="00D1229A" w:rsidRDefault="004B7D57" w:rsidP="004B7D57">
      <w:pPr>
        <w:pStyle w:val="Heading3"/>
      </w:pPr>
      <w:r w:rsidRPr="00D1229A">
        <w:t>Because of the uncertainty</w:t>
      </w:r>
      <w:r w:rsidR="00503CE6">
        <w:t xml:space="preserve"> in the clinical and economic evidence</w:t>
      </w:r>
      <w:r w:rsidR="00883C32">
        <w:t xml:space="preserve"> it is not possible to determine an acceptable ICER</w:t>
      </w:r>
    </w:p>
    <w:p w14:paraId="42BF48C8" w14:textId="6955EA7A" w:rsidR="004B7D57" w:rsidRDefault="00EF3459" w:rsidP="00503CE6">
      <w:pPr>
        <w:pStyle w:val="Numberedlevel2text"/>
        <w:numPr>
          <w:ilvl w:val="1"/>
          <w:numId w:val="1"/>
        </w:numPr>
        <w:rPr>
          <w:lang w:val="en-GB"/>
        </w:rPr>
      </w:pPr>
      <w:hyperlink r:id="rId12" w:history="1">
        <w:r w:rsidR="004B7D57" w:rsidRPr="00D1229A">
          <w:rPr>
            <w:rStyle w:val="Hyperlink"/>
            <w:lang w:val="en-GB"/>
          </w:rPr>
          <w:t>NICE’s guide to the methods of technology appraisal</w:t>
        </w:r>
      </w:hyperlink>
      <w:r w:rsidR="004B7D57" w:rsidRPr="00D1229A">
        <w:rPr>
          <w:lang w:val="en-GB"/>
        </w:rPr>
        <w:t xml:space="preserve"> notes that above a most plausible ICER of £20,000 per QALY gained, judgements about the acceptability of a technology as an effective use of NHS resources will take into account the degree of certainty around the ICER. </w:t>
      </w:r>
      <w:r w:rsidR="00503CE6">
        <w:rPr>
          <w:lang w:val="en-GB"/>
        </w:rPr>
        <w:t xml:space="preserve">It states that </w:t>
      </w:r>
      <w:r w:rsidR="00C375AB">
        <w:rPr>
          <w:lang w:val="en-GB"/>
        </w:rPr>
        <w:t>a</w:t>
      </w:r>
      <w:r w:rsidR="004B7D57" w:rsidRPr="00D1229A">
        <w:rPr>
          <w:lang w:val="en-GB"/>
        </w:rPr>
        <w:t xml:space="preserve"> committee will be more cautious about recommending a technology if it is less certain about the ICERs presented. Because of the high level of uncertainty in the </w:t>
      </w:r>
      <w:r w:rsidR="00DE0D57" w:rsidRPr="00D1229A">
        <w:rPr>
          <w:lang w:val="en-GB"/>
        </w:rPr>
        <w:t xml:space="preserve">clinical and economic </w:t>
      </w:r>
      <w:r w:rsidR="004B7D57" w:rsidRPr="00D1229A">
        <w:rPr>
          <w:lang w:val="en-GB"/>
        </w:rPr>
        <w:t>evidence</w:t>
      </w:r>
      <w:r w:rsidR="00503CE6">
        <w:rPr>
          <w:lang w:val="en-GB"/>
        </w:rPr>
        <w:t xml:space="preserve"> for caplacizumab</w:t>
      </w:r>
      <w:r w:rsidR="004B7D57" w:rsidRPr="00D1229A">
        <w:rPr>
          <w:lang w:val="en-GB"/>
        </w:rPr>
        <w:t xml:space="preserve">, the committee agreed that </w:t>
      </w:r>
      <w:r w:rsidR="00883C32">
        <w:rPr>
          <w:lang w:val="en-GB"/>
        </w:rPr>
        <w:t>it was not possible to determine an acceptable ICER.</w:t>
      </w:r>
    </w:p>
    <w:p w14:paraId="773C4C13" w14:textId="187D2A7E" w:rsidR="008D2817" w:rsidRDefault="008D2817" w:rsidP="008D2817">
      <w:pPr>
        <w:pStyle w:val="Heading2"/>
      </w:pPr>
      <w:r>
        <w:lastRenderedPageBreak/>
        <w:t>Conclusion</w:t>
      </w:r>
    </w:p>
    <w:p w14:paraId="14D3EACF" w14:textId="66D6F364" w:rsidR="008D2817" w:rsidRDefault="008D2817" w:rsidP="00EA17AF">
      <w:pPr>
        <w:pStyle w:val="Heading3"/>
      </w:pPr>
      <w:r>
        <w:t xml:space="preserve">Caplacizumab is not recommended for </w:t>
      </w:r>
      <w:r w:rsidR="00387A13">
        <w:t xml:space="preserve">an </w:t>
      </w:r>
      <w:r>
        <w:t xml:space="preserve">acute </w:t>
      </w:r>
      <w:r w:rsidR="00387A13">
        <w:t xml:space="preserve">episode of </w:t>
      </w:r>
      <w:r w:rsidR="00206A4C">
        <w:t>acquired TTP</w:t>
      </w:r>
    </w:p>
    <w:p w14:paraId="5C9CC396" w14:textId="7E8FF204" w:rsidR="008D2817" w:rsidRPr="008D2817" w:rsidRDefault="007F44CE" w:rsidP="00EA17AF">
      <w:pPr>
        <w:pStyle w:val="Numberedlevel2text"/>
      </w:pPr>
      <w:r>
        <w:rPr>
          <w:lang w:val="en-US"/>
        </w:rPr>
        <w:t xml:space="preserve">The committee stated that </w:t>
      </w:r>
      <w:r w:rsidRPr="00D1229A">
        <w:t>neither the company</w:t>
      </w:r>
      <w:r>
        <w:t>’s</w:t>
      </w:r>
      <w:r w:rsidRPr="00D1229A">
        <w:t xml:space="preserve"> nor the ERG</w:t>
      </w:r>
      <w:r>
        <w:t>’s</w:t>
      </w:r>
      <w:r w:rsidRPr="00D1229A">
        <w:t xml:space="preserve"> cost</w:t>
      </w:r>
      <w:r>
        <w:t>-</w:t>
      </w:r>
      <w:r w:rsidRPr="00D1229A">
        <w:t>effectiveness estimates accounted for the uncertainty around the assumptions in the economic model</w:t>
      </w:r>
      <w:r>
        <w:t>,</w:t>
      </w:r>
      <w:r w:rsidRPr="00D1229A">
        <w:t xml:space="preserve"> particularly those around death rates</w:t>
      </w:r>
      <w:r w:rsidR="00717EEB">
        <w:rPr>
          <w:lang w:val="en-GB"/>
        </w:rPr>
        <w:t xml:space="preserve"> and risk of long-term complications</w:t>
      </w:r>
      <w:r w:rsidRPr="00D1229A">
        <w:t>.</w:t>
      </w:r>
      <w:r>
        <w:rPr>
          <w:lang w:val="en-US"/>
        </w:rPr>
        <w:t xml:space="preserve"> It considered that caplacizumab may reduce the chance of death around an acute episode but the extent of the benefit was unclear. There was even less evidence to support</w:t>
      </w:r>
      <w:r w:rsidR="003356ED">
        <w:rPr>
          <w:lang w:val="en-US"/>
        </w:rPr>
        <w:t xml:space="preserve"> reduced long-term complications with</w:t>
      </w:r>
      <w:r>
        <w:rPr>
          <w:lang w:val="en-US"/>
        </w:rPr>
        <w:t xml:space="preserve"> </w:t>
      </w:r>
      <w:proofErr w:type="spellStart"/>
      <w:r>
        <w:rPr>
          <w:lang w:val="en-US"/>
        </w:rPr>
        <w:t>caplacizumab</w:t>
      </w:r>
      <w:proofErr w:type="spellEnd"/>
      <w:r>
        <w:rPr>
          <w:lang w:val="en-US"/>
        </w:rPr>
        <w:t xml:space="preserve"> </w:t>
      </w:r>
      <w:r w:rsidR="003356ED">
        <w:rPr>
          <w:lang w:val="en-US"/>
        </w:rPr>
        <w:t xml:space="preserve">used </w:t>
      </w:r>
      <w:r>
        <w:rPr>
          <w:lang w:val="en-US"/>
        </w:rPr>
        <w:t>around an acute episode</w:t>
      </w:r>
      <w:r w:rsidR="00EA17AF">
        <w:rPr>
          <w:lang w:val="en-US"/>
        </w:rPr>
        <w:t xml:space="preserve"> compared with standard care alone</w:t>
      </w:r>
      <w:r>
        <w:rPr>
          <w:lang w:val="en-US"/>
        </w:rPr>
        <w:t xml:space="preserve">. </w:t>
      </w:r>
      <w:r w:rsidR="00EA17AF">
        <w:rPr>
          <w:lang w:val="en-US"/>
        </w:rPr>
        <w:t>Given the uncertainty</w:t>
      </w:r>
      <w:r w:rsidR="003356ED">
        <w:rPr>
          <w:lang w:val="en-US"/>
        </w:rPr>
        <w:t>,</w:t>
      </w:r>
      <w:r w:rsidR="00EA17AF">
        <w:rPr>
          <w:lang w:val="en-US"/>
        </w:rPr>
        <w:t xml:space="preserve"> t</w:t>
      </w:r>
      <w:r>
        <w:rPr>
          <w:lang w:val="en-US"/>
        </w:rPr>
        <w:t>he committee considered that</w:t>
      </w:r>
      <w:r w:rsidR="00EA17AF">
        <w:rPr>
          <w:lang w:val="en-US"/>
        </w:rPr>
        <w:t xml:space="preserve"> it was appropriate to use more conservative assumptions </w:t>
      </w:r>
      <w:r w:rsidR="003356ED">
        <w:rPr>
          <w:lang w:val="en-US"/>
        </w:rPr>
        <w:t xml:space="preserve">for </w:t>
      </w:r>
      <w:r w:rsidR="00EA17AF">
        <w:rPr>
          <w:lang w:val="en-US"/>
        </w:rPr>
        <w:t>benefit</w:t>
      </w:r>
      <w:r w:rsidR="003356ED">
        <w:rPr>
          <w:lang w:val="en-US"/>
        </w:rPr>
        <w:t>s</w:t>
      </w:r>
      <w:r w:rsidR="00EA17AF">
        <w:rPr>
          <w:lang w:val="en-US"/>
        </w:rPr>
        <w:t xml:space="preserve"> </w:t>
      </w:r>
      <w:r w:rsidR="003356ED">
        <w:rPr>
          <w:lang w:val="en-US"/>
        </w:rPr>
        <w:t xml:space="preserve">on mortality and long-term complications with </w:t>
      </w:r>
      <w:proofErr w:type="spellStart"/>
      <w:r w:rsidR="00EA17AF">
        <w:rPr>
          <w:lang w:val="en-US"/>
        </w:rPr>
        <w:t>caplacizumab</w:t>
      </w:r>
      <w:proofErr w:type="spellEnd"/>
      <w:r w:rsidR="00EA17AF">
        <w:rPr>
          <w:lang w:val="en-US"/>
        </w:rPr>
        <w:t xml:space="preserve"> compared with standard care alone </w:t>
      </w:r>
      <w:r w:rsidR="00717EEB">
        <w:rPr>
          <w:lang w:val="en-US"/>
        </w:rPr>
        <w:t xml:space="preserve">than </w:t>
      </w:r>
      <w:r w:rsidR="003356ED">
        <w:rPr>
          <w:lang w:val="en-US"/>
        </w:rPr>
        <w:t>those</w:t>
      </w:r>
      <w:r w:rsidR="00717EEB">
        <w:rPr>
          <w:lang w:val="en-US"/>
        </w:rPr>
        <w:t xml:space="preserve"> in the company base case</w:t>
      </w:r>
      <w:r w:rsidR="003356ED">
        <w:rPr>
          <w:lang w:val="en-US"/>
        </w:rPr>
        <w:t xml:space="preserve">. It </w:t>
      </w:r>
      <w:r w:rsidR="009C02F0">
        <w:rPr>
          <w:lang w:val="en-US"/>
        </w:rPr>
        <w:t xml:space="preserve">noted </w:t>
      </w:r>
      <w:r w:rsidR="003356ED">
        <w:rPr>
          <w:lang w:val="en-US"/>
        </w:rPr>
        <w:t xml:space="preserve">that doing </w:t>
      </w:r>
      <w:r w:rsidR="009C02F0">
        <w:rPr>
          <w:lang w:val="en-US"/>
        </w:rPr>
        <w:t xml:space="preserve">this </w:t>
      </w:r>
      <w:r w:rsidR="00EA17AF">
        <w:rPr>
          <w:lang w:val="en-US"/>
        </w:rPr>
        <w:t>would increase the ICER. The committee concluded that it was not possible to determine the most plausible ICER</w:t>
      </w:r>
      <w:r w:rsidR="003356ED">
        <w:rPr>
          <w:lang w:val="en-US"/>
        </w:rPr>
        <w:t xml:space="preserve"> for caplacizumab compared with standard care alone. However</w:t>
      </w:r>
      <w:r w:rsidR="00717EEB">
        <w:rPr>
          <w:lang w:val="en-US"/>
        </w:rPr>
        <w:t>,</w:t>
      </w:r>
      <w:r w:rsidR="00EA17AF">
        <w:rPr>
          <w:lang w:val="en-US"/>
        </w:rPr>
        <w:t xml:space="preserve"> </w:t>
      </w:r>
      <w:r w:rsidR="003356ED">
        <w:rPr>
          <w:lang w:val="en-US"/>
        </w:rPr>
        <w:t xml:space="preserve">it concluded that </w:t>
      </w:r>
      <w:r w:rsidR="00EA17AF">
        <w:rPr>
          <w:lang w:val="en-US"/>
        </w:rPr>
        <w:t>using more conservative assumptions would increase the ICER above the range considered to be a cost</w:t>
      </w:r>
      <w:r w:rsidR="003356ED">
        <w:rPr>
          <w:lang w:val="en-US"/>
        </w:rPr>
        <w:t>-</w:t>
      </w:r>
      <w:r w:rsidR="00EA17AF">
        <w:rPr>
          <w:lang w:val="en-US"/>
        </w:rPr>
        <w:t>effective use of NHS resources.</w:t>
      </w:r>
    </w:p>
    <w:p w14:paraId="468B5E41" w14:textId="77777777" w:rsidR="000F48EC" w:rsidRPr="00D1229A" w:rsidRDefault="007A2801" w:rsidP="002E73E7">
      <w:pPr>
        <w:pStyle w:val="Numberedheading1"/>
      </w:pPr>
      <w:r w:rsidRPr="00D1229A">
        <w:t xml:space="preserve">Proposed date for </w:t>
      </w:r>
      <w:r w:rsidR="00000441" w:rsidRPr="00D1229A">
        <w:t>r</w:t>
      </w:r>
      <w:r w:rsidR="000F48EC" w:rsidRPr="00D1229A">
        <w:t>eview of guidance</w:t>
      </w:r>
    </w:p>
    <w:p w14:paraId="6BABCCBC" w14:textId="7CDD62A8" w:rsidR="001823EB" w:rsidRPr="00D1229A" w:rsidRDefault="001823EB" w:rsidP="001823EB">
      <w:pPr>
        <w:pStyle w:val="Numberedlevel2text"/>
        <w:rPr>
          <w:lang w:val="en-GB"/>
        </w:rPr>
      </w:pPr>
      <w:r w:rsidRPr="00D1229A">
        <w:rPr>
          <w:lang w:val="en-GB"/>
        </w:rPr>
        <w:t xml:space="preserve">NICE proposes that the guidance on this technology is considered for review by the </w:t>
      </w:r>
      <w:r w:rsidR="00584F0C" w:rsidRPr="00D1229A">
        <w:rPr>
          <w:lang w:val="en-GB"/>
        </w:rPr>
        <w:t>guidance executive</w:t>
      </w:r>
      <w:r w:rsidRPr="00D1229A">
        <w:rPr>
          <w:lang w:val="en-GB"/>
        </w:rPr>
        <w:t xml:space="preserve"> 3 years after publication of the guidance. NICE welcomes comment on this proposed date. The </w:t>
      </w:r>
      <w:r w:rsidR="00584F0C" w:rsidRPr="00D1229A">
        <w:rPr>
          <w:lang w:val="en-GB"/>
        </w:rPr>
        <w:t>guidance executive</w:t>
      </w:r>
      <w:r w:rsidRPr="00D1229A">
        <w:rPr>
          <w:lang w:val="en-GB"/>
        </w:rPr>
        <w:t xml:space="preserve"> will decide whether the technology should be reviewed based on information gathered by NICE, and in consultation with consultees and commentators. </w:t>
      </w:r>
    </w:p>
    <w:p w14:paraId="389596D2" w14:textId="116E5832" w:rsidR="004845D0" w:rsidRPr="00D1229A" w:rsidRDefault="00FF7A88" w:rsidP="00ED5F88">
      <w:pPr>
        <w:pStyle w:val="NICEnormal"/>
      </w:pPr>
      <w:r w:rsidRPr="00D1229A">
        <w:t>Professor Amanda Adler</w:t>
      </w:r>
      <w:r w:rsidR="00503CE6">
        <w:br/>
      </w:r>
      <w:r w:rsidRPr="00D1229A">
        <w:t>A</w:t>
      </w:r>
      <w:r w:rsidR="004845D0" w:rsidRPr="00D1229A">
        <w:t xml:space="preserve">ppraisal </w:t>
      </w:r>
      <w:r w:rsidRPr="00D1229A">
        <w:t>C</w:t>
      </w:r>
      <w:r w:rsidR="004845D0" w:rsidRPr="00D1229A">
        <w:t>ommittee</w:t>
      </w:r>
      <w:r w:rsidR="004845D0" w:rsidRPr="00D1229A">
        <w:br/>
      </w:r>
      <w:r w:rsidR="00D840C3">
        <w:t>June</w:t>
      </w:r>
      <w:r w:rsidR="00735425" w:rsidRPr="00D1229A">
        <w:t xml:space="preserve"> 2020</w:t>
      </w:r>
    </w:p>
    <w:p w14:paraId="5DC7D60C" w14:textId="77777777" w:rsidR="00B16431" w:rsidRPr="00D1229A" w:rsidRDefault="00B16431" w:rsidP="00B16431">
      <w:pPr>
        <w:pStyle w:val="Numberedheading1"/>
        <w:numPr>
          <w:ilvl w:val="0"/>
          <w:numId w:val="1"/>
        </w:numPr>
      </w:pPr>
      <w:r w:rsidRPr="00D1229A">
        <w:lastRenderedPageBreak/>
        <w:t xml:space="preserve">Appraisal </w:t>
      </w:r>
      <w:r w:rsidR="00343B53" w:rsidRPr="00D1229A">
        <w:t>c</w:t>
      </w:r>
      <w:r w:rsidRPr="00D1229A">
        <w:t>ommittee members and NICE project team</w:t>
      </w:r>
    </w:p>
    <w:p w14:paraId="566B6971" w14:textId="77777777" w:rsidR="00B16431" w:rsidRPr="00D1229A" w:rsidRDefault="00B16431" w:rsidP="00B16431">
      <w:pPr>
        <w:pStyle w:val="Heading2"/>
      </w:pPr>
      <w:r w:rsidRPr="00D1229A">
        <w:t xml:space="preserve">Appraisal </w:t>
      </w:r>
      <w:r w:rsidR="00343B53" w:rsidRPr="00D1229A">
        <w:t>c</w:t>
      </w:r>
      <w:r w:rsidRPr="00D1229A">
        <w:t>ommittee members</w:t>
      </w:r>
    </w:p>
    <w:p w14:paraId="71B90125" w14:textId="4D894823" w:rsidR="002F2583" w:rsidRPr="00D1229A" w:rsidRDefault="002F2583" w:rsidP="002F2583">
      <w:pPr>
        <w:pStyle w:val="NICEnormal"/>
        <w:rPr>
          <w:rFonts w:eastAsia="Calibri"/>
        </w:rPr>
      </w:pPr>
      <w:r w:rsidRPr="00D1229A">
        <w:t>The 4</w:t>
      </w:r>
      <w:r w:rsidR="00AC3514">
        <w:t> </w:t>
      </w:r>
      <w:r w:rsidRPr="00D1229A">
        <w:t xml:space="preserve">technology appraisal committees are standing advisory committees of NICE. This topic was considered by </w:t>
      </w:r>
      <w:hyperlink r:id="rId13" w:history="1">
        <w:r w:rsidRPr="00D1229A">
          <w:rPr>
            <w:rStyle w:val="Hyperlink"/>
            <w:rFonts w:eastAsia="Calibri"/>
          </w:rPr>
          <w:t xml:space="preserve">committee </w:t>
        </w:r>
        <w:r w:rsidR="00AC3514">
          <w:rPr>
            <w:rStyle w:val="Hyperlink"/>
            <w:rFonts w:eastAsia="Calibri"/>
          </w:rPr>
          <w:t>B</w:t>
        </w:r>
      </w:hyperlink>
      <w:r w:rsidRPr="00D1229A">
        <w:t>.</w:t>
      </w:r>
    </w:p>
    <w:p w14:paraId="616DD443" w14:textId="26A143B4" w:rsidR="002F2583" w:rsidRPr="00D1229A" w:rsidRDefault="002F2583" w:rsidP="002F2583">
      <w:pPr>
        <w:pStyle w:val="NICEnormal"/>
      </w:pPr>
      <w:r w:rsidRPr="00D1229A">
        <w:t>Committee members are asked to declare any interests in the technology to be appraised. If it is considered there is a conflict of interest, the member is excluded from participating further in that appraisal.</w:t>
      </w:r>
    </w:p>
    <w:p w14:paraId="4D74F6DD" w14:textId="77777777" w:rsidR="002F2583" w:rsidRPr="00D1229A" w:rsidRDefault="002F2583" w:rsidP="002F2583">
      <w:pPr>
        <w:pStyle w:val="NICEnormal"/>
      </w:pPr>
      <w:r w:rsidRPr="00D1229A">
        <w:t xml:space="preserve">The </w:t>
      </w:r>
      <w:hyperlink r:id="rId14" w:history="1">
        <w:r w:rsidRPr="00D1229A">
          <w:rPr>
            <w:rStyle w:val="Hyperlink"/>
            <w:rFonts w:eastAsia="Calibri"/>
          </w:rPr>
          <w:t>minutes</w:t>
        </w:r>
        <w:r w:rsidRPr="00D1229A">
          <w:rPr>
            <w:rStyle w:val="Hyperlink"/>
          </w:rPr>
          <w:t xml:space="preserve"> of each appraisal committee meeting</w:t>
        </w:r>
      </w:hyperlink>
      <w:r w:rsidRPr="00D1229A">
        <w:t>, which include the names of the members who attended and their declarations of interests, are posted on the NICE website.</w:t>
      </w:r>
    </w:p>
    <w:p w14:paraId="66154293" w14:textId="77777777" w:rsidR="00B16431" w:rsidRPr="00D1229A" w:rsidRDefault="00B16431" w:rsidP="00B16431">
      <w:pPr>
        <w:pStyle w:val="Heading2"/>
      </w:pPr>
      <w:r w:rsidRPr="00D1229A">
        <w:t>NICE project team</w:t>
      </w:r>
    </w:p>
    <w:p w14:paraId="58A7E940" w14:textId="13AF13D4" w:rsidR="00B16431" w:rsidRPr="00D1229A" w:rsidRDefault="00B16431" w:rsidP="00B16431">
      <w:pPr>
        <w:pStyle w:val="NICEnormal"/>
      </w:pPr>
      <w:r w:rsidRPr="00D1229A">
        <w:t>Each technology appraisal is assigned to a team consisting of 1</w:t>
      </w:r>
      <w:r w:rsidR="00AC3514">
        <w:t> </w:t>
      </w:r>
      <w:r w:rsidRPr="00D1229A">
        <w:t xml:space="preserve">or more health technology analysts (who act as technical leads for the appraisal), a technical adviser and a project manager. </w:t>
      </w:r>
    </w:p>
    <w:p w14:paraId="3CAC3303" w14:textId="0C9B5D48" w:rsidR="00B16431" w:rsidRPr="00D1229A" w:rsidRDefault="0082790D" w:rsidP="00B16431">
      <w:pPr>
        <w:pStyle w:val="NICEnormal"/>
      </w:pPr>
      <w:bookmarkStart w:id="6" w:name="Text45"/>
      <w:r w:rsidRPr="00D1229A">
        <w:rPr>
          <w:b/>
        </w:rPr>
        <w:t>Mary Hughes</w:t>
      </w:r>
      <w:r w:rsidR="00B16431" w:rsidRPr="00D1229A">
        <w:br/>
        <w:t xml:space="preserve">Technical </w:t>
      </w:r>
      <w:r w:rsidR="00E65C76" w:rsidRPr="00D1229A">
        <w:t>l</w:t>
      </w:r>
      <w:r w:rsidR="00B16431" w:rsidRPr="00D1229A">
        <w:t>ea</w:t>
      </w:r>
      <w:r w:rsidRPr="00D1229A">
        <w:t>d</w:t>
      </w:r>
    </w:p>
    <w:p w14:paraId="352DD01C" w14:textId="127217D5" w:rsidR="00B16431" w:rsidRPr="00D1229A" w:rsidRDefault="0082790D" w:rsidP="00B16431">
      <w:pPr>
        <w:pStyle w:val="NICEnormal"/>
      </w:pPr>
      <w:r w:rsidRPr="00D1229A">
        <w:rPr>
          <w:b/>
        </w:rPr>
        <w:t>Carl Prescott</w:t>
      </w:r>
      <w:r w:rsidR="00B16431" w:rsidRPr="00D1229A">
        <w:br/>
        <w:t xml:space="preserve">Technical </w:t>
      </w:r>
      <w:r w:rsidR="00E65C76" w:rsidRPr="00D1229A">
        <w:t>a</w:t>
      </w:r>
      <w:r w:rsidR="00B16431" w:rsidRPr="00D1229A">
        <w:t>dviser</w:t>
      </w:r>
    </w:p>
    <w:p w14:paraId="399589BB" w14:textId="596EDAD8" w:rsidR="00B16431" w:rsidRPr="00D1229A" w:rsidRDefault="0082790D" w:rsidP="005D3FD9">
      <w:pPr>
        <w:pStyle w:val="NICEnormal"/>
      </w:pPr>
      <w:r w:rsidRPr="00D1229A">
        <w:rPr>
          <w:b/>
        </w:rPr>
        <w:t>Jo Ekeledo</w:t>
      </w:r>
      <w:r w:rsidR="00B16431" w:rsidRPr="00D1229A">
        <w:br/>
        <w:t xml:space="preserve">Project </w:t>
      </w:r>
      <w:r w:rsidR="00E65C76" w:rsidRPr="00D1229A">
        <w:t>m</w:t>
      </w:r>
      <w:r w:rsidR="00B16431" w:rsidRPr="00D1229A">
        <w:t>anager</w:t>
      </w:r>
      <w:bookmarkEnd w:id="6"/>
    </w:p>
    <w:p w14:paraId="38D19051" w14:textId="77777777" w:rsidR="006E7647" w:rsidRPr="00D1229A" w:rsidRDefault="006E7647" w:rsidP="00F05E37">
      <w:pPr>
        <w:pStyle w:val="NICEnormal"/>
      </w:pPr>
      <w:r w:rsidRPr="00D1229A">
        <w:t xml:space="preserve">ISBN: </w:t>
      </w:r>
      <w:r w:rsidRPr="00D1229A">
        <w:rPr>
          <w:highlight w:val="green"/>
        </w:rPr>
        <w:t>[to be added at publication]</w:t>
      </w:r>
      <w:bookmarkEnd w:id="0"/>
    </w:p>
    <w:sectPr w:rsidR="006E7647" w:rsidRPr="00D1229A" w:rsidSect="00C76DDA">
      <w:headerReference w:type="default" r:id="rId15"/>
      <w:foot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F57EE" w14:textId="77777777" w:rsidR="009C739E" w:rsidRDefault="009C739E">
      <w:r>
        <w:separator/>
      </w:r>
    </w:p>
  </w:endnote>
  <w:endnote w:type="continuationSeparator" w:id="0">
    <w:p w14:paraId="24092340" w14:textId="77777777" w:rsidR="009C739E" w:rsidRDefault="009C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59009" w14:textId="69C20EB3" w:rsidR="00465D36" w:rsidRPr="003D33FB" w:rsidRDefault="00465D36" w:rsidP="007A7EC8">
    <w:pPr>
      <w:pStyle w:val="NICEnormalsinglespacing"/>
      <w:spacing w:after="120"/>
      <w:rPr>
        <w:sz w:val="18"/>
        <w:szCs w:val="18"/>
      </w:rPr>
    </w:pPr>
    <w:r>
      <w:rPr>
        <w:sz w:val="18"/>
        <w:szCs w:val="18"/>
      </w:rPr>
      <w:t xml:space="preserve">Appraisal consultation document caplacizumab for treating acute </w:t>
    </w:r>
    <w:bookmarkStart w:id="7" w:name="_Hlk41572600"/>
    <w:r>
      <w:rPr>
        <w:sz w:val="18"/>
        <w:szCs w:val="18"/>
      </w:rPr>
      <w:t xml:space="preserve">acquired </w:t>
    </w:r>
    <w:bookmarkStart w:id="8" w:name="_Hlk41895722"/>
    <w:r>
      <w:rPr>
        <w:sz w:val="18"/>
        <w:szCs w:val="18"/>
      </w:rPr>
      <w:t>thrombotic thrombocytopenic purpura</w:t>
    </w:r>
    <w:bookmarkEnd w:id="7"/>
    <w:bookmarkEnd w:id="8"/>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24337E2A" w14:textId="053D072F" w:rsidR="00465D36" w:rsidRDefault="00465D36" w:rsidP="007A7EC8">
    <w:pPr>
      <w:pStyle w:val="NICEnormalsinglespacing"/>
      <w:spacing w:after="120"/>
      <w:rPr>
        <w:sz w:val="18"/>
        <w:szCs w:val="18"/>
      </w:rPr>
    </w:pPr>
    <w:r w:rsidRPr="003D33FB">
      <w:rPr>
        <w:sz w:val="18"/>
        <w:szCs w:val="18"/>
      </w:rPr>
      <w:t xml:space="preserve">Issue date: </w:t>
    </w:r>
    <w:r>
      <w:rPr>
        <w:sz w:val="18"/>
        <w:szCs w:val="18"/>
      </w:rPr>
      <w:t>June 2020</w:t>
    </w:r>
  </w:p>
  <w:p w14:paraId="667BE361" w14:textId="0B5A1D7A" w:rsidR="00465D36" w:rsidRPr="007A7EC8" w:rsidRDefault="00465D36"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4158E" w14:textId="77777777" w:rsidR="009C739E" w:rsidRDefault="009C739E">
      <w:r>
        <w:separator/>
      </w:r>
    </w:p>
  </w:footnote>
  <w:footnote w:type="continuationSeparator" w:id="0">
    <w:p w14:paraId="36402680" w14:textId="77777777" w:rsidR="009C739E" w:rsidRDefault="009C7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A787C" w14:textId="77777777" w:rsidR="00465D36" w:rsidRPr="004E6427" w:rsidRDefault="00465D36"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6A4"/>
    <w:multiLevelType w:val="hybridMultilevel"/>
    <w:tmpl w:val="6A5A85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F5308"/>
    <w:multiLevelType w:val="hybridMultilevel"/>
    <w:tmpl w:val="1D209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83A36C5"/>
    <w:multiLevelType w:val="hybridMultilevel"/>
    <w:tmpl w:val="AA8C3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0C72F1"/>
    <w:multiLevelType w:val="hybridMultilevel"/>
    <w:tmpl w:val="76A65C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B6BB5"/>
    <w:multiLevelType w:val="hybridMultilevel"/>
    <w:tmpl w:val="939C5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DC1D3A"/>
    <w:multiLevelType w:val="hybridMultilevel"/>
    <w:tmpl w:val="E84663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094B9F"/>
    <w:multiLevelType w:val="hybridMultilevel"/>
    <w:tmpl w:val="AEEABF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3" w15:restartNumberingAfterBreak="0">
    <w:nsid w:val="7A3E6C6D"/>
    <w:multiLevelType w:val="hybridMultilevel"/>
    <w:tmpl w:val="9B66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5"/>
  </w:num>
  <w:num w:numId="3">
    <w:abstractNumId w:val="18"/>
  </w:num>
  <w:num w:numId="4">
    <w:abstractNumId w:val="15"/>
  </w:num>
  <w:num w:numId="5">
    <w:abstractNumId w:val="16"/>
  </w:num>
  <w:num w:numId="6">
    <w:abstractNumId w:val="2"/>
  </w:num>
  <w:num w:numId="7">
    <w:abstractNumId w:val="6"/>
  </w:num>
  <w:num w:numId="8">
    <w:abstractNumId w:val="8"/>
  </w:num>
  <w:num w:numId="9">
    <w:abstractNumId w:val="11"/>
  </w:num>
  <w:num w:numId="10">
    <w:abstractNumId w:val="12"/>
  </w:num>
  <w:num w:numId="11">
    <w:abstractNumId w:val="14"/>
  </w:num>
  <w:num w:numId="12">
    <w:abstractNumId w:val="13"/>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0"/>
  </w:num>
  <w:num w:numId="18">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0"/>
  </w:num>
  <w:num w:numId="21">
    <w:abstractNumId w:val="21"/>
  </w:num>
  <w:num w:numId="22">
    <w:abstractNumId w:val="1"/>
  </w:num>
  <w:num w:numId="23">
    <w:abstractNumId w:val="19"/>
  </w:num>
  <w:num w:numId="24">
    <w:abstractNumId w:val="19"/>
    <w:lvlOverride w:ilvl="0">
      <w:startOverride w:val="1"/>
    </w:lvlOverride>
  </w:num>
  <w:num w:numId="25">
    <w:abstractNumId w:val="12"/>
  </w:num>
  <w:num w:numId="26">
    <w:abstractNumId w:val="10"/>
  </w:num>
  <w:num w:numId="27">
    <w:abstractNumId w:val="3"/>
  </w:num>
  <w:num w:numId="28">
    <w:abstractNumId w:val="9"/>
  </w:num>
  <w:num w:numId="2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03"/>
    <w:rsid w:val="00000441"/>
    <w:rsid w:val="00003571"/>
    <w:rsid w:val="00003A68"/>
    <w:rsid w:val="00005026"/>
    <w:rsid w:val="0000604E"/>
    <w:rsid w:val="00006590"/>
    <w:rsid w:val="000069A4"/>
    <w:rsid w:val="000069F9"/>
    <w:rsid w:val="0000727D"/>
    <w:rsid w:val="00011205"/>
    <w:rsid w:val="000119FB"/>
    <w:rsid w:val="00014990"/>
    <w:rsid w:val="00014D28"/>
    <w:rsid w:val="00016A22"/>
    <w:rsid w:val="00016A68"/>
    <w:rsid w:val="00016E5E"/>
    <w:rsid w:val="00017610"/>
    <w:rsid w:val="000205C6"/>
    <w:rsid w:val="00021FB0"/>
    <w:rsid w:val="000221AA"/>
    <w:rsid w:val="0002331F"/>
    <w:rsid w:val="00023F26"/>
    <w:rsid w:val="000249F8"/>
    <w:rsid w:val="00026E82"/>
    <w:rsid w:val="00030676"/>
    <w:rsid w:val="00030714"/>
    <w:rsid w:val="0003322C"/>
    <w:rsid w:val="00034110"/>
    <w:rsid w:val="00035AC1"/>
    <w:rsid w:val="000368FC"/>
    <w:rsid w:val="000376EE"/>
    <w:rsid w:val="00040F0E"/>
    <w:rsid w:val="000421F8"/>
    <w:rsid w:val="00043262"/>
    <w:rsid w:val="00045528"/>
    <w:rsid w:val="0004721C"/>
    <w:rsid w:val="000476B0"/>
    <w:rsid w:val="00052063"/>
    <w:rsid w:val="00055DDF"/>
    <w:rsid w:val="00057353"/>
    <w:rsid w:val="00057724"/>
    <w:rsid w:val="000577CB"/>
    <w:rsid w:val="00061C83"/>
    <w:rsid w:val="0006624B"/>
    <w:rsid w:val="00066E81"/>
    <w:rsid w:val="000711F1"/>
    <w:rsid w:val="00073DA8"/>
    <w:rsid w:val="00074BEA"/>
    <w:rsid w:val="000755E6"/>
    <w:rsid w:val="000764D3"/>
    <w:rsid w:val="0007677A"/>
    <w:rsid w:val="00080A47"/>
    <w:rsid w:val="000814AF"/>
    <w:rsid w:val="00082F77"/>
    <w:rsid w:val="00085C5A"/>
    <w:rsid w:val="000862FC"/>
    <w:rsid w:val="00087323"/>
    <w:rsid w:val="000879ED"/>
    <w:rsid w:val="00091F38"/>
    <w:rsid w:val="00093649"/>
    <w:rsid w:val="00096246"/>
    <w:rsid w:val="00096ABE"/>
    <w:rsid w:val="000A0A6E"/>
    <w:rsid w:val="000A2EC9"/>
    <w:rsid w:val="000A4016"/>
    <w:rsid w:val="000A4024"/>
    <w:rsid w:val="000A6619"/>
    <w:rsid w:val="000A6C40"/>
    <w:rsid w:val="000A7ADC"/>
    <w:rsid w:val="000B1027"/>
    <w:rsid w:val="000B5345"/>
    <w:rsid w:val="000B6D9D"/>
    <w:rsid w:val="000B70D6"/>
    <w:rsid w:val="000B7E29"/>
    <w:rsid w:val="000B7F7A"/>
    <w:rsid w:val="000C04A1"/>
    <w:rsid w:val="000C194F"/>
    <w:rsid w:val="000C2222"/>
    <w:rsid w:val="000C393A"/>
    <w:rsid w:val="000D09ED"/>
    <w:rsid w:val="000D0A87"/>
    <w:rsid w:val="000D0E17"/>
    <w:rsid w:val="000D0FB1"/>
    <w:rsid w:val="000D11B8"/>
    <w:rsid w:val="000D145B"/>
    <w:rsid w:val="000D4811"/>
    <w:rsid w:val="000D4954"/>
    <w:rsid w:val="000D6016"/>
    <w:rsid w:val="000D6F17"/>
    <w:rsid w:val="000D7185"/>
    <w:rsid w:val="000E1CED"/>
    <w:rsid w:val="000E24BD"/>
    <w:rsid w:val="000E29D1"/>
    <w:rsid w:val="000E32EB"/>
    <w:rsid w:val="000E5994"/>
    <w:rsid w:val="000E6F19"/>
    <w:rsid w:val="000F1B3B"/>
    <w:rsid w:val="000F1E3F"/>
    <w:rsid w:val="000F3DBC"/>
    <w:rsid w:val="000F48EC"/>
    <w:rsid w:val="000F5D8D"/>
    <w:rsid w:val="00100D2D"/>
    <w:rsid w:val="001017A9"/>
    <w:rsid w:val="00101F34"/>
    <w:rsid w:val="001033D5"/>
    <w:rsid w:val="001039F7"/>
    <w:rsid w:val="00105409"/>
    <w:rsid w:val="00107DBD"/>
    <w:rsid w:val="00113666"/>
    <w:rsid w:val="00115B70"/>
    <w:rsid w:val="001169FE"/>
    <w:rsid w:val="00116D19"/>
    <w:rsid w:val="001211B3"/>
    <w:rsid w:val="00121E38"/>
    <w:rsid w:val="00121E78"/>
    <w:rsid w:val="00122FD4"/>
    <w:rsid w:val="001230AC"/>
    <w:rsid w:val="00123F4B"/>
    <w:rsid w:val="00124604"/>
    <w:rsid w:val="001265C0"/>
    <w:rsid w:val="00130F1A"/>
    <w:rsid w:val="001337B7"/>
    <w:rsid w:val="00133921"/>
    <w:rsid w:val="00133AD4"/>
    <w:rsid w:val="001344B3"/>
    <w:rsid w:val="00140C93"/>
    <w:rsid w:val="00143536"/>
    <w:rsid w:val="00145B2F"/>
    <w:rsid w:val="00150440"/>
    <w:rsid w:val="00151D8E"/>
    <w:rsid w:val="0015302A"/>
    <w:rsid w:val="00156D2C"/>
    <w:rsid w:val="001570BC"/>
    <w:rsid w:val="001579BF"/>
    <w:rsid w:val="00161689"/>
    <w:rsid w:val="00161AA0"/>
    <w:rsid w:val="00164F8F"/>
    <w:rsid w:val="001662BC"/>
    <w:rsid w:val="0017072D"/>
    <w:rsid w:val="00170B60"/>
    <w:rsid w:val="00171A2B"/>
    <w:rsid w:val="00176FB2"/>
    <w:rsid w:val="00177854"/>
    <w:rsid w:val="001809F8"/>
    <w:rsid w:val="001812D4"/>
    <w:rsid w:val="001823EB"/>
    <w:rsid w:val="001848C3"/>
    <w:rsid w:val="00184A64"/>
    <w:rsid w:val="0018716E"/>
    <w:rsid w:val="001873CB"/>
    <w:rsid w:val="00191B56"/>
    <w:rsid w:val="00193945"/>
    <w:rsid w:val="001956FC"/>
    <w:rsid w:val="00196FE1"/>
    <w:rsid w:val="0019718A"/>
    <w:rsid w:val="001A1AE2"/>
    <w:rsid w:val="001B2DD8"/>
    <w:rsid w:val="001B6D49"/>
    <w:rsid w:val="001B7E00"/>
    <w:rsid w:val="001C0ED1"/>
    <w:rsid w:val="001C0EF4"/>
    <w:rsid w:val="001C2B6F"/>
    <w:rsid w:val="001C59E4"/>
    <w:rsid w:val="001D1D43"/>
    <w:rsid w:val="001D3E96"/>
    <w:rsid w:val="001D59DB"/>
    <w:rsid w:val="001D6D60"/>
    <w:rsid w:val="001E1DA2"/>
    <w:rsid w:val="001E27E5"/>
    <w:rsid w:val="001E2CAF"/>
    <w:rsid w:val="001E4D37"/>
    <w:rsid w:val="001F1400"/>
    <w:rsid w:val="001F6078"/>
    <w:rsid w:val="001F7251"/>
    <w:rsid w:val="0020381E"/>
    <w:rsid w:val="00203B64"/>
    <w:rsid w:val="00204F82"/>
    <w:rsid w:val="00205139"/>
    <w:rsid w:val="00206A4C"/>
    <w:rsid w:val="002107D1"/>
    <w:rsid w:val="0021081C"/>
    <w:rsid w:val="002119CD"/>
    <w:rsid w:val="00213072"/>
    <w:rsid w:val="002159C9"/>
    <w:rsid w:val="00217FB0"/>
    <w:rsid w:val="00220EDF"/>
    <w:rsid w:val="002218BC"/>
    <w:rsid w:val="00222BEA"/>
    <w:rsid w:val="00225439"/>
    <w:rsid w:val="00225666"/>
    <w:rsid w:val="00225F9B"/>
    <w:rsid w:val="00232061"/>
    <w:rsid w:val="00232FC9"/>
    <w:rsid w:val="0023375C"/>
    <w:rsid w:val="00233C71"/>
    <w:rsid w:val="00235945"/>
    <w:rsid w:val="00235CAB"/>
    <w:rsid w:val="002378A0"/>
    <w:rsid w:val="00250D5C"/>
    <w:rsid w:val="00251576"/>
    <w:rsid w:val="00253EB9"/>
    <w:rsid w:val="002555BE"/>
    <w:rsid w:val="00255679"/>
    <w:rsid w:val="00257B1C"/>
    <w:rsid w:val="002614EA"/>
    <w:rsid w:val="00265B0E"/>
    <w:rsid w:val="00266A4D"/>
    <w:rsid w:val="00267C5A"/>
    <w:rsid w:val="00267D9C"/>
    <w:rsid w:val="002716C2"/>
    <w:rsid w:val="0028174F"/>
    <w:rsid w:val="00282C30"/>
    <w:rsid w:val="00282D7E"/>
    <w:rsid w:val="002849FD"/>
    <w:rsid w:val="00286AB0"/>
    <w:rsid w:val="00290445"/>
    <w:rsid w:val="00290600"/>
    <w:rsid w:val="00292044"/>
    <w:rsid w:val="00293811"/>
    <w:rsid w:val="00294ABE"/>
    <w:rsid w:val="002A151A"/>
    <w:rsid w:val="002A2687"/>
    <w:rsid w:val="002A5C23"/>
    <w:rsid w:val="002A5DE5"/>
    <w:rsid w:val="002A686F"/>
    <w:rsid w:val="002A7CFE"/>
    <w:rsid w:val="002B087E"/>
    <w:rsid w:val="002B094E"/>
    <w:rsid w:val="002B15C2"/>
    <w:rsid w:val="002B3340"/>
    <w:rsid w:val="002B33C2"/>
    <w:rsid w:val="002B4DA8"/>
    <w:rsid w:val="002B5772"/>
    <w:rsid w:val="002B57DD"/>
    <w:rsid w:val="002B6D1D"/>
    <w:rsid w:val="002C0551"/>
    <w:rsid w:val="002C1E17"/>
    <w:rsid w:val="002C257D"/>
    <w:rsid w:val="002C2774"/>
    <w:rsid w:val="002C381D"/>
    <w:rsid w:val="002C533E"/>
    <w:rsid w:val="002D17F3"/>
    <w:rsid w:val="002D6114"/>
    <w:rsid w:val="002D79A7"/>
    <w:rsid w:val="002E3F68"/>
    <w:rsid w:val="002E5C16"/>
    <w:rsid w:val="002E73E7"/>
    <w:rsid w:val="002F0AA7"/>
    <w:rsid w:val="002F1B28"/>
    <w:rsid w:val="002F2583"/>
    <w:rsid w:val="002F279A"/>
    <w:rsid w:val="002F2C1A"/>
    <w:rsid w:val="002F4F5B"/>
    <w:rsid w:val="002F68FE"/>
    <w:rsid w:val="00300DF8"/>
    <w:rsid w:val="00301529"/>
    <w:rsid w:val="00301E79"/>
    <w:rsid w:val="00303156"/>
    <w:rsid w:val="00306111"/>
    <w:rsid w:val="0030639B"/>
    <w:rsid w:val="003107AB"/>
    <w:rsid w:val="00310992"/>
    <w:rsid w:val="0031127A"/>
    <w:rsid w:val="00311A01"/>
    <w:rsid w:val="00311F5A"/>
    <w:rsid w:val="00314360"/>
    <w:rsid w:val="003154E8"/>
    <w:rsid w:val="00315C29"/>
    <w:rsid w:val="0031664C"/>
    <w:rsid w:val="00324997"/>
    <w:rsid w:val="003253EA"/>
    <w:rsid w:val="003256B1"/>
    <w:rsid w:val="003273F4"/>
    <w:rsid w:val="00331545"/>
    <w:rsid w:val="00331CBA"/>
    <w:rsid w:val="003330E6"/>
    <w:rsid w:val="0033333E"/>
    <w:rsid w:val="00334052"/>
    <w:rsid w:val="003356ED"/>
    <w:rsid w:val="003368C0"/>
    <w:rsid w:val="00343439"/>
    <w:rsid w:val="00343B53"/>
    <w:rsid w:val="003459E9"/>
    <w:rsid w:val="00346BA7"/>
    <w:rsid w:val="00352C38"/>
    <w:rsid w:val="00354915"/>
    <w:rsid w:val="00364E30"/>
    <w:rsid w:val="00372031"/>
    <w:rsid w:val="00373616"/>
    <w:rsid w:val="003738C2"/>
    <w:rsid w:val="003801BE"/>
    <w:rsid w:val="00381A3E"/>
    <w:rsid w:val="00382100"/>
    <w:rsid w:val="00383594"/>
    <w:rsid w:val="003847B9"/>
    <w:rsid w:val="00385E85"/>
    <w:rsid w:val="0038706D"/>
    <w:rsid w:val="00387A13"/>
    <w:rsid w:val="00390AFC"/>
    <w:rsid w:val="0039118D"/>
    <w:rsid w:val="00391AC8"/>
    <w:rsid w:val="003920EA"/>
    <w:rsid w:val="00392FB4"/>
    <w:rsid w:val="0039482C"/>
    <w:rsid w:val="00394D86"/>
    <w:rsid w:val="00394DFF"/>
    <w:rsid w:val="0039584E"/>
    <w:rsid w:val="00395C05"/>
    <w:rsid w:val="003A0250"/>
    <w:rsid w:val="003A04CD"/>
    <w:rsid w:val="003A11AB"/>
    <w:rsid w:val="003A1F14"/>
    <w:rsid w:val="003A3974"/>
    <w:rsid w:val="003A5838"/>
    <w:rsid w:val="003A5B40"/>
    <w:rsid w:val="003A71EE"/>
    <w:rsid w:val="003B0BC2"/>
    <w:rsid w:val="003B37BB"/>
    <w:rsid w:val="003B421F"/>
    <w:rsid w:val="003C36AC"/>
    <w:rsid w:val="003C7EF9"/>
    <w:rsid w:val="003D68D5"/>
    <w:rsid w:val="003D7050"/>
    <w:rsid w:val="003D7304"/>
    <w:rsid w:val="003E03DF"/>
    <w:rsid w:val="003E14CF"/>
    <w:rsid w:val="003E3A14"/>
    <w:rsid w:val="003E3D04"/>
    <w:rsid w:val="003E4385"/>
    <w:rsid w:val="003E4C3E"/>
    <w:rsid w:val="003E684C"/>
    <w:rsid w:val="003E7F58"/>
    <w:rsid w:val="003F168A"/>
    <w:rsid w:val="003F420F"/>
    <w:rsid w:val="003F64D9"/>
    <w:rsid w:val="004021C7"/>
    <w:rsid w:val="00403160"/>
    <w:rsid w:val="00403AD0"/>
    <w:rsid w:val="00407AFE"/>
    <w:rsid w:val="00407D59"/>
    <w:rsid w:val="00413E87"/>
    <w:rsid w:val="0041525E"/>
    <w:rsid w:val="00415939"/>
    <w:rsid w:val="00416A3F"/>
    <w:rsid w:val="00420692"/>
    <w:rsid w:val="00420742"/>
    <w:rsid w:val="00421005"/>
    <w:rsid w:val="00431372"/>
    <w:rsid w:val="00433564"/>
    <w:rsid w:val="00434229"/>
    <w:rsid w:val="00434EF1"/>
    <w:rsid w:val="00435661"/>
    <w:rsid w:val="00437CA3"/>
    <w:rsid w:val="0044027B"/>
    <w:rsid w:val="004408F8"/>
    <w:rsid w:val="0044294F"/>
    <w:rsid w:val="0044648F"/>
    <w:rsid w:val="00446DA2"/>
    <w:rsid w:val="00451729"/>
    <w:rsid w:val="00451FA3"/>
    <w:rsid w:val="00454095"/>
    <w:rsid w:val="00454536"/>
    <w:rsid w:val="00457843"/>
    <w:rsid w:val="00462002"/>
    <w:rsid w:val="0046212F"/>
    <w:rsid w:val="00462733"/>
    <w:rsid w:val="00462CCA"/>
    <w:rsid w:val="00463227"/>
    <w:rsid w:val="00463973"/>
    <w:rsid w:val="00465D36"/>
    <w:rsid w:val="00466674"/>
    <w:rsid w:val="00467493"/>
    <w:rsid w:val="00470EB2"/>
    <w:rsid w:val="00471113"/>
    <w:rsid w:val="00471200"/>
    <w:rsid w:val="00472FF8"/>
    <w:rsid w:val="00475F03"/>
    <w:rsid w:val="00477447"/>
    <w:rsid w:val="004804B3"/>
    <w:rsid w:val="00480E25"/>
    <w:rsid w:val="00481E06"/>
    <w:rsid w:val="004820E9"/>
    <w:rsid w:val="004824F9"/>
    <w:rsid w:val="00483119"/>
    <w:rsid w:val="0048361F"/>
    <w:rsid w:val="004845D0"/>
    <w:rsid w:val="00484E2F"/>
    <w:rsid w:val="004852FF"/>
    <w:rsid w:val="00487B44"/>
    <w:rsid w:val="00487EF9"/>
    <w:rsid w:val="00492FDA"/>
    <w:rsid w:val="00494E73"/>
    <w:rsid w:val="004A2830"/>
    <w:rsid w:val="004B1218"/>
    <w:rsid w:val="004B2483"/>
    <w:rsid w:val="004B4795"/>
    <w:rsid w:val="004B514C"/>
    <w:rsid w:val="004B7D57"/>
    <w:rsid w:val="004C00D8"/>
    <w:rsid w:val="004C065C"/>
    <w:rsid w:val="004C0A5B"/>
    <w:rsid w:val="004C12C1"/>
    <w:rsid w:val="004C363C"/>
    <w:rsid w:val="004C3DAD"/>
    <w:rsid w:val="004C56A7"/>
    <w:rsid w:val="004C5923"/>
    <w:rsid w:val="004C6116"/>
    <w:rsid w:val="004C7C61"/>
    <w:rsid w:val="004D0DFD"/>
    <w:rsid w:val="004D1DA3"/>
    <w:rsid w:val="004D1FBE"/>
    <w:rsid w:val="004D4A68"/>
    <w:rsid w:val="004D4A86"/>
    <w:rsid w:val="004D5DFF"/>
    <w:rsid w:val="004D7664"/>
    <w:rsid w:val="004E074F"/>
    <w:rsid w:val="004E4649"/>
    <w:rsid w:val="004E6427"/>
    <w:rsid w:val="004E7625"/>
    <w:rsid w:val="004E7E43"/>
    <w:rsid w:val="004F112D"/>
    <w:rsid w:val="004F1956"/>
    <w:rsid w:val="004F1EC0"/>
    <w:rsid w:val="004F5FC6"/>
    <w:rsid w:val="004F69FA"/>
    <w:rsid w:val="004F76B7"/>
    <w:rsid w:val="00501CB9"/>
    <w:rsid w:val="00502755"/>
    <w:rsid w:val="005037B2"/>
    <w:rsid w:val="00503CE6"/>
    <w:rsid w:val="0050455E"/>
    <w:rsid w:val="005047AD"/>
    <w:rsid w:val="00510B1D"/>
    <w:rsid w:val="0051107D"/>
    <w:rsid w:val="00511167"/>
    <w:rsid w:val="00514FD6"/>
    <w:rsid w:val="00517819"/>
    <w:rsid w:val="00517E2D"/>
    <w:rsid w:val="0052510E"/>
    <w:rsid w:val="00526C07"/>
    <w:rsid w:val="005273A6"/>
    <w:rsid w:val="00527533"/>
    <w:rsid w:val="00527E88"/>
    <w:rsid w:val="0053387C"/>
    <w:rsid w:val="00534F74"/>
    <w:rsid w:val="00536789"/>
    <w:rsid w:val="00536D2F"/>
    <w:rsid w:val="00540052"/>
    <w:rsid w:val="00541097"/>
    <w:rsid w:val="0054146B"/>
    <w:rsid w:val="00541E06"/>
    <w:rsid w:val="00541E4A"/>
    <w:rsid w:val="00543DB4"/>
    <w:rsid w:val="00543E08"/>
    <w:rsid w:val="005449AD"/>
    <w:rsid w:val="00544D90"/>
    <w:rsid w:val="005459C2"/>
    <w:rsid w:val="005500EE"/>
    <w:rsid w:val="005505ED"/>
    <w:rsid w:val="005555E2"/>
    <w:rsid w:val="00564B04"/>
    <w:rsid w:val="005652AC"/>
    <w:rsid w:val="00570524"/>
    <w:rsid w:val="00573059"/>
    <w:rsid w:val="005751C5"/>
    <w:rsid w:val="0057621E"/>
    <w:rsid w:val="00576ED3"/>
    <w:rsid w:val="00577B05"/>
    <w:rsid w:val="00580D6F"/>
    <w:rsid w:val="005812C6"/>
    <w:rsid w:val="00581AC9"/>
    <w:rsid w:val="0058382A"/>
    <w:rsid w:val="00584316"/>
    <w:rsid w:val="00584F0C"/>
    <w:rsid w:val="00584F85"/>
    <w:rsid w:val="005869E9"/>
    <w:rsid w:val="005948FA"/>
    <w:rsid w:val="005959BE"/>
    <w:rsid w:val="00596210"/>
    <w:rsid w:val="00596286"/>
    <w:rsid w:val="00596999"/>
    <w:rsid w:val="005A0F31"/>
    <w:rsid w:val="005A1EDF"/>
    <w:rsid w:val="005A1F6D"/>
    <w:rsid w:val="005A28A1"/>
    <w:rsid w:val="005A46D0"/>
    <w:rsid w:val="005A6FB5"/>
    <w:rsid w:val="005A7E28"/>
    <w:rsid w:val="005B25E4"/>
    <w:rsid w:val="005B2A82"/>
    <w:rsid w:val="005B30C8"/>
    <w:rsid w:val="005B7778"/>
    <w:rsid w:val="005C051F"/>
    <w:rsid w:val="005C0550"/>
    <w:rsid w:val="005C6E7B"/>
    <w:rsid w:val="005C762E"/>
    <w:rsid w:val="005D098C"/>
    <w:rsid w:val="005D3FD9"/>
    <w:rsid w:val="005D6F7C"/>
    <w:rsid w:val="005E2139"/>
    <w:rsid w:val="005E3900"/>
    <w:rsid w:val="005E46BB"/>
    <w:rsid w:val="005F488B"/>
    <w:rsid w:val="005F63FC"/>
    <w:rsid w:val="006001CC"/>
    <w:rsid w:val="00600304"/>
    <w:rsid w:val="00602B4D"/>
    <w:rsid w:val="006034D6"/>
    <w:rsid w:val="00603C94"/>
    <w:rsid w:val="006048E0"/>
    <w:rsid w:val="00604FAD"/>
    <w:rsid w:val="0060662A"/>
    <w:rsid w:val="00611D12"/>
    <w:rsid w:val="00612789"/>
    <w:rsid w:val="00613D24"/>
    <w:rsid w:val="00614BDA"/>
    <w:rsid w:val="00621AFB"/>
    <w:rsid w:val="0062589A"/>
    <w:rsid w:val="00625F56"/>
    <w:rsid w:val="00627A4C"/>
    <w:rsid w:val="006307C7"/>
    <w:rsid w:val="00632B82"/>
    <w:rsid w:val="006331B4"/>
    <w:rsid w:val="006333F6"/>
    <w:rsid w:val="006343F3"/>
    <w:rsid w:val="00634593"/>
    <w:rsid w:val="00640CF2"/>
    <w:rsid w:val="006417D6"/>
    <w:rsid w:val="00642906"/>
    <w:rsid w:val="00643582"/>
    <w:rsid w:val="00643B75"/>
    <w:rsid w:val="006457EF"/>
    <w:rsid w:val="00650F96"/>
    <w:rsid w:val="006512B7"/>
    <w:rsid w:val="00651C22"/>
    <w:rsid w:val="00655350"/>
    <w:rsid w:val="00655679"/>
    <w:rsid w:val="00655B4D"/>
    <w:rsid w:val="00655ED5"/>
    <w:rsid w:val="00657082"/>
    <w:rsid w:val="00662513"/>
    <w:rsid w:val="00665734"/>
    <w:rsid w:val="00670E27"/>
    <w:rsid w:val="00671977"/>
    <w:rsid w:val="00671D80"/>
    <w:rsid w:val="00672C53"/>
    <w:rsid w:val="00672EFB"/>
    <w:rsid w:val="006739CF"/>
    <w:rsid w:val="006740C8"/>
    <w:rsid w:val="0067672B"/>
    <w:rsid w:val="0067752C"/>
    <w:rsid w:val="006776A2"/>
    <w:rsid w:val="006801A6"/>
    <w:rsid w:val="0068124B"/>
    <w:rsid w:val="00681610"/>
    <w:rsid w:val="00685D36"/>
    <w:rsid w:val="00687304"/>
    <w:rsid w:val="00691E94"/>
    <w:rsid w:val="0069280C"/>
    <w:rsid w:val="00692C71"/>
    <w:rsid w:val="006931A0"/>
    <w:rsid w:val="006935BC"/>
    <w:rsid w:val="00693EBD"/>
    <w:rsid w:val="00696E55"/>
    <w:rsid w:val="006A0B0E"/>
    <w:rsid w:val="006A25A8"/>
    <w:rsid w:val="006A3845"/>
    <w:rsid w:val="006A3A9C"/>
    <w:rsid w:val="006A3CC5"/>
    <w:rsid w:val="006A53AC"/>
    <w:rsid w:val="006A5C89"/>
    <w:rsid w:val="006A721F"/>
    <w:rsid w:val="006A7CCF"/>
    <w:rsid w:val="006B0581"/>
    <w:rsid w:val="006B0A56"/>
    <w:rsid w:val="006B0BEC"/>
    <w:rsid w:val="006B0F36"/>
    <w:rsid w:val="006B30FD"/>
    <w:rsid w:val="006B4254"/>
    <w:rsid w:val="006B5238"/>
    <w:rsid w:val="006B5CB4"/>
    <w:rsid w:val="006B6D19"/>
    <w:rsid w:val="006B6DCF"/>
    <w:rsid w:val="006B791B"/>
    <w:rsid w:val="006C0EED"/>
    <w:rsid w:val="006C33E2"/>
    <w:rsid w:val="006C341B"/>
    <w:rsid w:val="006C4793"/>
    <w:rsid w:val="006C6748"/>
    <w:rsid w:val="006D03E7"/>
    <w:rsid w:val="006D1C1B"/>
    <w:rsid w:val="006D36FB"/>
    <w:rsid w:val="006D3C83"/>
    <w:rsid w:val="006D42ED"/>
    <w:rsid w:val="006D4D1A"/>
    <w:rsid w:val="006D73F1"/>
    <w:rsid w:val="006E2A29"/>
    <w:rsid w:val="006E3514"/>
    <w:rsid w:val="006E55B5"/>
    <w:rsid w:val="006E7421"/>
    <w:rsid w:val="006E7456"/>
    <w:rsid w:val="006E7647"/>
    <w:rsid w:val="006F0D05"/>
    <w:rsid w:val="006F162C"/>
    <w:rsid w:val="006F1DA8"/>
    <w:rsid w:val="006F1F39"/>
    <w:rsid w:val="006F22E9"/>
    <w:rsid w:val="006F4CFA"/>
    <w:rsid w:val="006F5310"/>
    <w:rsid w:val="006F696E"/>
    <w:rsid w:val="006F6B91"/>
    <w:rsid w:val="00702E9C"/>
    <w:rsid w:val="007040CB"/>
    <w:rsid w:val="0070518B"/>
    <w:rsid w:val="0070523B"/>
    <w:rsid w:val="0070600D"/>
    <w:rsid w:val="00707D16"/>
    <w:rsid w:val="00715E8A"/>
    <w:rsid w:val="00717226"/>
    <w:rsid w:val="00717EEB"/>
    <w:rsid w:val="00720FDD"/>
    <w:rsid w:val="00722883"/>
    <w:rsid w:val="0072350A"/>
    <w:rsid w:val="00723AF0"/>
    <w:rsid w:val="00727911"/>
    <w:rsid w:val="0073007E"/>
    <w:rsid w:val="007311E2"/>
    <w:rsid w:val="00732519"/>
    <w:rsid w:val="0073365B"/>
    <w:rsid w:val="007338EC"/>
    <w:rsid w:val="00734F5A"/>
    <w:rsid w:val="00735425"/>
    <w:rsid w:val="0073579D"/>
    <w:rsid w:val="0073645E"/>
    <w:rsid w:val="00736D97"/>
    <w:rsid w:val="00737CEF"/>
    <w:rsid w:val="00737DDA"/>
    <w:rsid w:val="00744EA3"/>
    <w:rsid w:val="0074603B"/>
    <w:rsid w:val="00746B57"/>
    <w:rsid w:val="00746C86"/>
    <w:rsid w:val="00747C58"/>
    <w:rsid w:val="00747D90"/>
    <w:rsid w:val="007501B9"/>
    <w:rsid w:val="00751CB9"/>
    <w:rsid w:val="0075624F"/>
    <w:rsid w:val="00756D96"/>
    <w:rsid w:val="007570F3"/>
    <w:rsid w:val="007620C2"/>
    <w:rsid w:val="00763641"/>
    <w:rsid w:val="007668BA"/>
    <w:rsid w:val="00770596"/>
    <w:rsid w:val="0077277D"/>
    <w:rsid w:val="007747D4"/>
    <w:rsid w:val="00774963"/>
    <w:rsid w:val="00776733"/>
    <w:rsid w:val="00781B7F"/>
    <w:rsid w:val="00782DCB"/>
    <w:rsid w:val="00784156"/>
    <w:rsid w:val="00792A4C"/>
    <w:rsid w:val="007933B3"/>
    <w:rsid w:val="00793795"/>
    <w:rsid w:val="00794D72"/>
    <w:rsid w:val="007972A8"/>
    <w:rsid w:val="00797E18"/>
    <w:rsid w:val="007A048E"/>
    <w:rsid w:val="007A19AF"/>
    <w:rsid w:val="007A1E9D"/>
    <w:rsid w:val="007A2801"/>
    <w:rsid w:val="007A48F1"/>
    <w:rsid w:val="007A4EEE"/>
    <w:rsid w:val="007A6DAA"/>
    <w:rsid w:val="007A7EC8"/>
    <w:rsid w:val="007B032C"/>
    <w:rsid w:val="007B0E5B"/>
    <w:rsid w:val="007B1AF8"/>
    <w:rsid w:val="007B2A16"/>
    <w:rsid w:val="007B4B3F"/>
    <w:rsid w:val="007B787D"/>
    <w:rsid w:val="007B7B7B"/>
    <w:rsid w:val="007C0E72"/>
    <w:rsid w:val="007C1776"/>
    <w:rsid w:val="007C1CC0"/>
    <w:rsid w:val="007C3165"/>
    <w:rsid w:val="007C58D6"/>
    <w:rsid w:val="007C732D"/>
    <w:rsid w:val="007C7E1D"/>
    <w:rsid w:val="007C7FB2"/>
    <w:rsid w:val="007D07B3"/>
    <w:rsid w:val="007D0A0C"/>
    <w:rsid w:val="007D1008"/>
    <w:rsid w:val="007D2D48"/>
    <w:rsid w:val="007D5B27"/>
    <w:rsid w:val="007D5C80"/>
    <w:rsid w:val="007D62AE"/>
    <w:rsid w:val="007E013D"/>
    <w:rsid w:val="007E2754"/>
    <w:rsid w:val="007E2F63"/>
    <w:rsid w:val="007E5818"/>
    <w:rsid w:val="007E61A7"/>
    <w:rsid w:val="007E65D7"/>
    <w:rsid w:val="007E7615"/>
    <w:rsid w:val="007F21CF"/>
    <w:rsid w:val="007F227E"/>
    <w:rsid w:val="007F44CE"/>
    <w:rsid w:val="007F7661"/>
    <w:rsid w:val="0080089C"/>
    <w:rsid w:val="008012B2"/>
    <w:rsid w:val="00803318"/>
    <w:rsid w:val="00803456"/>
    <w:rsid w:val="0080390A"/>
    <w:rsid w:val="00806EF1"/>
    <w:rsid w:val="0081032C"/>
    <w:rsid w:val="00810590"/>
    <w:rsid w:val="008118E0"/>
    <w:rsid w:val="00811BBD"/>
    <w:rsid w:val="00812976"/>
    <w:rsid w:val="00813AF8"/>
    <w:rsid w:val="00814DEF"/>
    <w:rsid w:val="0082239E"/>
    <w:rsid w:val="00825A87"/>
    <w:rsid w:val="0082790D"/>
    <w:rsid w:val="008304AB"/>
    <w:rsid w:val="008318D4"/>
    <w:rsid w:val="00831B9B"/>
    <w:rsid w:val="00835008"/>
    <w:rsid w:val="00842A7E"/>
    <w:rsid w:val="00844D3D"/>
    <w:rsid w:val="0084532E"/>
    <w:rsid w:val="00845810"/>
    <w:rsid w:val="00845F3C"/>
    <w:rsid w:val="00846159"/>
    <w:rsid w:val="008505C3"/>
    <w:rsid w:val="00850A59"/>
    <w:rsid w:val="00851677"/>
    <w:rsid w:val="00851CEB"/>
    <w:rsid w:val="008522C6"/>
    <w:rsid w:val="00852E40"/>
    <w:rsid w:val="00855F39"/>
    <w:rsid w:val="0085794B"/>
    <w:rsid w:val="00857A90"/>
    <w:rsid w:val="00857CDD"/>
    <w:rsid w:val="00857F4F"/>
    <w:rsid w:val="00860EA8"/>
    <w:rsid w:val="0086472B"/>
    <w:rsid w:val="00865F3B"/>
    <w:rsid w:val="00872C95"/>
    <w:rsid w:val="0087368E"/>
    <w:rsid w:val="008802D9"/>
    <w:rsid w:val="00880B98"/>
    <w:rsid w:val="00881F26"/>
    <w:rsid w:val="008823D3"/>
    <w:rsid w:val="008838A1"/>
    <w:rsid w:val="00883C32"/>
    <w:rsid w:val="0088685E"/>
    <w:rsid w:val="0088689E"/>
    <w:rsid w:val="00886D17"/>
    <w:rsid w:val="00891794"/>
    <w:rsid w:val="008918E4"/>
    <w:rsid w:val="00891929"/>
    <w:rsid w:val="00893176"/>
    <w:rsid w:val="00894403"/>
    <w:rsid w:val="00895446"/>
    <w:rsid w:val="008A05E4"/>
    <w:rsid w:val="008A2098"/>
    <w:rsid w:val="008A32D1"/>
    <w:rsid w:val="008A55BC"/>
    <w:rsid w:val="008A70CF"/>
    <w:rsid w:val="008B03D8"/>
    <w:rsid w:val="008B39A2"/>
    <w:rsid w:val="008B4290"/>
    <w:rsid w:val="008B61CD"/>
    <w:rsid w:val="008C08ED"/>
    <w:rsid w:val="008C2DEF"/>
    <w:rsid w:val="008C4A61"/>
    <w:rsid w:val="008C4CB3"/>
    <w:rsid w:val="008C4F0F"/>
    <w:rsid w:val="008C6CFD"/>
    <w:rsid w:val="008C78D2"/>
    <w:rsid w:val="008C7950"/>
    <w:rsid w:val="008C7D07"/>
    <w:rsid w:val="008C7F38"/>
    <w:rsid w:val="008D1FAB"/>
    <w:rsid w:val="008D2817"/>
    <w:rsid w:val="008D3B9E"/>
    <w:rsid w:val="008D55C9"/>
    <w:rsid w:val="008E05E0"/>
    <w:rsid w:val="008E1EDF"/>
    <w:rsid w:val="008E7460"/>
    <w:rsid w:val="008E7585"/>
    <w:rsid w:val="008F01C2"/>
    <w:rsid w:val="008F2E5C"/>
    <w:rsid w:val="008F646F"/>
    <w:rsid w:val="008F7BBD"/>
    <w:rsid w:val="008F7D1D"/>
    <w:rsid w:val="0090098D"/>
    <w:rsid w:val="00905732"/>
    <w:rsid w:val="00906982"/>
    <w:rsid w:val="009076D0"/>
    <w:rsid w:val="009143CF"/>
    <w:rsid w:val="00914F38"/>
    <w:rsid w:val="00914FFC"/>
    <w:rsid w:val="0091776B"/>
    <w:rsid w:val="00920396"/>
    <w:rsid w:val="0092463A"/>
    <w:rsid w:val="00925725"/>
    <w:rsid w:val="0092657D"/>
    <w:rsid w:val="00932B67"/>
    <w:rsid w:val="009336C3"/>
    <w:rsid w:val="00934E0D"/>
    <w:rsid w:val="00935018"/>
    <w:rsid w:val="0093671F"/>
    <w:rsid w:val="00937D0C"/>
    <w:rsid w:val="00937F0D"/>
    <w:rsid w:val="00941D1F"/>
    <w:rsid w:val="00942B4C"/>
    <w:rsid w:val="0094366C"/>
    <w:rsid w:val="0094651E"/>
    <w:rsid w:val="0094666B"/>
    <w:rsid w:val="009475EB"/>
    <w:rsid w:val="009479C0"/>
    <w:rsid w:val="00950914"/>
    <w:rsid w:val="00950C51"/>
    <w:rsid w:val="00950ECA"/>
    <w:rsid w:val="00951973"/>
    <w:rsid w:val="0095252E"/>
    <w:rsid w:val="00952591"/>
    <w:rsid w:val="00952C90"/>
    <w:rsid w:val="00953ADF"/>
    <w:rsid w:val="00953B55"/>
    <w:rsid w:val="00957E73"/>
    <w:rsid w:val="0096135C"/>
    <w:rsid w:val="009746D7"/>
    <w:rsid w:val="00976D88"/>
    <w:rsid w:val="009808B4"/>
    <w:rsid w:val="00983391"/>
    <w:rsid w:val="00983685"/>
    <w:rsid w:val="009843E0"/>
    <w:rsid w:val="00984821"/>
    <w:rsid w:val="00986485"/>
    <w:rsid w:val="00987494"/>
    <w:rsid w:val="00991378"/>
    <w:rsid w:val="009961A7"/>
    <w:rsid w:val="00996EDE"/>
    <w:rsid w:val="0099716A"/>
    <w:rsid w:val="009A0593"/>
    <w:rsid w:val="009A2797"/>
    <w:rsid w:val="009A2C14"/>
    <w:rsid w:val="009A3D97"/>
    <w:rsid w:val="009A3ED6"/>
    <w:rsid w:val="009A4F0A"/>
    <w:rsid w:val="009A598B"/>
    <w:rsid w:val="009A698B"/>
    <w:rsid w:val="009A719C"/>
    <w:rsid w:val="009B01E4"/>
    <w:rsid w:val="009B1272"/>
    <w:rsid w:val="009B2D86"/>
    <w:rsid w:val="009B37A5"/>
    <w:rsid w:val="009B3F94"/>
    <w:rsid w:val="009B477E"/>
    <w:rsid w:val="009B4B57"/>
    <w:rsid w:val="009B5E70"/>
    <w:rsid w:val="009B621A"/>
    <w:rsid w:val="009B6380"/>
    <w:rsid w:val="009B672F"/>
    <w:rsid w:val="009B6EAB"/>
    <w:rsid w:val="009B718D"/>
    <w:rsid w:val="009C02F0"/>
    <w:rsid w:val="009C0BCC"/>
    <w:rsid w:val="009C0EF7"/>
    <w:rsid w:val="009C2B55"/>
    <w:rsid w:val="009C368C"/>
    <w:rsid w:val="009C3FA3"/>
    <w:rsid w:val="009C45D9"/>
    <w:rsid w:val="009C5BE3"/>
    <w:rsid w:val="009C6530"/>
    <w:rsid w:val="009C6F32"/>
    <w:rsid w:val="009C739E"/>
    <w:rsid w:val="009D2BEF"/>
    <w:rsid w:val="009D358E"/>
    <w:rsid w:val="009D4355"/>
    <w:rsid w:val="009D7187"/>
    <w:rsid w:val="009D783B"/>
    <w:rsid w:val="009E01DD"/>
    <w:rsid w:val="009E547A"/>
    <w:rsid w:val="009E7C71"/>
    <w:rsid w:val="009F30C8"/>
    <w:rsid w:val="009F4054"/>
    <w:rsid w:val="009F4D64"/>
    <w:rsid w:val="009F58D8"/>
    <w:rsid w:val="00A02303"/>
    <w:rsid w:val="00A02F7D"/>
    <w:rsid w:val="00A03791"/>
    <w:rsid w:val="00A06657"/>
    <w:rsid w:val="00A07619"/>
    <w:rsid w:val="00A12DA0"/>
    <w:rsid w:val="00A16DFA"/>
    <w:rsid w:val="00A17C0A"/>
    <w:rsid w:val="00A2116C"/>
    <w:rsid w:val="00A22FA7"/>
    <w:rsid w:val="00A238D0"/>
    <w:rsid w:val="00A3144F"/>
    <w:rsid w:val="00A33919"/>
    <w:rsid w:val="00A3408E"/>
    <w:rsid w:val="00A346B2"/>
    <w:rsid w:val="00A3601F"/>
    <w:rsid w:val="00A36968"/>
    <w:rsid w:val="00A41149"/>
    <w:rsid w:val="00A425DC"/>
    <w:rsid w:val="00A44745"/>
    <w:rsid w:val="00A44F15"/>
    <w:rsid w:val="00A463B2"/>
    <w:rsid w:val="00A46804"/>
    <w:rsid w:val="00A47B7B"/>
    <w:rsid w:val="00A50621"/>
    <w:rsid w:val="00A50EDF"/>
    <w:rsid w:val="00A54175"/>
    <w:rsid w:val="00A56809"/>
    <w:rsid w:val="00A60D9A"/>
    <w:rsid w:val="00A63441"/>
    <w:rsid w:val="00A63A07"/>
    <w:rsid w:val="00A654A2"/>
    <w:rsid w:val="00A655AB"/>
    <w:rsid w:val="00A65B78"/>
    <w:rsid w:val="00A67153"/>
    <w:rsid w:val="00A67183"/>
    <w:rsid w:val="00A70079"/>
    <w:rsid w:val="00A71B28"/>
    <w:rsid w:val="00A76391"/>
    <w:rsid w:val="00A76452"/>
    <w:rsid w:val="00A80CC4"/>
    <w:rsid w:val="00A83F5F"/>
    <w:rsid w:val="00A84DF8"/>
    <w:rsid w:val="00A86D3D"/>
    <w:rsid w:val="00A9013E"/>
    <w:rsid w:val="00A915F3"/>
    <w:rsid w:val="00A9324C"/>
    <w:rsid w:val="00A94B17"/>
    <w:rsid w:val="00A94F1F"/>
    <w:rsid w:val="00A95347"/>
    <w:rsid w:val="00AA1D89"/>
    <w:rsid w:val="00AA2D87"/>
    <w:rsid w:val="00AA3419"/>
    <w:rsid w:val="00AA39D1"/>
    <w:rsid w:val="00AA471D"/>
    <w:rsid w:val="00AA4B1C"/>
    <w:rsid w:val="00AA6188"/>
    <w:rsid w:val="00AA7C27"/>
    <w:rsid w:val="00AA7E33"/>
    <w:rsid w:val="00AB265E"/>
    <w:rsid w:val="00AB2948"/>
    <w:rsid w:val="00AB39FA"/>
    <w:rsid w:val="00AB3B30"/>
    <w:rsid w:val="00AB426C"/>
    <w:rsid w:val="00AB451C"/>
    <w:rsid w:val="00AB4F66"/>
    <w:rsid w:val="00AB52BE"/>
    <w:rsid w:val="00AB59F2"/>
    <w:rsid w:val="00AC2BF3"/>
    <w:rsid w:val="00AC3514"/>
    <w:rsid w:val="00AC3E62"/>
    <w:rsid w:val="00AC5AF9"/>
    <w:rsid w:val="00AC6192"/>
    <w:rsid w:val="00AC7B61"/>
    <w:rsid w:val="00AD2AD1"/>
    <w:rsid w:val="00AD2F03"/>
    <w:rsid w:val="00AD3431"/>
    <w:rsid w:val="00AD57FE"/>
    <w:rsid w:val="00AD6933"/>
    <w:rsid w:val="00AD6B7B"/>
    <w:rsid w:val="00AD7CAB"/>
    <w:rsid w:val="00AE0D6A"/>
    <w:rsid w:val="00AE10BE"/>
    <w:rsid w:val="00AE16C9"/>
    <w:rsid w:val="00AE3EF5"/>
    <w:rsid w:val="00AE4F2A"/>
    <w:rsid w:val="00AE5F33"/>
    <w:rsid w:val="00AF0873"/>
    <w:rsid w:val="00AF0AD5"/>
    <w:rsid w:val="00AF15E6"/>
    <w:rsid w:val="00AF51E7"/>
    <w:rsid w:val="00AF6744"/>
    <w:rsid w:val="00AF715E"/>
    <w:rsid w:val="00AF769C"/>
    <w:rsid w:val="00B0079B"/>
    <w:rsid w:val="00B03A2E"/>
    <w:rsid w:val="00B05620"/>
    <w:rsid w:val="00B06862"/>
    <w:rsid w:val="00B07094"/>
    <w:rsid w:val="00B12E05"/>
    <w:rsid w:val="00B12EBE"/>
    <w:rsid w:val="00B14EE7"/>
    <w:rsid w:val="00B16431"/>
    <w:rsid w:val="00B166A4"/>
    <w:rsid w:val="00B219B7"/>
    <w:rsid w:val="00B25038"/>
    <w:rsid w:val="00B27FF1"/>
    <w:rsid w:val="00B30723"/>
    <w:rsid w:val="00B3159A"/>
    <w:rsid w:val="00B31DE0"/>
    <w:rsid w:val="00B32EAF"/>
    <w:rsid w:val="00B33465"/>
    <w:rsid w:val="00B340F2"/>
    <w:rsid w:val="00B354FC"/>
    <w:rsid w:val="00B35C09"/>
    <w:rsid w:val="00B36E22"/>
    <w:rsid w:val="00B379C5"/>
    <w:rsid w:val="00B412BB"/>
    <w:rsid w:val="00B4183F"/>
    <w:rsid w:val="00B42198"/>
    <w:rsid w:val="00B42CAB"/>
    <w:rsid w:val="00B43AF3"/>
    <w:rsid w:val="00B46AD2"/>
    <w:rsid w:val="00B47178"/>
    <w:rsid w:val="00B47E35"/>
    <w:rsid w:val="00B5030B"/>
    <w:rsid w:val="00B51B5F"/>
    <w:rsid w:val="00B57EB9"/>
    <w:rsid w:val="00B64BBE"/>
    <w:rsid w:val="00B67DE1"/>
    <w:rsid w:val="00B70804"/>
    <w:rsid w:val="00B70CC6"/>
    <w:rsid w:val="00B716CA"/>
    <w:rsid w:val="00B73894"/>
    <w:rsid w:val="00B742B4"/>
    <w:rsid w:val="00B770CB"/>
    <w:rsid w:val="00B8193F"/>
    <w:rsid w:val="00B82A82"/>
    <w:rsid w:val="00B8464A"/>
    <w:rsid w:val="00B8473D"/>
    <w:rsid w:val="00B8749D"/>
    <w:rsid w:val="00B90410"/>
    <w:rsid w:val="00B90E10"/>
    <w:rsid w:val="00B94571"/>
    <w:rsid w:val="00B964CA"/>
    <w:rsid w:val="00BA31C4"/>
    <w:rsid w:val="00BA4655"/>
    <w:rsid w:val="00BA506F"/>
    <w:rsid w:val="00BA78B6"/>
    <w:rsid w:val="00BA7935"/>
    <w:rsid w:val="00BB047B"/>
    <w:rsid w:val="00BB1D66"/>
    <w:rsid w:val="00BB4818"/>
    <w:rsid w:val="00BB4AF3"/>
    <w:rsid w:val="00BB4BC8"/>
    <w:rsid w:val="00BB6398"/>
    <w:rsid w:val="00BB76B9"/>
    <w:rsid w:val="00BC02B3"/>
    <w:rsid w:val="00BC25EF"/>
    <w:rsid w:val="00BC2DAF"/>
    <w:rsid w:val="00BC4FD3"/>
    <w:rsid w:val="00BC5726"/>
    <w:rsid w:val="00BC5902"/>
    <w:rsid w:val="00BC5A51"/>
    <w:rsid w:val="00BC6827"/>
    <w:rsid w:val="00BC6C7A"/>
    <w:rsid w:val="00BC7D9E"/>
    <w:rsid w:val="00BD0372"/>
    <w:rsid w:val="00BD15F9"/>
    <w:rsid w:val="00BD44F5"/>
    <w:rsid w:val="00BD57A7"/>
    <w:rsid w:val="00BE1E04"/>
    <w:rsid w:val="00BE3A3F"/>
    <w:rsid w:val="00BE3DA1"/>
    <w:rsid w:val="00BE4340"/>
    <w:rsid w:val="00BE5C41"/>
    <w:rsid w:val="00BF0646"/>
    <w:rsid w:val="00BF0767"/>
    <w:rsid w:val="00BF1C32"/>
    <w:rsid w:val="00BF70EC"/>
    <w:rsid w:val="00BF76A6"/>
    <w:rsid w:val="00C0068D"/>
    <w:rsid w:val="00C01F23"/>
    <w:rsid w:val="00C044BE"/>
    <w:rsid w:val="00C04BAB"/>
    <w:rsid w:val="00C0607B"/>
    <w:rsid w:val="00C066AC"/>
    <w:rsid w:val="00C06DEF"/>
    <w:rsid w:val="00C075A2"/>
    <w:rsid w:val="00C077D5"/>
    <w:rsid w:val="00C077E5"/>
    <w:rsid w:val="00C107CB"/>
    <w:rsid w:val="00C118C4"/>
    <w:rsid w:val="00C11F58"/>
    <w:rsid w:val="00C120D7"/>
    <w:rsid w:val="00C12946"/>
    <w:rsid w:val="00C132D1"/>
    <w:rsid w:val="00C139CA"/>
    <w:rsid w:val="00C13A7D"/>
    <w:rsid w:val="00C241A8"/>
    <w:rsid w:val="00C24ABA"/>
    <w:rsid w:val="00C2516D"/>
    <w:rsid w:val="00C264CB"/>
    <w:rsid w:val="00C31253"/>
    <w:rsid w:val="00C35129"/>
    <w:rsid w:val="00C35C19"/>
    <w:rsid w:val="00C375AB"/>
    <w:rsid w:val="00C40CC2"/>
    <w:rsid w:val="00C40E16"/>
    <w:rsid w:val="00C41197"/>
    <w:rsid w:val="00C419DB"/>
    <w:rsid w:val="00C4326B"/>
    <w:rsid w:val="00C44203"/>
    <w:rsid w:val="00C44E12"/>
    <w:rsid w:val="00C476F1"/>
    <w:rsid w:val="00C51429"/>
    <w:rsid w:val="00C51E8F"/>
    <w:rsid w:val="00C52CE9"/>
    <w:rsid w:val="00C52FC0"/>
    <w:rsid w:val="00C53F9E"/>
    <w:rsid w:val="00C559E9"/>
    <w:rsid w:val="00C608C1"/>
    <w:rsid w:val="00C63D4E"/>
    <w:rsid w:val="00C63EA9"/>
    <w:rsid w:val="00C665A0"/>
    <w:rsid w:val="00C67725"/>
    <w:rsid w:val="00C700F3"/>
    <w:rsid w:val="00C7092F"/>
    <w:rsid w:val="00C751D1"/>
    <w:rsid w:val="00C76DDA"/>
    <w:rsid w:val="00C807B3"/>
    <w:rsid w:val="00C825C9"/>
    <w:rsid w:val="00C85FC5"/>
    <w:rsid w:val="00C86CC3"/>
    <w:rsid w:val="00C86E37"/>
    <w:rsid w:val="00C901B1"/>
    <w:rsid w:val="00C90EBC"/>
    <w:rsid w:val="00C9149F"/>
    <w:rsid w:val="00C91B69"/>
    <w:rsid w:val="00C94B10"/>
    <w:rsid w:val="00CA34F0"/>
    <w:rsid w:val="00CA3856"/>
    <w:rsid w:val="00CA5A3F"/>
    <w:rsid w:val="00CA67E0"/>
    <w:rsid w:val="00CA7D4F"/>
    <w:rsid w:val="00CB0122"/>
    <w:rsid w:val="00CB0269"/>
    <w:rsid w:val="00CB0833"/>
    <w:rsid w:val="00CB18F5"/>
    <w:rsid w:val="00CB4B10"/>
    <w:rsid w:val="00CC008E"/>
    <w:rsid w:val="00CC02ED"/>
    <w:rsid w:val="00CC0555"/>
    <w:rsid w:val="00CC2C55"/>
    <w:rsid w:val="00CC63EB"/>
    <w:rsid w:val="00CD022A"/>
    <w:rsid w:val="00CD03BE"/>
    <w:rsid w:val="00CD0707"/>
    <w:rsid w:val="00CD1A25"/>
    <w:rsid w:val="00CD2E16"/>
    <w:rsid w:val="00CD35D1"/>
    <w:rsid w:val="00CD6554"/>
    <w:rsid w:val="00CD65E7"/>
    <w:rsid w:val="00CD7BFC"/>
    <w:rsid w:val="00CE2B95"/>
    <w:rsid w:val="00CE2F1A"/>
    <w:rsid w:val="00CE536E"/>
    <w:rsid w:val="00CE5A34"/>
    <w:rsid w:val="00CE7012"/>
    <w:rsid w:val="00CF104B"/>
    <w:rsid w:val="00CF1A11"/>
    <w:rsid w:val="00CF30FC"/>
    <w:rsid w:val="00CF4286"/>
    <w:rsid w:val="00CF5CB2"/>
    <w:rsid w:val="00D00EF1"/>
    <w:rsid w:val="00D019BA"/>
    <w:rsid w:val="00D01B9F"/>
    <w:rsid w:val="00D03251"/>
    <w:rsid w:val="00D03B38"/>
    <w:rsid w:val="00D03F87"/>
    <w:rsid w:val="00D04C60"/>
    <w:rsid w:val="00D04CD4"/>
    <w:rsid w:val="00D07174"/>
    <w:rsid w:val="00D10B52"/>
    <w:rsid w:val="00D1208B"/>
    <w:rsid w:val="00D12095"/>
    <w:rsid w:val="00D1229A"/>
    <w:rsid w:val="00D2008D"/>
    <w:rsid w:val="00D21AEC"/>
    <w:rsid w:val="00D22D06"/>
    <w:rsid w:val="00D24772"/>
    <w:rsid w:val="00D24EEE"/>
    <w:rsid w:val="00D266A5"/>
    <w:rsid w:val="00D26E91"/>
    <w:rsid w:val="00D272A6"/>
    <w:rsid w:val="00D3127C"/>
    <w:rsid w:val="00D3441D"/>
    <w:rsid w:val="00D34BAB"/>
    <w:rsid w:val="00D355C4"/>
    <w:rsid w:val="00D3612A"/>
    <w:rsid w:val="00D37703"/>
    <w:rsid w:val="00D37DBF"/>
    <w:rsid w:val="00D37F25"/>
    <w:rsid w:val="00D4242C"/>
    <w:rsid w:val="00D42F4F"/>
    <w:rsid w:val="00D44141"/>
    <w:rsid w:val="00D53305"/>
    <w:rsid w:val="00D56A53"/>
    <w:rsid w:val="00D576BA"/>
    <w:rsid w:val="00D6041B"/>
    <w:rsid w:val="00D61672"/>
    <w:rsid w:val="00D6324F"/>
    <w:rsid w:val="00D63458"/>
    <w:rsid w:val="00D65C4D"/>
    <w:rsid w:val="00D66D37"/>
    <w:rsid w:val="00D73D77"/>
    <w:rsid w:val="00D750CC"/>
    <w:rsid w:val="00D758DC"/>
    <w:rsid w:val="00D840C3"/>
    <w:rsid w:val="00D84369"/>
    <w:rsid w:val="00D84C8F"/>
    <w:rsid w:val="00D873AD"/>
    <w:rsid w:val="00D90BEE"/>
    <w:rsid w:val="00D91AAC"/>
    <w:rsid w:val="00D91C06"/>
    <w:rsid w:val="00D91C9F"/>
    <w:rsid w:val="00D93FD1"/>
    <w:rsid w:val="00D958B5"/>
    <w:rsid w:val="00DA08F5"/>
    <w:rsid w:val="00DA2ADC"/>
    <w:rsid w:val="00DA4FC7"/>
    <w:rsid w:val="00DB01E2"/>
    <w:rsid w:val="00DB0764"/>
    <w:rsid w:val="00DB3506"/>
    <w:rsid w:val="00DB6150"/>
    <w:rsid w:val="00DB7098"/>
    <w:rsid w:val="00DB7A9A"/>
    <w:rsid w:val="00DC07CA"/>
    <w:rsid w:val="00DC1443"/>
    <w:rsid w:val="00DC3177"/>
    <w:rsid w:val="00DC3276"/>
    <w:rsid w:val="00DC55CB"/>
    <w:rsid w:val="00DC65D4"/>
    <w:rsid w:val="00DD13AB"/>
    <w:rsid w:val="00DD2841"/>
    <w:rsid w:val="00DD37D8"/>
    <w:rsid w:val="00DD4EB5"/>
    <w:rsid w:val="00DD5902"/>
    <w:rsid w:val="00DD6B9B"/>
    <w:rsid w:val="00DE01A4"/>
    <w:rsid w:val="00DE0B70"/>
    <w:rsid w:val="00DE0D57"/>
    <w:rsid w:val="00DE3DA2"/>
    <w:rsid w:val="00DE3E40"/>
    <w:rsid w:val="00DE4597"/>
    <w:rsid w:val="00DE4E71"/>
    <w:rsid w:val="00DE643F"/>
    <w:rsid w:val="00DF501F"/>
    <w:rsid w:val="00DF6840"/>
    <w:rsid w:val="00DF6906"/>
    <w:rsid w:val="00E010AB"/>
    <w:rsid w:val="00E015AD"/>
    <w:rsid w:val="00E0233F"/>
    <w:rsid w:val="00E02678"/>
    <w:rsid w:val="00E0338D"/>
    <w:rsid w:val="00E050EC"/>
    <w:rsid w:val="00E05865"/>
    <w:rsid w:val="00E05CF8"/>
    <w:rsid w:val="00E06262"/>
    <w:rsid w:val="00E0748A"/>
    <w:rsid w:val="00E128A9"/>
    <w:rsid w:val="00E143DA"/>
    <w:rsid w:val="00E14BA3"/>
    <w:rsid w:val="00E1604D"/>
    <w:rsid w:val="00E16744"/>
    <w:rsid w:val="00E23998"/>
    <w:rsid w:val="00E2585F"/>
    <w:rsid w:val="00E25953"/>
    <w:rsid w:val="00E26F3A"/>
    <w:rsid w:val="00E27F5A"/>
    <w:rsid w:val="00E3142A"/>
    <w:rsid w:val="00E32BEA"/>
    <w:rsid w:val="00E32F5B"/>
    <w:rsid w:val="00E34969"/>
    <w:rsid w:val="00E37322"/>
    <w:rsid w:val="00E3799F"/>
    <w:rsid w:val="00E37DA2"/>
    <w:rsid w:val="00E4121B"/>
    <w:rsid w:val="00E41407"/>
    <w:rsid w:val="00E42016"/>
    <w:rsid w:val="00E42340"/>
    <w:rsid w:val="00E42FA4"/>
    <w:rsid w:val="00E436C2"/>
    <w:rsid w:val="00E43ACF"/>
    <w:rsid w:val="00E43B5E"/>
    <w:rsid w:val="00E452E6"/>
    <w:rsid w:val="00E45864"/>
    <w:rsid w:val="00E4622C"/>
    <w:rsid w:val="00E47F40"/>
    <w:rsid w:val="00E51FFB"/>
    <w:rsid w:val="00E529DD"/>
    <w:rsid w:val="00E52DD0"/>
    <w:rsid w:val="00E52DD3"/>
    <w:rsid w:val="00E5471E"/>
    <w:rsid w:val="00E558A4"/>
    <w:rsid w:val="00E576D9"/>
    <w:rsid w:val="00E65C76"/>
    <w:rsid w:val="00E65EA1"/>
    <w:rsid w:val="00E6605D"/>
    <w:rsid w:val="00E6611F"/>
    <w:rsid w:val="00E74239"/>
    <w:rsid w:val="00E7453A"/>
    <w:rsid w:val="00E83897"/>
    <w:rsid w:val="00E85F16"/>
    <w:rsid w:val="00E8733F"/>
    <w:rsid w:val="00E9168B"/>
    <w:rsid w:val="00E91A28"/>
    <w:rsid w:val="00E923A0"/>
    <w:rsid w:val="00E9265B"/>
    <w:rsid w:val="00E95253"/>
    <w:rsid w:val="00E978F3"/>
    <w:rsid w:val="00EA17AF"/>
    <w:rsid w:val="00EA1CB1"/>
    <w:rsid w:val="00EA4076"/>
    <w:rsid w:val="00EA6125"/>
    <w:rsid w:val="00EA679C"/>
    <w:rsid w:val="00EB25D1"/>
    <w:rsid w:val="00EB483C"/>
    <w:rsid w:val="00EC0435"/>
    <w:rsid w:val="00EC4071"/>
    <w:rsid w:val="00EC6DB7"/>
    <w:rsid w:val="00EC7180"/>
    <w:rsid w:val="00ED209D"/>
    <w:rsid w:val="00ED418D"/>
    <w:rsid w:val="00ED46C4"/>
    <w:rsid w:val="00ED5F88"/>
    <w:rsid w:val="00ED5FB3"/>
    <w:rsid w:val="00ED664B"/>
    <w:rsid w:val="00ED7359"/>
    <w:rsid w:val="00ED7C2E"/>
    <w:rsid w:val="00EE47D1"/>
    <w:rsid w:val="00EE5111"/>
    <w:rsid w:val="00EE56A8"/>
    <w:rsid w:val="00EF157F"/>
    <w:rsid w:val="00EF2730"/>
    <w:rsid w:val="00EF28D7"/>
    <w:rsid w:val="00EF2BD7"/>
    <w:rsid w:val="00EF3029"/>
    <w:rsid w:val="00EF3459"/>
    <w:rsid w:val="00F01D63"/>
    <w:rsid w:val="00F02023"/>
    <w:rsid w:val="00F03786"/>
    <w:rsid w:val="00F03AB8"/>
    <w:rsid w:val="00F0555F"/>
    <w:rsid w:val="00F05E37"/>
    <w:rsid w:val="00F0737D"/>
    <w:rsid w:val="00F07897"/>
    <w:rsid w:val="00F07EF7"/>
    <w:rsid w:val="00F112AC"/>
    <w:rsid w:val="00F11D23"/>
    <w:rsid w:val="00F130AD"/>
    <w:rsid w:val="00F16812"/>
    <w:rsid w:val="00F2002D"/>
    <w:rsid w:val="00F20372"/>
    <w:rsid w:val="00F20513"/>
    <w:rsid w:val="00F22093"/>
    <w:rsid w:val="00F227E8"/>
    <w:rsid w:val="00F24647"/>
    <w:rsid w:val="00F25DD6"/>
    <w:rsid w:val="00F26303"/>
    <w:rsid w:val="00F26374"/>
    <w:rsid w:val="00F26A9F"/>
    <w:rsid w:val="00F30DE4"/>
    <w:rsid w:val="00F32CC4"/>
    <w:rsid w:val="00F331B5"/>
    <w:rsid w:val="00F34AF9"/>
    <w:rsid w:val="00F34BFF"/>
    <w:rsid w:val="00F41E62"/>
    <w:rsid w:val="00F427BB"/>
    <w:rsid w:val="00F42C21"/>
    <w:rsid w:val="00F43DC1"/>
    <w:rsid w:val="00F44A08"/>
    <w:rsid w:val="00F45725"/>
    <w:rsid w:val="00F47B58"/>
    <w:rsid w:val="00F47BED"/>
    <w:rsid w:val="00F53521"/>
    <w:rsid w:val="00F53991"/>
    <w:rsid w:val="00F53A7D"/>
    <w:rsid w:val="00F5567D"/>
    <w:rsid w:val="00F55922"/>
    <w:rsid w:val="00F568A4"/>
    <w:rsid w:val="00F614EC"/>
    <w:rsid w:val="00F61722"/>
    <w:rsid w:val="00F617C6"/>
    <w:rsid w:val="00F6208E"/>
    <w:rsid w:val="00F66A33"/>
    <w:rsid w:val="00F66F45"/>
    <w:rsid w:val="00F66F7C"/>
    <w:rsid w:val="00F70439"/>
    <w:rsid w:val="00F70BA5"/>
    <w:rsid w:val="00F71818"/>
    <w:rsid w:val="00F73842"/>
    <w:rsid w:val="00F73B39"/>
    <w:rsid w:val="00F74981"/>
    <w:rsid w:val="00F75C04"/>
    <w:rsid w:val="00F80519"/>
    <w:rsid w:val="00F80A0A"/>
    <w:rsid w:val="00F81D1C"/>
    <w:rsid w:val="00F8234A"/>
    <w:rsid w:val="00F8308D"/>
    <w:rsid w:val="00F83D72"/>
    <w:rsid w:val="00F90692"/>
    <w:rsid w:val="00F918D5"/>
    <w:rsid w:val="00F953B6"/>
    <w:rsid w:val="00F95772"/>
    <w:rsid w:val="00FA239A"/>
    <w:rsid w:val="00FA27ED"/>
    <w:rsid w:val="00FA29A2"/>
    <w:rsid w:val="00FA7AF1"/>
    <w:rsid w:val="00FB070A"/>
    <w:rsid w:val="00FB119A"/>
    <w:rsid w:val="00FB1CF9"/>
    <w:rsid w:val="00FB1F89"/>
    <w:rsid w:val="00FB2CA2"/>
    <w:rsid w:val="00FB4289"/>
    <w:rsid w:val="00FB4FAB"/>
    <w:rsid w:val="00FB592E"/>
    <w:rsid w:val="00FB77D7"/>
    <w:rsid w:val="00FC0149"/>
    <w:rsid w:val="00FC1824"/>
    <w:rsid w:val="00FC2985"/>
    <w:rsid w:val="00FC7254"/>
    <w:rsid w:val="00FD008B"/>
    <w:rsid w:val="00FD0E0E"/>
    <w:rsid w:val="00FD12A2"/>
    <w:rsid w:val="00FD3228"/>
    <w:rsid w:val="00FD424D"/>
    <w:rsid w:val="00FD5803"/>
    <w:rsid w:val="00FD7305"/>
    <w:rsid w:val="00FE0CFE"/>
    <w:rsid w:val="00FE2CE3"/>
    <w:rsid w:val="00FE2CF0"/>
    <w:rsid w:val="00FE41BE"/>
    <w:rsid w:val="00FE4756"/>
    <w:rsid w:val="00FE546C"/>
    <w:rsid w:val="00FE6264"/>
    <w:rsid w:val="00FF20D4"/>
    <w:rsid w:val="00FF261E"/>
    <w:rsid w:val="00FF2AF6"/>
    <w:rsid w:val="00FF3F44"/>
    <w:rsid w:val="00FF45BB"/>
    <w:rsid w:val="00FF491C"/>
    <w:rsid w:val="00FF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FFA61A"/>
  <w15:chartTrackingRefBased/>
  <w15:docId w15:val="{AA3AE4D8-6686-472D-B91C-A11FA218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BodyText">
    <w:name w:val="Body Text"/>
    <w:basedOn w:val="Normal"/>
    <w:link w:val="BodyTextChar"/>
    <w:rsid w:val="009C2B55"/>
    <w:pPr>
      <w:spacing w:after="240"/>
    </w:pPr>
    <w:rPr>
      <w:rFonts w:ascii="Arial" w:hAnsi="Arial"/>
      <w:szCs w:val="20"/>
      <w:lang w:val="x-none"/>
    </w:rPr>
  </w:style>
  <w:style w:type="character" w:customStyle="1" w:styleId="BodyTextChar">
    <w:name w:val="Body Text Char"/>
    <w:basedOn w:val="DefaultParagraphFont"/>
    <w:link w:val="BodyText"/>
    <w:rsid w:val="009C2B55"/>
    <w:rPr>
      <w:rFonts w:ascii="Arial" w:hAnsi="Arial"/>
      <w:sz w:val="24"/>
      <w:lang w:val="x-none" w:eastAsia="en-US"/>
    </w:rPr>
  </w:style>
  <w:style w:type="paragraph" w:customStyle="1" w:styleId="Bullets">
    <w:name w:val="Bullets"/>
    <w:basedOn w:val="Normal"/>
    <w:uiPriority w:val="5"/>
    <w:qFormat/>
    <w:rsid w:val="003E3D04"/>
    <w:pPr>
      <w:numPr>
        <w:numId w:val="23"/>
      </w:numPr>
      <w:spacing w:after="120" w:line="276" w:lineRule="auto"/>
    </w:pPr>
    <w:rPr>
      <w:rFonts w:ascii="Arial" w:hAnsi="Arial"/>
      <w:lang w:eastAsia="en-GB"/>
    </w:rPr>
  </w:style>
  <w:style w:type="paragraph" w:customStyle="1" w:styleId="Paragraphnonumbers">
    <w:name w:val="Paragraph no numbers"/>
    <w:basedOn w:val="Normal"/>
    <w:uiPriority w:val="99"/>
    <w:qFormat/>
    <w:rsid w:val="003E3D04"/>
    <w:pPr>
      <w:spacing w:after="24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76421">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74812749">
      <w:bodyDiv w:val="1"/>
      <w:marLeft w:val="0"/>
      <w:marRight w:val="0"/>
      <w:marTop w:val="0"/>
      <w:marBottom w:val="0"/>
      <w:divBdr>
        <w:top w:val="none" w:sz="0" w:space="0" w:color="auto"/>
        <w:left w:val="none" w:sz="0" w:space="0" w:color="auto"/>
        <w:bottom w:val="none" w:sz="0" w:space="0" w:color="auto"/>
        <w:right w:val="none" w:sz="0" w:space="0" w:color="auto"/>
      </w:divBdr>
    </w:div>
    <w:div w:id="389616576">
      <w:bodyDiv w:val="1"/>
      <w:marLeft w:val="0"/>
      <w:marRight w:val="0"/>
      <w:marTop w:val="0"/>
      <w:marBottom w:val="0"/>
      <w:divBdr>
        <w:top w:val="none" w:sz="0" w:space="0" w:color="auto"/>
        <w:left w:val="none" w:sz="0" w:space="0" w:color="auto"/>
        <w:bottom w:val="none" w:sz="0" w:space="0" w:color="auto"/>
        <w:right w:val="none" w:sz="0" w:space="0" w:color="auto"/>
      </w:divBdr>
    </w:div>
    <w:div w:id="412817399">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95108897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975745854">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61" TargetMode="External"/><Relationship Id="rId13" Type="http://schemas.openxmlformats.org/officeDocument/2006/relationships/hyperlink" Target="https://www.nice.org.uk/Get-Involved/Meetings-in-public/Technology-appraisal-Committee/Committee-B-Memb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ocess/pmg9/chapter/the-appraisal-of-the-evidence-and-structured-decision-ma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indevelopment/gid-ta1036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ma.europa.eu/en/documents/product-information/cablivi-epar-product-information_en.pdf"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62540-23C1-4A03-852D-241AA1E5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1</TotalTime>
  <Pages>23</Pages>
  <Words>6210</Words>
  <Characters>35398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41525</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Mary Hughes</dc:creator>
  <cp:keywords/>
  <cp:lastModifiedBy>Joanne Ekeledo</cp:lastModifiedBy>
  <cp:revision>2</cp:revision>
  <cp:lastPrinted>2012-11-14T14:34:00Z</cp:lastPrinted>
  <dcterms:created xsi:type="dcterms:W3CDTF">2020-06-10T09:48:00Z</dcterms:created>
  <dcterms:modified xsi:type="dcterms:W3CDTF">2020-06-10T09:48:00Z</dcterms:modified>
</cp:coreProperties>
</file>