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28D41" w14:textId="77777777" w:rsidR="00713A7A" w:rsidRPr="000F48EC" w:rsidRDefault="00713A7A" w:rsidP="0093671F">
      <w:pPr>
        <w:pStyle w:val="Title2"/>
      </w:pPr>
      <w:r w:rsidRPr="000F48EC">
        <w:t>NATIONAL INSTITUTE FOR HEALTH AND C</w:t>
      </w:r>
      <w:r>
        <w:t>ARE</w:t>
      </w:r>
      <w:r w:rsidRPr="000F48EC">
        <w:t xml:space="preserve"> EXCELLENCE</w:t>
      </w:r>
    </w:p>
    <w:p w14:paraId="51B1D4B9" w14:textId="77777777" w:rsidR="00713A7A" w:rsidRPr="000F48EC" w:rsidRDefault="00713A7A" w:rsidP="000069F9">
      <w:pPr>
        <w:pStyle w:val="Title2"/>
      </w:pPr>
      <w:r>
        <w:t>Appraisal consultation document</w:t>
      </w:r>
    </w:p>
    <w:p w14:paraId="2E3A9C71" w14:textId="70F253AB" w:rsidR="00713A7A" w:rsidRDefault="00713A7A" w:rsidP="00034110">
      <w:pPr>
        <w:pStyle w:val="Title1"/>
      </w:pPr>
      <w:r>
        <w:t xml:space="preserve">Encorafenib </w:t>
      </w:r>
      <w:r w:rsidR="001B3AC4">
        <w:t xml:space="preserve">plus </w:t>
      </w:r>
      <w:r w:rsidR="0074274F">
        <w:t>cetuximab</w:t>
      </w:r>
      <w:r>
        <w:t xml:space="preserve"> for previously treated BRAF V600E mutation-positive metastatic colorectal cancer</w:t>
      </w:r>
    </w:p>
    <w:p w14:paraId="1510251F" w14:textId="77777777" w:rsidR="00F6084A" w:rsidRDefault="00F6084A" w:rsidP="002C4E3E">
      <w:pPr>
        <w:pStyle w:val="NICEnormal"/>
      </w:pPr>
    </w:p>
    <w:p w14:paraId="0A970D03" w14:textId="1A3CC66A" w:rsidR="00590A2E" w:rsidRDefault="00590A2E">
      <w:pPr>
        <w:rPr>
          <w:rFonts w:ascii="Arial" w:hAnsi="Arial"/>
        </w:rPr>
      </w:pPr>
      <w:r w:rsidRPr="00F6084A">
        <w:rPr>
          <w:noProof/>
        </w:rPr>
        <mc:AlternateContent>
          <mc:Choice Requires="wps">
            <w:drawing>
              <wp:anchor distT="0" distB="0" distL="114300" distR="114300" simplePos="0" relativeHeight="251661312" behindDoc="0" locked="0" layoutInCell="1" allowOverlap="1" wp14:anchorId="46ED8949" wp14:editId="21B8A337">
                <wp:simplePos x="0" y="0"/>
                <wp:positionH relativeFrom="margin">
                  <wp:posOffset>0</wp:posOffset>
                </wp:positionH>
                <wp:positionV relativeFrom="paragraph">
                  <wp:posOffset>19050</wp:posOffset>
                </wp:positionV>
                <wp:extent cx="5248275" cy="5048250"/>
                <wp:effectExtent l="19050" t="19050" r="28575" b="19050"/>
                <wp:wrapNone/>
                <wp:docPr id="2" name="Text Box 2" descr="Primary panel"/>
                <wp:cNvGraphicFramePr/>
                <a:graphic xmlns:a="http://schemas.openxmlformats.org/drawingml/2006/main">
                  <a:graphicData uri="http://schemas.microsoft.com/office/word/2010/wordprocessingShape">
                    <wps:wsp>
                      <wps:cNvSpPr txBox="1"/>
                      <wps:spPr>
                        <a:xfrm>
                          <a:off x="0" y="0"/>
                          <a:ext cx="5248275" cy="5048250"/>
                        </a:xfrm>
                        <a:prstGeom prst="rect">
                          <a:avLst/>
                        </a:prstGeom>
                        <a:solidFill>
                          <a:sysClr val="window" lastClr="FFFFFF"/>
                        </a:solidFill>
                        <a:ln w="38100">
                          <a:solidFill>
                            <a:srgbClr val="A2BDC1"/>
                          </a:solidFill>
                        </a:ln>
                      </wps:spPr>
                      <wps:txbx>
                        <w:txbxContent>
                          <w:p w14:paraId="242A45EF" w14:textId="698F59FD" w:rsidR="00590A2E" w:rsidRPr="00981B9F" w:rsidRDefault="00590A2E" w:rsidP="00590A2E">
                            <w:pPr>
                              <w:pStyle w:val="NICEnormalsinglespacing"/>
                            </w:pPr>
                            <w:r w:rsidRPr="00981B9F">
                              <w:t xml:space="preserve">The Department of Health </w:t>
                            </w:r>
                            <w:r>
                              <w:t xml:space="preserve">and Social Care </w:t>
                            </w:r>
                            <w:r w:rsidRPr="00981B9F">
                              <w:t xml:space="preserve">has asked the National Institute for Health and Care Excellence (NICE) to produce guidance on using </w:t>
                            </w:r>
                            <w:r>
                              <w:t>encorafenib with cetuximab</w:t>
                            </w:r>
                            <w:r w:rsidRPr="00981B9F">
                              <w:t xml:space="preserve"> in the NHS in England. The </w:t>
                            </w:r>
                            <w:r>
                              <w:t>a</w:t>
                            </w:r>
                            <w:r w:rsidRPr="00981B9F">
                              <w:t xml:space="preserve">ppraisal </w:t>
                            </w:r>
                            <w:r>
                              <w:t>c</w:t>
                            </w:r>
                            <w:r w:rsidRPr="00981B9F">
                              <w:t xml:space="preserve">ommittee has considered the evidence submitted by the </w:t>
                            </w:r>
                            <w:r>
                              <w:t>company</w:t>
                            </w:r>
                            <w:r w:rsidRPr="00981B9F">
                              <w:t xml:space="preserve"> and the views of non-</w:t>
                            </w:r>
                            <w:r>
                              <w:t>company</w:t>
                            </w:r>
                            <w:r w:rsidRPr="00981B9F">
                              <w:t xml:space="preserve"> consultees and commentators, clinical </w:t>
                            </w:r>
                            <w:r>
                              <w:t>experts</w:t>
                            </w:r>
                            <w:r w:rsidRPr="00981B9F">
                              <w:t xml:space="preserve"> and patient experts.</w:t>
                            </w:r>
                          </w:p>
                          <w:p w14:paraId="04C9B7C5" w14:textId="77777777" w:rsidR="00590A2E" w:rsidRPr="00981B9F" w:rsidRDefault="00590A2E" w:rsidP="00590A2E">
                            <w:pPr>
                              <w:pStyle w:val="NICEnormalsinglespacing"/>
                            </w:pPr>
                            <w:r w:rsidRPr="00E975D0">
                              <w:rPr>
                                <w:b/>
                              </w:rPr>
                              <w:t>This document has been prepared for consultation with the consultees.</w:t>
                            </w:r>
                            <w:r w:rsidRPr="00981B9F">
                              <w:t xml:space="preserve"> It summarises the evidence and views that have been considered, and sets out the recommendations made by the </w:t>
                            </w:r>
                            <w:r>
                              <w:t>c</w:t>
                            </w:r>
                            <w:r w:rsidRPr="00981B9F">
                              <w:t>ommittee. NICE invites comments from the consultees and commentators for this appraisal and the public. This document should be read along with the evidence (</w:t>
                            </w:r>
                            <w:r>
                              <w:t xml:space="preserve">see </w:t>
                            </w:r>
                            <w:r w:rsidRPr="00981B9F">
                              <w:t xml:space="preserve">the </w:t>
                            </w:r>
                            <w:hyperlink r:id="rId8" w:history="1">
                              <w:r>
                                <w:rPr>
                                  <w:rStyle w:val="Hyperlink"/>
                                </w:rPr>
                                <w:t>committee papers</w:t>
                              </w:r>
                            </w:hyperlink>
                            <w:r w:rsidRPr="00981B9F">
                              <w:t>).</w:t>
                            </w:r>
                          </w:p>
                          <w:p w14:paraId="499BC128" w14:textId="77777777" w:rsidR="00590A2E" w:rsidRPr="00981494" w:rsidRDefault="00590A2E" w:rsidP="00590A2E">
                            <w:pPr>
                              <w:pStyle w:val="NICEnormalsinglespacing"/>
                            </w:pPr>
                            <w:r w:rsidRPr="00981494">
                              <w:t xml:space="preserve">The </w:t>
                            </w:r>
                            <w:r>
                              <w:t>a</w:t>
                            </w:r>
                            <w:r w:rsidRPr="00981494">
                              <w:t xml:space="preserve">ppraisal </w:t>
                            </w:r>
                            <w:r>
                              <w:t>c</w:t>
                            </w:r>
                            <w:r w:rsidRPr="00981494">
                              <w:t>ommittee is interested in receiving comments on the following:</w:t>
                            </w:r>
                          </w:p>
                          <w:p w14:paraId="774DE508" w14:textId="77777777" w:rsidR="00590A2E" w:rsidRPr="00981494" w:rsidRDefault="00590A2E" w:rsidP="00590A2E">
                            <w:pPr>
                              <w:pStyle w:val="Bulletleft1"/>
                              <w:spacing w:line="240" w:lineRule="auto"/>
                            </w:pPr>
                            <w:r w:rsidRPr="00981494">
                              <w:t>Has all of the relevant evidence been taken into account?</w:t>
                            </w:r>
                          </w:p>
                          <w:p w14:paraId="02586B61" w14:textId="77777777" w:rsidR="00590A2E" w:rsidRPr="00981494" w:rsidRDefault="00590A2E" w:rsidP="00590A2E">
                            <w:pPr>
                              <w:pStyle w:val="Bulletleft1"/>
                              <w:spacing w:line="240" w:lineRule="auto"/>
                            </w:pPr>
                            <w:r w:rsidRPr="00981494">
                              <w:t>Are the summaries of clinical and cost effectiveness reasonable interpretations of the evidence?</w:t>
                            </w:r>
                          </w:p>
                          <w:p w14:paraId="74B5F241" w14:textId="3B7C23B0" w:rsidR="00590A2E" w:rsidRDefault="00590A2E" w:rsidP="00590A2E">
                            <w:pPr>
                              <w:pStyle w:val="Bulletleft1"/>
                              <w:spacing w:line="240" w:lineRule="auto"/>
                            </w:pPr>
                            <w:r w:rsidRPr="00981494">
                              <w:t>Are the recommendations sound and a suitable basis for guidance to the NHS?</w:t>
                            </w:r>
                          </w:p>
                          <w:p w14:paraId="031B8AD3" w14:textId="77777777" w:rsidR="00590A2E" w:rsidRPr="002C4E3E" w:rsidRDefault="00590A2E" w:rsidP="002C4E3E">
                            <w:pPr>
                              <w:pStyle w:val="Bulletleft1"/>
                              <w:spacing w:line="240" w:lineRule="auto"/>
                              <w:rPr>
                                <w:rStyle w:val="NICEnormalChar"/>
                              </w:rPr>
                            </w:pPr>
                            <w:r w:rsidRPr="00981494">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D8949" id="_x0000_t202" coordsize="21600,21600" o:spt="202" path="m,l,21600r21600,l21600,xe">
                <v:stroke joinstyle="miter"/>
                <v:path gradientshapeok="t" o:connecttype="rect"/>
              </v:shapetype>
              <v:shape id="Text Box 2" o:spid="_x0000_s1026" type="#_x0000_t202" alt="Primary panel" style="position:absolute;margin-left:0;margin-top:1.5pt;width:413.25pt;height:3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" fillcolor="window" strokecolor="#a2bdc1" strokeweight="3pt">
                <v:textbox>
                  <w:txbxContent>
                    <w:p w14:paraId="242A45EF" w14:textId="698F59FD" w:rsidR="00590A2E" w:rsidRPr="00981B9F" w:rsidRDefault="00590A2E" w:rsidP="00590A2E">
                      <w:pPr>
                        <w:pStyle w:val="NICEnormalsinglespacing"/>
                      </w:pPr>
                      <w:r w:rsidRPr="00981B9F">
                        <w:t xml:space="preserve">The Department of Health </w:t>
                      </w:r>
                      <w:r>
                        <w:t xml:space="preserve">and Social Care </w:t>
                      </w:r>
                      <w:r w:rsidRPr="00981B9F">
                        <w:t xml:space="preserve">has asked the National Institute for Health and Care Excellence (NICE) to produce guidance on using </w:t>
                      </w:r>
                      <w:r>
                        <w:t>encorafenib with cetuximab</w:t>
                      </w:r>
                      <w:r w:rsidRPr="00981B9F">
                        <w:t xml:space="preserve"> in the NHS in England. The </w:t>
                      </w:r>
                      <w:r>
                        <w:t>a</w:t>
                      </w:r>
                      <w:r w:rsidRPr="00981B9F">
                        <w:t xml:space="preserve">ppraisal </w:t>
                      </w:r>
                      <w:r>
                        <w:t>c</w:t>
                      </w:r>
                      <w:r w:rsidRPr="00981B9F">
                        <w:t xml:space="preserve">ommittee has considered the evidence submitted by the </w:t>
                      </w:r>
                      <w:r>
                        <w:t>company</w:t>
                      </w:r>
                      <w:r w:rsidRPr="00981B9F">
                        <w:t xml:space="preserve"> and the views of non-</w:t>
                      </w:r>
                      <w:r>
                        <w:t>company</w:t>
                      </w:r>
                      <w:r w:rsidRPr="00981B9F">
                        <w:t xml:space="preserve"> consultees and commentators, clinical </w:t>
                      </w:r>
                      <w:r>
                        <w:t>experts</w:t>
                      </w:r>
                      <w:r w:rsidRPr="00981B9F">
                        <w:t xml:space="preserve"> and patient experts.</w:t>
                      </w:r>
                    </w:p>
                    <w:p w14:paraId="04C9B7C5" w14:textId="77777777" w:rsidR="00590A2E" w:rsidRPr="00981B9F" w:rsidRDefault="00590A2E" w:rsidP="00590A2E">
                      <w:pPr>
                        <w:pStyle w:val="NICEnormalsinglespacing"/>
                      </w:pPr>
                      <w:r w:rsidRPr="00E975D0">
                        <w:rPr>
                          <w:b/>
                        </w:rPr>
                        <w:t>This document has been prepared for consultation with the consultees.</w:t>
                      </w:r>
                      <w:r w:rsidRPr="00981B9F">
                        <w:t xml:space="preserve"> It summarises the evidence and views that have been considered, and sets out the recommendations made by the </w:t>
                      </w:r>
                      <w:r>
                        <w:t>c</w:t>
                      </w:r>
                      <w:r w:rsidRPr="00981B9F">
                        <w:t>ommittee. NICE invites comments from the consultees and commentators for this appraisal and the public. This document should be read along with the evidence (</w:t>
                      </w:r>
                      <w:r>
                        <w:t xml:space="preserve">see </w:t>
                      </w:r>
                      <w:r w:rsidRPr="00981B9F">
                        <w:t xml:space="preserve">the </w:t>
                      </w:r>
                      <w:hyperlink r:id="rId9" w:history="1">
                        <w:r>
                          <w:rPr>
                            <w:rStyle w:val="Hyperlink"/>
                          </w:rPr>
                          <w:t>committee papers</w:t>
                        </w:r>
                      </w:hyperlink>
                      <w:r w:rsidRPr="00981B9F">
                        <w:t>).</w:t>
                      </w:r>
                    </w:p>
                    <w:p w14:paraId="499BC128" w14:textId="77777777" w:rsidR="00590A2E" w:rsidRPr="00981494" w:rsidRDefault="00590A2E" w:rsidP="00590A2E">
                      <w:pPr>
                        <w:pStyle w:val="NICEnormalsinglespacing"/>
                      </w:pPr>
                      <w:r w:rsidRPr="00981494">
                        <w:t xml:space="preserve">The </w:t>
                      </w:r>
                      <w:r>
                        <w:t>a</w:t>
                      </w:r>
                      <w:r w:rsidRPr="00981494">
                        <w:t xml:space="preserve">ppraisal </w:t>
                      </w:r>
                      <w:r>
                        <w:t>c</w:t>
                      </w:r>
                      <w:r w:rsidRPr="00981494">
                        <w:t>ommittee is interested in receiving comments on the following:</w:t>
                      </w:r>
                    </w:p>
                    <w:p w14:paraId="774DE508" w14:textId="77777777" w:rsidR="00590A2E" w:rsidRPr="00981494" w:rsidRDefault="00590A2E" w:rsidP="00590A2E">
                      <w:pPr>
                        <w:pStyle w:val="Bulletleft1"/>
                        <w:spacing w:line="240" w:lineRule="auto"/>
                      </w:pPr>
                      <w:r w:rsidRPr="00981494">
                        <w:t>Has all of the relevant evidence been taken into account?</w:t>
                      </w:r>
                    </w:p>
                    <w:p w14:paraId="02586B61" w14:textId="77777777" w:rsidR="00590A2E" w:rsidRPr="00981494" w:rsidRDefault="00590A2E" w:rsidP="00590A2E">
                      <w:pPr>
                        <w:pStyle w:val="Bulletleft1"/>
                        <w:spacing w:line="240" w:lineRule="auto"/>
                      </w:pPr>
                      <w:r w:rsidRPr="00981494">
                        <w:t>Are the summaries of clinical and cost effectiveness reasonable interpretations of the evidence?</w:t>
                      </w:r>
                    </w:p>
                    <w:p w14:paraId="74B5F241" w14:textId="3B7C23B0" w:rsidR="00590A2E" w:rsidRDefault="00590A2E" w:rsidP="00590A2E">
                      <w:pPr>
                        <w:pStyle w:val="Bulletleft1"/>
                        <w:spacing w:line="240" w:lineRule="auto"/>
                      </w:pPr>
                      <w:r w:rsidRPr="00981494">
                        <w:t>Are the recommendations sound and a suitable basis for guidance to the NHS?</w:t>
                      </w:r>
                    </w:p>
                    <w:p w14:paraId="031B8AD3" w14:textId="77777777" w:rsidR="00590A2E" w:rsidRPr="002C4E3E" w:rsidRDefault="00590A2E" w:rsidP="002C4E3E">
                      <w:pPr>
                        <w:pStyle w:val="Bulletleft1"/>
                        <w:spacing w:line="240" w:lineRule="auto"/>
                        <w:rPr>
                          <w:rStyle w:val="NICEnormalChar"/>
                        </w:rPr>
                      </w:pPr>
                      <w:r w:rsidRPr="00981494">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xbxContent>
                </v:textbox>
                <w10:wrap anchorx="margin"/>
              </v:shape>
            </w:pict>
          </mc:Fallback>
        </mc:AlternateContent>
      </w:r>
    </w:p>
    <w:p w14:paraId="1A322D2B" w14:textId="6F24C34A" w:rsidR="002C4E3E" w:rsidRDefault="002C4E3E">
      <w:r>
        <w:br w:type="page"/>
      </w:r>
    </w:p>
    <w:p w14:paraId="38344C46" w14:textId="59D23E94" w:rsidR="002C4E3E" w:rsidRDefault="002C4E3E">
      <w:pPr>
        <w:rPr>
          <w:rFonts w:ascii="Arial" w:hAnsi="Arial"/>
        </w:rPr>
      </w:pPr>
      <w:r>
        <w:rPr>
          <w:noProof/>
        </w:rPr>
        <w:lastRenderedPageBreak/>
        <mc:AlternateContent>
          <mc:Choice Requires="wps">
            <w:drawing>
              <wp:anchor distT="0" distB="0" distL="114300" distR="114300" simplePos="0" relativeHeight="251663360" behindDoc="0" locked="0" layoutInCell="1" allowOverlap="1" wp14:anchorId="153A7F99" wp14:editId="35D9B714">
                <wp:simplePos x="0" y="0"/>
                <wp:positionH relativeFrom="margin">
                  <wp:align>left</wp:align>
                </wp:positionH>
                <wp:positionV relativeFrom="paragraph">
                  <wp:posOffset>483870</wp:posOffset>
                </wp:positionV>
                <wp:extent cx="5248275" cy="4905375"/>
                <wp:effectExtent l="19050" t="19050" r="28575" b="28575"/>
                <wp:wrapNone/>
                <wp:docPr id="3" name="Text Box 3" descr="Primary panel"/>
                <wp:cNvGraphicFramePr/>
                <a:graphic xmlns:a="http://schemas.openxmlformats.org/drawingml/2006/main">
                  <a:graphicData uri="http://schemas.microsoft.com/office/word/2010/wordprocessingShape">
                    <wps:wsp>
                      <wps:cNvSpPr txBox="1"/>
                      <wps:spPr>
                        <a:xfrm>
                          <a:off x="0" y="0"/>
                          <a:ext cx="5248275" cy="4905375"/>
                        </a:xfrm>
                        <a:prstGeom prst="rect">
                          <a:avLst/>
                        </a:prstGeom>
                        <a:solidFill>
                          <a:schemeClr val="bg1"/>
                        </a:solidFill>
                        <a:ln w="38100">
                          <a:solidFill>
                            <a:srgbClr val="A2BDC1"/>
                          </a:solidFill>
                        </a:ln>
                      </wps:spPr>
                      <wps:txbx>
                        <w:txbxContent>
                          <w:p w14:paraId="52FA5C72" w14:textId="77777777" w:rsidR="002C4E3E" w:rsidRPr="00E975D0" w:rsidRDefault="002C4E3E" w:rsidP="002C4E3E">
                            <w:pPr>
                              <w:pStyle w:val="NICEnormalsinglespacing"/>
                              <w:rPr>
                                <w:b/>
                                <w:bCs/>
                              </w:rPr>
                            </w:pPr>
                            <w:r w:rsidRPr="00E975D0">
                              <w:rPr>
                                <w:b/>
                                <w:bCs/>
                              </w:rPr>
                              <w:t>Note that this document is not NICE's final guidance on this technology. The recommendations in section 1 may change after consultation.</w:t>
                            </w:r>
                          </w:p>
                          <w:p w14:paraId="69B960A5" w14:textId="77777777" w:rsidR="002C4E3E" w:rsidRPr="00981494" w:rsidRDefault="002C4E3E" w:rsidP="002C4E3E">
                            <w:pPr>
                              <w:pStyle w:val="NICEnormalsinglespacing"/>
                            </w:pPr>
                            <w:r w:rsidRPr="00981494">
                              <w:t>After consultation:</w:t>
                            </w:r>
                          </w:p>
                          <w:p w14:paraId="07BD94FA" w14:textId="77777777" w:rsidR="002C4E3E" w:rsidRPr="00981494" w:rsidRDefault="002C4E3E" w:rsidP="002C4E3E">
                            <w:pPr>
                              <w:pStyle w:val="Bulletleft1"/>
                              <w:spacing w:line="240" w:lineRule="auto"/>
                            </w:pPr>
                            <w:r w:rsidRPr="00981494">
                              <w:t xml:space="preserve">The </w:t>
                            </w:r>
                            <w:r>
                              <w:t>a</w:t>
                            </w:r>
                            <w:r w:rsidRPr="00981494">
                              <w:t xml:space="preserve">ppraisal </w:t>
                            </w:r>
                            <w:r>
                              <w:t>c</w:t>
                            </w:r>
                            <w:r w:rsidRPr="00981494">
                              <w:t>ommittee will meet again to consider the evidence, this appraisal consultation document and comments from the consultees.</w:t>
                            </w:r>
                          </w:p>
                          <w:p w14:paraId="0F08F80A" w14:textId="77777777" w:rsidR="002C4E3E" w:rsidRPr="00981494" w:rsidRDefault="002C4E3E" w:rsidP="002C4E3E">
                            <w:pPr>
                              <w:pStyle w:val="Bulletleft1"/>
                              <w:spacing w:line="240" w:lineRule="auto"/>
                            </w:pPr>
                            <w:r w:rsidRPr="00981494">
                              <w:t xml:space="preserve">At that meeting, the </w:t>
                            </w:r>
                            <w:r>
                              <w:t>c</w:t>
                            </w:r>
                            <w:r w:rsidRPr="00981494">
                              <w:t>ommittee will also consider comments made by people who are not consultees.</w:t>
                            </w:r>
                          </w:p>
                          <w:p w14:paraId="66205A78" w14:textId="77777777" w:rsidR="002C4E3E" w:rsidRPr="00981494" w:rsidRDefault="002C4E3E" w:rsidP="002C4E3E">
                            <w:pPr>
                              <w:pStyle w:val="Bulletleft1"/>
                              <w:spacing w:line="240" w:lineRule="auto"/>
                            </w:pPr>
                            <w:r w:rsidRPr="00981494">
                              <w:t xml:space="preserve">After considering these comments, the </w:t>
                            </w:r>
                            <w:r>
                              <w:t>c</w:t>
                            </w:r>
                            <w:r w:rsidRPr="00981494">
                              <w:t>ommittee will prepare the final appraisal d</w:t>
                            </w:r>
                            <w:r>
                              <w:t>ocument</w:t>
                            </w:r>
                            <w:r w:rsidRPr="00981494">
                              <w:t>.</w:t>
                            </w:r>
                          </w:p>
                          <w:p w14:paraId="023B8856" w14:textId="77777777" w:rsidR="002C4E3E" w:rsidRPr="00981494" w:rsidRDefault="002C4E3E" w:rsidP="002C4E3E">
                            <w:pPr>
                              <w:pStyle w:val="Bulletleft1last"/>
                              <w:spacing w:line="240" w:lineRule="auto"/>
                            </w:pPr>
                            <w:r w:rsidRPr="00981494">
                              <w:t>Subject to any appeal by consultees, the final appraisal d</w:t>
                            </w:r>
                            <w:r>
                              <w:t>ocument</w:t>
                            </w:r>
                            <w:r w:rsidRPr="00981494">
                              <w:t xml:space="preserve"> may be used as the basis for NICE’s guidance on using </w:t>
                            </w:r>
                            <w:r>
                              <w:t>encorafenib with cetuximab</w:t>
                            </w:r>
                            <w:r w:rsidRPr="00981494">
                              <w:t xml:space="preserve"> in the NHS in England.</w:t>
                            </w:r>
                          </w:p>
                          <w:p w14:paraId="40E9FD72" w14:textId="77777777" w:rsidR="002C4E3E" w:rsidRPr="00981494" w:rsidRDefault="002C4E3E" w:rsidP="002C4E3E">
                            <w:pPr>
                              <w:pStyle w:val="NICEnormalsinglespacing"/>
                            </w:pPr>
                            <w:r w:rsidRPr="00276C00">
                              <w:t xml:space="preserve">For further details, see </w:t>
                            </w:r>
                            <w:hyperlink r:id="rId10" w:history="1">
                              <w:r w:rsidRPr="00D019BA">
                                <w:rPr>
                                  <w:rStyle w:val="Hyperlink"/>
                                </w:rPr>
                                <w:t>NICE’s guide to the processes of technology appraisal</w:t>
                              </w:r>
                            </w:hyperlink>
                            <w:r>
                              <w:t>.</w:t>
                            </w:r>
                          </w:p>
                          <w:p w14:paraId="6BACCCB7" w14:textId="77777777" w:rsidR="002C4E3E" w:rsidRPr="00981494" w:rsidRDefault="002C4E3E" w:rsidP="002C4E3E">
                            <w:pPr>
                              <w:pStyle w:val="NICEnormalsinglespacing"/>
                              <w:rPr>
                                <w:b/>
                                <w:bCs/>
                              </w:rPr>
                            </w:pPr>
                            <w:r w:rsidRPr="00981494">
                              <w:rPr>
                                <w:b/>
                                <w:bCs/>
                              </w:rPr>
                              <w:t>The key dates for this appraisal are:</w:t>
                            </w:r>
                          </w:p>
                          <w:p w14:paraId="5F367234" w14:textId="77777777" w:rsidR="002C4E3E" w:rsidRPr="00981494" w:rsidRDefault="002C4E3E" w:rsidP="002C4E3E">
                            <w:pPr>
                              <w:pStyle w:val="NICEnormalsinglespacing"/>
                            </w:pPr>
                            <w:r w:rsidRPr="00981494">
                              <w:t xml:space="preserve">Closing date for comments: </w:t>
                            </w:r>
                            <w:r>
                              <w:t>25 September 2020</w:t>
                            </w:r>
                          </w:p>
                          <w:p w14:paraId="448C6478" w14:textId="586FFA80" w:rsidR="002C4E3E" w:rsidRDefault="002C4E3E" w:rsidP="002C4E3E">
                            <w:pPr>
                              <w:pStyle w:val="NICEnormal"/>
                            </w:pPr>
                            <w:r w:rsidRPr="00981494">
                              <w:t xml:space="preserve">Second </w:t>
                            </w:r>
                            <w:r>
                              <w:t>a</w:t>
                            </w:r>
                            <w:r w:rsidRPr="00981494">
                              <w:t xml:space="preserve">ppraisal </w:t>
                            </w:r>
                            <w:r>
                              <w:t>c</w:t>
                            </w:r>
                            <w:r w:rsidRPr="00981494">
                              <w:t xml:space="preserve">ommittee meeting: </w:t>
                            </w:r>
                            <w:r>
                              <w:t>14 October 2020</w:t>
                            </w:r>
                          </w:p>
                          <w:p w14:paraId="5282631C" w14:textId="4EBE1E64" w:rsidR="00590A2E" w:rsidRDefault="002C4E3E" w:rsidP="002C4E3E">
                            <w:pPr>
                              <w:pStyle w:val="NICEnormal"/>
                            </w:pPr>
                            <w:r w:rsidRPr="00981494">
                              <w:t xml:space="preserve">Details of membership of the </w:t>
                            </w:r>
                            <w:r>
                              <w:t>a</w:t>
                            </w:r>
                            <w:r w:rsidRPr="00981494">
                              <w:t xml:space="preserve">ppraisal </w:t>
                            </w:r>
                            <w:r>
                              <w:t>c</w:t>
                            </w:r>
                            <w:r w:rsidRPr="00981494">
                              <w:t xml:space="preserve">ommittee are given in section </w:t>
                            </w: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A7F99" id="Text Box 3" o:spid="_x0000_s1027" type="#_x0000_t202" alt="Primary panel" style="position:absolute;margin-left:0;margin-top:38.1pt;width:413.25pt;height:386.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" fillcolor="white [3212]" strokecolor="#a2bdc1" strokeweight="3pt">
                <v:textbox>
                  <w:txbxContent>
                    <w:p w14:paraId="52FA5C72" w14:textId="77777777" w:rsidR="002C4E3E" w:rsidRPr="00E975D0" w:rsidRDefault="002C4E3E" w:rsidP="002C4E3E">
                      <w:pPr>
                        <w:pStyle w:val="NICEnormalsinglespacing"/>
                        <w:rPr>
                          <w:b/>
                          <w:bCs/>
                        </w:rPr>
                      </w:pPr>
                      <w:r w:rsidRPr="00E975D0">
                        <w:rPr>
                          <w:b/>
                          <w:bCs/>
                        </w:rPr>
                        <w:t>Note that this document is not NICE's final guidance on this technology. The recommendations in section 1 may change after consultation.</w:t>
                      </w:r>
                    </w:p>
                    <w:p w14:paraId="69B960A5" w14:textId="77777777" w:rsidR="002C4E3E" w:rsidRPr="00981494" w:rsidRDefault="002C4E3E" w:rsidP="002C4E3E">
                      <w:pPr>
                        <w:pStyle w:val="NICEnormalsinglespacing"/>
                      </w:pPr>
                      <w:r w:rsidRPr="00981494">
                        <w:t>After consultation:</w:t>
                      </w:r>
                    </w:p>
                    <w:p w14:paraId="07BD94FA" w14:textId="77777777" w:rsidR="002C4E3E" w:rsidRPr="00981494" w:rsidRDefault="002C4E3E" w:rsidP="002C4E3E">
                      <w:pPr>
                        <w:pStyle w:val="Bulletleft1"/>
                        <w:spacing w:line="240" w:lineRule="auto"/>
                      </w:pPr>
                      <w:r w:rsidRPr="00981494">
                        <w:t xml:space="preserve">The </w:t>
                      </w:r>
                      <w:r>
                        <w:t>a</w:t>
                      </w:r>
                      <w:r w:rsidRPr="00981494">
                        <w:t xml:space="preserve">ppraisal </w:t>
                      </w:r>
                      <w:r>
                        <w:t>c</w:t>
                      </w:r>
                      <w:r w:rsidRPr="00981494">
                        <w:t>ommittee will meet again to consider the evidence, this appraisal consultation document and comments from the consultees.</w:t>
                      </w:r>
                    </w:p>
                    <w:p w14:paraId="0F08F80A" w14:textId="77777777" w:rsidR="002C4E3E" w:rsidRPr="00981494" w:rsidRDefault="002C4E3E" w:rsidP="002C4E3E">
                      <w:pPr>
                        <w:pStyle w:val="Bulletleft1"/>
                        <w:spacing w:line="240" w:lineRule="auto"/>
                      </w:pPr>
                      <w:r w:rsidRPr="00981494">
                        <w:t xml:space="preserve">At that meeting, the </w:t>
                      </w:r>
                      <w:r>
                        <w:t>c</w:t>
                      </w:r>
                      <w:r w:rsidRPr="00981494">
                        <w:t>ommittee will also consider comments made by people who are not consultees.</w:t>
                      </w:r>
                    </w:p>
                    <w:p w14:paraId="66205A78" w14:textId="77777777" w:rsidR="002C4E3E" w:rsidRPr="00981494" w:rsidRDefault="002C4E3E" w:rsidP="002C4E3E">
                      <w:pPr>
                        <w:pStyle w:val="Bulletleft1"/>
                        <w:spacing w:line="240" w:lineRule="auto"/>
                      </w:pPr>
                      <w:r w:rsidRPr="00981494">
                        <w:t xml:space="preserve">After considering these comments, the </w:t>
                      </w:r>
                      <w:r>
                        <w:t>c</w:t>
                      </w:r>
                      <w:r w:rsidRPr="00981494">
                        <w:t>ommittee will prepare the final appraisal d</w:t>
                      </w:r>
                      <w:r>
                        <w:t>ocument</w:t>
                      </w:r>
                      <w:r w:rsidRPr="00981494">
                        <w:t>.</w:t>
                      </w:r>
                    </w:p>
                    <w:p w14:paraId="023B8856" w14:textId="77777777" w:rsidR="002C4E3E" w:rsidRPr="00981494" w:rsidRDefault="002C4E3E" w:rsidP="002C4E3E">
                      <w:pPr>
                        <w:pStyle w:val="Bulletleft1last"/>
                        <w:spacing w:line="240" w:lineRule="auto"/>
                      </w:pPr>
                      <w:r w:rsidRPr="00981494">
                        <w:t>Subject to any appeal by consultees, the final appraisal d</w:t>
                      </w:r>
                      <w:r>
                        <w:t>ocument</w:t>
                      </w:r>
                      <w:r w:rsidRPr="00981494">
                        <w:t xml:space="preserve"> may be used as the basis for NICE’s guidance on using </w:t>
                      </w:r>
                      <w:r>
                        <w:t>encorafenib with cetuximab</w:t>
                      </w:r>
                      <w:r w:rsidRPr="00981494">
                        <w:t xml:space="preserve"> in the NHS in England.</w:t>
                      </w:r>
                    </w:p>
                    <w:p w14:paraId="40E9FD72" w14:textId="77777777" w:rsidR="002C4E3E" w:rsidRPr="00981494" w:rsidRDefault="002C4E3E" w:rsidP="002C4E3E">
                      <w:pPr>
                        <w:pStyle w:val="NICEnormalsinglespacing"/>
                      </w:pPr>
                      <w:r w:rsidRPr="00276C00">
                        <w:t xml:space="preserve">For further details, see </w:t>
                      </w:r>
                      <w:hyperlink r:id="rId11" w:history="1">
                        <w:r w:rsidRPr="00D019BA">
                          <w:rPr>
                            <w:rStyle w:val="Hyperlink"/>
                          </w:rPr>
                          <w:t>NICE’s guide to the processes of technology appraisal</w:t>
                        </w:r>
                      </w:hyperlink>
                      <w:r>
                        <w:t>.</w:t>
                      </w:r>
                    </w:p>
                    <w:p w14:paraId="6BACCCB7" w14:textId="77777777" w:rsidR="002C4E3E" w:rsidRPr="00981494" w:rsidRDefault="002C4E3E" w:rsidP="002C4E3E">
                      <w:pPr>
                        <w:pStyle w:val="NICEnormalsinglespacing"/>
                        <w:rPr>
                          <w:b/>
                          <w:bCs/>
                        </w:rPr>
                      </w:pPr>
                      <w:r w:rsidRPr="00981494">
                        <w:rPr>
                          <w:b/>
                          <w:bCs/>
                        </w:rPr>
                        <w:t>The key dates for this appraisal are:</w:t>
                      </w:r>
                    </w:p>
                    <w:p w14:paraId="5F367234" w14:textId="77777777" w:rsidR="002C4E3E" w:rsidRPr="00981494" w:rsidRDefault="002C4E3E" w:rsidP="002C4E3E">
                      <w:pPr>
                        <w:pStyle w:val="NICEnormalsinglespacing"/>
                      </w:pPr>
                      <w:r w:rsidRPr="00981494">
                        <w:t xml:space="preserve">Closing date for comments: </w:t>
                      </w:r>
                      <w:r>
                        <w:t>25 September 2020</w:t>
                      </w:r>
                    </w:p>
                    <w:p w14:paraId="448C6478" w14:textId="586FFA80" w:rsidR="002C4E3E" w:rsidRDefault="002C4E3E" w:rsidP="002C4E3E">
                      <w:pPr>
                        <w:pStyle w:val="NICEnormal"/>
                      </w:pPr>
                      <w:r w:rsidRPr="00981494">
                        <w:t xml:space="preserve">Second </w:t>
                      </w:r>
                      <w:r>
                        <w:t>a</w:t>
                      </w:r>
                      <w:r w:rsidRPr="00981494">
                        <w:t xml:space="preserve">ppraisal </w:t>
                      </w:r>
                      <w:r>
                        <w:t>c</w:t>
                      </w:r>
                      <w:r w:rsidRPr="00981494">
                        <w:t xml:space="preserve">ommittee meeting: </w:t>
                      </w:r>
                      <w:r>
                        <w:t>14 October 2020</w:t>
                      </w:r>
                    </w:p>
                    <w:p w14:paraId="5282631C" w14:textId="4EBE1E64" w:rsidR="00590A2E" w:rsidRDefault="002C4E3E" w:rsidP="002C4E3E">
                      <w:pPr>
                        <w:pStyle w:val="NICEnormal"/>
                      </w:pPr>
                      <w:r w:rsidRPr="00981494">
                        <w:t xml:space="preserve">Details of membership of the </w:t>
                      </w:r>
                      <w:r>
                        <w:t>a</w:t>
                      </w:r>
                      <w:r w:rsidRPr="00981494">
                        <w:t xml:space="preserve">ppraisal </w:t>
                      </w:r>
                      <w:r>
                        <w:t>c</w:t>
                      </w:r>
                      <w:r w:rsidRPr="00981494">
                        <w:t xml:space="preserve">ommittee are given in section </w:t>
                      </w:r>
                      <w:r>
                        <w:t>5.</w:t>
                      </w:r>
                    </w:p>
                  </w:txbxContent>
                </v:textbox>
                <w10:wrap anchorx="margin"/>
              </v:shape>
            </w:pict>
          </mc:Fallback>
        </mc:AlternateContent>
      </w:r>
      <w:r>
        <w:rPr>
          <w:rFonts w:ascii="Arial" w:hAnsi="Arial"/>
        </w:rPr>
        <w:br w:type="page"/>
      </w:r>
    </w:p>
    <w:p w14:paraId="229816FF" w14:textId="312454B4" w:rsidR="00713A7A" w:rsidRPr="000F48EC" w:rsidRDefault="00713A7A" w:rsidP="00713A7A">
      <w:pPr>
        <w:pStyle w:val="Numberedheading1"/>
        <w:numPr>
          <w:ilvl w:val="0"/>
          <w:numId w:val="1"/>
        </w:numPr>
      </w:pPr>
      <w:r>
        <w:lastRenderedPageBreak/>
        <w:t>Recommendations</w:t>
      </w:r>
    </w:p>
    <w:p w14:paraId="3FB6FA2C" w14:textId="2DFDC52C" w:rsidR="00713A7A" w:rsidRPr="003D0FF3" w:rsidRDefault="00713A7A" w:rsidP="00713A7A">
      <w:pPr>
        <w:pStyle w:val="Numberedlevel2text"/>
        <w:numPr>
          <w:ilvl w:val="1"/>
          <w:numId w:val="1"/>
        </w:numPr>
      </w:pPr>
      <w:r>
        <w:rPr>
          <w:lang w:val="en-GB"/>
        </w:rPr>
        <w:t xml:space="preserve">Encorafenib </w:t>
      </w:r>
      <w:r w:rsidR="005E7E96">
        <w:rPr>
          <w:lang w:val="en-GB"/>
        </w:rPr>
        <w:t>plus</w:t>
      </w:r>
      <w:r>
        <w:rPr>
          <w:lang w:val="en-GB"/>
        </w:rPr>
        <w:t xml:space="preserve"> cetuximab</w:t>
      </w:r>
      <w:r>
        <w:t xml:space="preserve"> is not recommended, within its marketing authorisation, for treating </w:t>
      </w:r>
      <w:r w:rsidR="0026566D">
        <w:rPr>
          <w:lang w:val="en-GB"/>
        </w:rPr>
        <w:t xml:space="preserve">BRAF V600E mutation-positive </w:t>
      </w:r>
      <w:r>
        <w:t>metastatic colorectal cancer in adults</w:t>
      </w:r>
      <w:r w:rsidRPr="003D0FF3">
        <w:t xml:space="preserve"> </w:t>
      </w:r>
      <w:r>
        <w:t xml:space="preserve">who have </w:t>
      </w:r>
      <w:r w:rsidR="0074274F">
        <w:rPr>
          <w:lang w:val="en-GB"/>
        </w:rPr>
        <w:t>had</w:t>
      </w:r>
      <w:r>
        <w:t xml:space="preserve"> pr</w:t>
      </w:r>
      <w:r w:rsidR="0074274F">
        <w:rPr>
          <w:lang w:val="en-GB"/>
        </w:rPr>
        <w:t>evious</w:t>
      </w:r>
      <w:r>
        <w:t xml:space="preserve"> systemic t</w:t>
      </w:r>
      <w:r w:rsidR="004C51D0">
        <w:rPr>
          <w:lang w:val="en-GB"/>
        </w:rPr>
        <w:t>reatment</w:t>
      </w:r>
      <w:r>
        <w:t>.</w:t>
      </w:r>
    </w:p>
    <w:p w14:paraId="69A8330A" w14:textId="6D1DF0A9" w:rsidR="00713A7A" w:rsidRPr="008C5133" w:rsidRDefault="00713A7A" w:rsidP="00E12AA0">
      <w:pPr>
        <w:pStyle w:val="Numberedlevel2text"/>
        <w:numPr>
          <w:ilvl w:val="1"/>
          <w:numId w:val="1"/>
        </w:numPr>
        <w:rPr>
          <w:lang w:eastAsia="en-GB"/>
        </w:rPr>
      </w:pPr>
      <w:r w:rsidRPr="0009129B">
        <w:t>This</w:t>
      </w:r>
      <w:r>
        <w:rPr>
          <w:lang w:val="en-GB"/>
        </w:rPr>
        <w:t xml:space="preserve"> </w:t>
      </w:r>
      <w:r>
        <w:t>recommendation is</w:t>
      </w:r>
      <w:r w:rsidRPr="0009129B">
        <w:t xml:space="preserve"> not intended to affect </w:t>
      </w:r>
      <w:r w:rsidRPr="006A2D99">
        <w:t xml:space="preserve">treatment with </w:t>
      </w:r>
      <w:r>
        <w:rPr>
          <w:lang w:val="en-GB"/>
        </w:rPr>
        <w:t xml:space="preserve">encorafenib </w:t>
      </w:r>
      <w:r w:rsidR="005E7E96">
        <w:rPr>
          <w:lang w:val="en-GB"/>
        </w:rPr>
        <w:t xml:space="preserve">plus </w:t>
      </w:r>
      <w:r>
        <w:rPr>
          <w:lang w:val="en-GB"/>
        </w:rPr>
        <w:t>cetuximab</w:t>
      </w:r>
      <w:r w:rsidRPr="006A2D99">
        <w:t xml:space="preserve"> </w:t>
      </w:r>
      <w:r>
        <w:t xml:space="preserve">that </w:t>
      </w:r>
      <w:r w:rsidRPr="006A2D99">
        <w:t>was started in the NHS befo</w:t>
      </w:r>
      <w:r>
        <w:t xml:space="preserve">re this guidance was published. People having treatment outside this recommendation may </w:t>
      </w:r>
      <w:r w:rsidRPr="006A2D99">
        <w:t xml:space="preserve">continue </w:t>
      </w:r>
      <w:r>
        <w:t>without change to the funding arrangements in place for them before this guidance was published,</w:t>
      </w:r>
      <w:r w:rsidRPr="006A2D99">
        <w:t xml:space="preserve"> until they and their NHS clinician consider it appropriate to stop</w:t>
      </w:r>
      <w:r w:rsidRPr="007C0BAA">
        <w:t>.</w:t>
      </w:r>
      <w:bookmarkStart w:id="0" w:name="_Toc381620808"/>
      <w:bookmarkStart w:id="1" w:name="_Toc381622280"/>
      <w:bookmarkStart w:id="2" w:name="_Toc381622515"/>
      <w:bookmarkStart w:id="3" w:name="_Toc418587316"/>
      <w:bookmarkStart w:id="4" w:name="_Toc418595430"/>
      <w:bookmarkStart w:id="5" w:name="_Toc453860116"/>
      <w:bookmarkStart w:id="6" w:name="_Toc453862081"/>
      <w:bookmarkStart w:id="7" w:name="_Toc453925699"/>
      <w:bookmarkStart w:id="8" w:name="_Toc482372136"/>
      <w:bookmarkStart w:id="9" w:name="_Toc488151979"/>
    </w:p>
    <w:bookmarkEnd w:id="0"/>
    <w:bookmarkEnd w:id="1"/>
    <w:bookmarkEnd w:id="2"/>
    <w:bookmarkEnd w:id="3"/>
    <w:bookmarkEnd w:id="4"/>
    <w:bookmarkEnd w:id="5"/>
    <w:bookmarkEnd w:id="6"/>
    <w:bookmarkEnd w:id="7"/>
    <w:bookmarkEnd w:id="8"/>
    <w:bookmarkEnd w:id="9"/>
    <w:p w14:paraId="74BAE44A" w14:textId="799052AC" w:rsidR="00713A7A" w:rsidRDefault="00713A7A" w:rsidP="008522C6">
      <w:pPr>
        <w:pStyle w:val="NICEnormal"/>
        <w:rPr>
          <w:b/>
        </w:rPr>
      </w:pPr>
      <w:r w:rsidRPr="008522C6">
        <w:rPr>
          <w:b/>
        </w:rPr>
        <w:t>Why the committee made these recommendations</w:t>
      </w:r>
    </w:p>
    <w:p w14:paraId="40D4ED09" w14:textId="10E9E207" w:rsidR="00713A7A" w:rsidRDefault="00E70D84" w:rsidP="009D7E55">
      <w:pPr>
        <w:pStyle w:val="NICEnormal"/>
        <w:rPr>
          <w:bCs/>
        </w:rPr>
      </w:pPr>
      <w:r>
        <w:rPr>
          <w:bCs/>
        </w:rPr>
        <w:t>T</w:t>
      </w:r>
      <w:r w:rsidR="00713A7A">
        <w:rPr>
          <w:bCs/>
        </w:rPr>
        <w:t xml:space="preserve">reatment for </w:t>
      </w:r>
      <w:r>
        <w:rPr>
          <w:bCs/>
        </w:rPr>
        <w:t xml:space="preserve">BRAF V600E mutation-positive </w:t>
      </w:r>
      <w:r w:rsidR="00713A7A">
        <w:rPr>
          <w:bCs/>
        </w:rPr>
        <w:t xml:space="preserve">metastatic colorectal cancer </w:t>
      </w:r>
      <w:r w:rsidR="009B2A48">
        <w:rPr>
          <w:bCs/>
        </w:rPr>
        <w:t xml:space="preserve">after </w:t>
      </w:r>
      <w:r w:rsidR="009B2A48">
        <w:t>previous systemic treatment</w:t>
      </w:r>
      <w:r w:rsidR="009B2A48">
        <w:rPr>
          <w:bCs/>
        </w:rPr>
        <w:t xml:space="preserve"> </w:t>
      </w:r>
      <w:r w:rsidR="00713A7A">
        <w:rPr>
          <w:bCs/>
        </w:rPr>
        <w:t xml:space="preserve">includes </w:t>
      </w:r>
      <w:r w:rsidR="00713A7A" w:rsidRPr="00881BB5">
        <w:t>combination chemotherapy</w:t>
      </w:r>
      <w:r w:rsidR="00713A7A">
        <w:rPr>
          <w:bCs/>
        </w:rPr>
        <w:t>, usually FOLFIRI</w:t>
      </w:r>
      <w:r>
        <w:rPr>
          <w:bCs/>
        </w:rPr>
        <w:t xml:space="preserve"> (</w:t>
      </w:r>
      <w:r w:rsidRPr="00E70D84">
        <w:rPr>
          <w:bCs/>
        </w:rPr>
        <w:t>5</w:t>
      </w:r>
      <w:r w:rsidRPr="00E70D84">
        <w:rPr>
          <w:rFonts w:ascii="Cambria Math" w:hAnsi="Cambria Math" w:cs="Cambria Math"/>
          <w:bCs/>
        </w:rPr>
        <w:t>‑</w:t>
      </w:r>
      <w:r w:rsidRPr="00E70D84">
        <w:rPr>
          <w:bCs/>
        </w:rPr>
        <w:t>fluorouracil, folinic acid and irinotecan</w:t>
      </w:r>
      <w:r>
        <w:rPr>
          <w:bCs/>
        </w:rPr>
        <w:t>)</w:t>
      </w:r>
      <w:r w:rsidR="006C0B75">
        <w:rPr>
          <w:bCs/>
        </w:rPr>
        <w:t xml:space="preserve"> followed by</w:t>
      </w:r>
      <w:r w:rsidR="005F548C">
        <w:rPr>
          <w:bCs/>
        </w:rPr>
        <w:t xml:space="preserve"> trifluridine</w:t>
      </w:r>
      <w:r>
        <w:rPr>
          <w:bCs/>
        </w:rPr>
        <w:t>–</w:t>
      </w:r>
      <w:r w:rsidR="005F548C">
        <w:rPr>
          <w:bCs/>
        </w:rPr>
        <w:t>tipiracil</w:t>
      </w:r>
      <w:r w:rsidR="009E128F">
        <w:rPr>
          <w:bCs/>
        </w:rPr>
        <w:t xml:space="preserve"> </w:t>
      </w:r>
      <w:r w:rsidR="005F548C">
        <w:rPr>
          <w:bCs/>
        </w:rPr>
        <w:t>then best supportive care</w:t>
      </w:r>
      <w:r w:rsidR="00713A7A">
        <w:rPr>
          <w:bCs/>
        </w:rPr>
        <w:t xml:space="preserve">. </w:t>
      </w:r>
      <w:r w:rsidR="00C93814">
        <w:rPr>
          <w:bCs/>
        </w:rPr>
        <w:t xml:space="preserve">Encorafenib plus cetuximab </w:t>
      </w:r>
      <w:r w:rsidR="005A3D49">
        <w:rPr>
          <w:bCs/>
        </w:rPr>
        <w:t>is the first</w:t>
      </w:r>
      <w:r w:rsidR="00713A7A" w:rsidRPr="00503379">
        <w:rPr>
          <w:bCs/>
        </w:rPr>
        <w:t xml:space="preserve"> </w:t>
      </w:r>
      <w:r w:rsidR="00571E4A">
        <w:rPr>
          <w:bCs/>
        </w:rPr>
        <w:t>colorectal cancer</w:t>
      </w:r>
      <w:r w:rsidR="00C93814">
        <w:rPr>
          <w:bCs/>
        </w:rPr>
        <w:t xml:space="preserve"> </w:t>
      </w:r>
      <w:r w:rsidR="00CA6816">
        <w:rPr>
          <w:bCs/>
        </w:rPr>
        <w:t xml:space="preserve">treatment </w:t>
      </w:r>
      <w:r w:rsidR="00C93814">
        <w:rPr>
          <w:bCs/>
        </w:rPr>
        <w:t>that targets</w:t>
      </w:r>
      <w:r w:rsidR="00713A7A" w:rsidRPr="00503379">
        <w:rPr>
          <w:bCs/>
        </w:rPr>
        <w:t xml:space="preserve"> the BRAF</w:t>
      </w:r>
      <w:r w:rsidR="00172ECD">
        <w:rPr>
          <w:bCs/>
        </w:rPr>
        <w:t xml:space="preserve"> V600E</w:t>
      </w:r>
      <w:r w:rsidR="0023310B">
        <w:rPr>
          <w:bCs/>
        </w:rPr>
        <w:t xml:space="preserve"> </w:t>
      </w:r>
      <w:r w:rsidR="00713A7A" w:rsidRPr="00503379">
        <w:rPr>
          <w:bCs/>
        </w:rPr>
        <w:t>mutation</w:t>
      </w:r>
      <w:r w:rsidR="00CA6816">
        <w:rPr>
          <w:bCs/>
        </w:rPr>
        <w:t>, and could be used as second or third-line treatment.</w:t>
      </w:r>
    </w:p>
    <w:p w14:paraId="43963960" w14:textId="07D57830" w:rsidR="00713A7A" w:rsidRPr="00E00DAE" w:rsidRDefault="00E70D84" w:rsidP="009D7E55">
      <w:pPr>
        <w:pStyle w:val="NICEnormal"/>
      </w:pPr>
      <w:r>
        <w:rPr>
          <w:bCs/>
        </w:rPr>
        <w:t>C</w:t>
      </w:r>
      <w:r w:rsidR="00713A7A">
        <w:rPr>
          <w:bCs/>
        </w:rPr>
        <w:t>linical trial</w:t>
      </w:r>
      <w:r>
        <w:rPr>
          <w:bCs/>
        </w:rPr>
        <w:t xml:space="preserve"> evidence</w:t>
      </w:r>
      <w:r w:rsidR="00713A7A">
        <w:rPr>
          <w:bCs/>
        </w:rPr>
        <w:t xml:space="preserve"> </w:t>
      </w:r>
      <w:r w:rsidR="002D440C" w:rsidRPr="00F9661E">
        <w:rPr>
          <w:bCs/>
        </w:rPr>
        <w:t>show</w:t>
      </w:r>
      <w:r w:rsidRPr="00F9661E">
        <w:rPr>
          <w:bCs/>
        </w:rPr>
        <w:t>s</w:t>
      </w:r>
      <w:r w:rsidR="002D440C">
        <w:rPr>
          <w:bCs/>
        </w:rPr>
        <w:t xml:space="preserve"> that </w:t>
      </w:r>
      <w:r w:rsidR="00713A7A">
        <w:rPr>
          <w:bCs/>
        </w:rPr>
        <w:t xml:space="preserve">encorafenib </w:t>
      </w:r>
      <w:r w:rsidR="005E7E96">
        <w:rPr>
          <w:bCs/>
        </w:rPr>
        <w:t xml:space="preserve">plus </w:t>
      </w:r>
      <w:r w:rsidR="00713A7A">
        <w:rPr>
          <w:bCs/>
        </w:rPr>
        <w:t xml:space="preserve">cetuximab increases </w:t>
      </w:r>
      <w:r>
        <w:rPr>
          <w:bCs/>
        </w:rPr>
        <w:t>how long people live</w:t>
      </w:r>
      <w:r w:rsidR="00713A7A">
        <w:rPr>
          <w:bCs/>
        </w:rPr>
        <w:t xml:space="preserve"> compar</w:t>
      </w:r>
      <w:r w:rsidR="005F548C">
        <w:rPr>
          <w:bCs/>
        </w:rPr>
        <w:t xml:space="preserve">ed with </w:t>
      </w:r>
      <w:r w:rsidR="009B2A48">
        <w:rPr>
          <w:bCs/>
        </w:rPr>
        <w:t>FOLFIRI plus cetuximab or irinotecan plus cetuximab</w:t>
      </w:r>
      <w:r>
        <w:rPr>
          <w:bCs/>
        </w:rPr>
        <w:t xml:space="preserve">. </w:t>
      </w:r>
      <w:r w:rsidR="009B2A48">
        <w:rPr>
          <w:bCs/>
        </w:rPr>
        <w:t xml:space="preserve">However, </w:t>
      </w:r>
      <w:r w:rsidR="005F548C">
        <w:rPr>
          <w:bCs/>
        </w:rPr>
        <w:t>the</w:t>
      </w:r>
      <w:r w:rsidR="000E3E3B">
        <w:rPr>
          <w:bCs/>
        </w:rPr>
        <w:t>se</w:t>
      </w:r>
      <w:r w:rsidR="005E7E96">
        <w:rPr>
          <w:bCs/>
        </w:rPr>
        <w:t xml:space="preserve"> </w:t>
      </w:r>
      <w:r w:rsidR="006B2EA7">
        <w:rPr>
          <w:bCs/>
        </w:rPr>
        <w:t xml:space="preserve">drug </w:t>
      </w:r>
      <w:r w:rsidR="003C4D86">
        <w:rPr>
          <w:bCs/>
        </w:rPr>
        <w:t>combination</w:t>
      </w:r>
      <w:r w:rsidR="006B2EA7">
        <w:rPr>
          <w:bCs/>
        </w:rPr>
        <w:t xml:space="preserve">s </w:t>
      </w:r>
      <w:r w:rsidR="005E7E96">
        <w:rPr>
          <w:bCs/>
        </w:rPr>
        <w:t>are not used in</w:t>
      </w:r>
      <w:r w:rsidR="00713A7A">
        <w:rPr>
          <w:bCs/>
        </w:rPr>
        <w:t xml:space="preserve"> </w:t>
      </w:r>
      <w:r w:rsidR="005A3D49">
        <w:rPr>
          <w:bCs/>
        </w:rPr>
        <w:t xml:space="preserve">NHS </w:t>
      </w:r>
      <w:r w:rsidR="00713A7A">
        <w:rPr>
          <w:bCs/>
        </w:rPr>
        <w:t>clinical practice</w:t>
      </w:r>
      <w:r w:rsidR="005E7E96">
        <w:rPr>
          <w:bCs/>
        </w:rPr>
        <w:t xml:space="preserve">. </w:t>
      </w:r>
      <w:r w:rsidR="0029585E">
        <w:rPr>
          <w:bCs/>
        </w:rPr>
        <w:t>When</w:t>
      </w:r>
      <w:r w:rsidR="00F9661E">
        <w:rPr>
          <w:bCs/>
        </w:rPr>
        <w:t xml:space="preserve"> evidence from other</w:t>
      </w:r>
      <w:r w:rsidR="009B2A48">
        <w:rPr>
          <w:bCs/>
        </w:rPr>
        <w:t xml:space="preserve"> clinical</w:t>
      </w:r>
      <w:r w:rsidR="00F9661E">
        <w:rPr>
          <w:bCs/>
        </w:rPr>
        <w:t xml:space="preserve"> trials </w:t>
      </w:r>
      <w:r w:rsidR="0029585E">
        <w:rPr>
          <w:bCs/>
        </w:rPr>
        <w:t xml:space="preserve">is used </w:t>
      </w:r>
      <w:r w:rsidR="00F9661E">
        <w:rPr>
          <w:bCs/>
        </w:rPr>
        <w:t>to</w:t>
      </w:r>
      <w:r w:rsidR="00713A7A" w:rsidRPr="00F9661E">
        <w:rPr>
          <w:bCs/>
        </w:rPr>
        <w:t xml:space="preserve"> indirect</w:t>
      </w:r>
      <w:r w:rsidR="000E3E3B" w:rsidRPr="00F9661E">
        <w:rPr>
          <w:bCs/>
        </w:rPr>
        <w:t>ly</w:t>
      </w:r>
      <w:r w:rsidR="00713A7A" w:rsidRPr="00F9661E">
        <w:rPr>
          <w:bCs/>
        </w:rPr>
        <w:t xml:space="preserve"> compar</w:t>
      </w:r>
      <w:r w:rsidR="00F9661E">
        <w:rPr>
          <w:bCs/>
        </w:rPr>
        <w:t>e</w:t>
      </w:r>
      <w:r w:rsidR="00043A2E" w:rsidRPr="00F9661E">
        <w:rPr>
          <w:bCs/>
        </w:rPr>
        <w:t xml:space="preserve"> </w:t>
      </w:r>
      <w:r w:rsidR="00713A7A" w:rsidRPr="00F9661E">
        <w:rPr>
          <w:bCs/>
        </w:rPr>
        <w:t xml:space="preserve">encorafenib </w:t>
      </w:r>
      <w:r w:rsidR="005E7E96" w:rsidRPr="00F9661E">
        <w:rPr>
          <w:bCs/>
        </w:rPr>
        <w:t>plus</w:t>
      </w:r>
      <w:r w:rsidR="00713A7A" w:rsidRPr="00F9661E">
        <w:rPr>
          <w:bCs/>
        </w:rPr>
        <w:t xml:space="preserve"> cetuximab</w:t>
      </w:r>
      <w:r w:rsidR="009025BC" w:rsidRPr="00F9661E">
        <w:rPr>
          <w:bCs/>
        </w:rPr>
        <w:t xml:space="preserve"> </w:t>
      </w:r>
      <w:r w:rsidR="005E7E96" w:rsidRPr="00F9661E">
        <w:rPr>
          <w:bCs/>
        </w:rPr>
        <w:t>with</w:t>
      </w:r>
      <w:r w:rsidR="00713A7A" w:rsidRPr="00F9661E">
        <w:rPr>
          <w:bCs/>
        </w:rPr>
        <w:t xml:space="preserve"> FOLFIRI</w:t>
      </w:r>
      <w:r w:rsidR="00A66A7F" w:rsidRPr="00F9661E">
        <w:rPr>
          <w:bCs/>
        </w:rPr>
        <w:t>,</w:t>
      </w:r>
      <w:r w:rsidR="00713A7A" w:rsidRPr="00F9661E">
        <w:rPr>
          <w:bCs/>
        </w:rPr>
        <w:t xml:space="preserve"> and </w:t>
      </w:r>
      <w:r w:rsidR="005E7E96" w:rsidRPr="00F9661E">
        <w:rPr>
          <w:bCs/>
        </w:rPr>
        <w:t>with</w:t>
      </w:r>
      <w:r w:rsidR="009025BC" w:rsidRPr="00F9661E">
        <w:rPr>
          <w:bCs/>
        </w:rPr>
        <w:t xml:space="preserve"> </w:t>
      </w:r>
      <w:r w:rsidR="00713A7A" w:rsidRPr="00F9661E">
        <w:rPr>
          <w:bCs/>
        </w:rPr>
        <w:t>trifluridine</w:t>
      </w:r>
      <w:r w:rsidR="005E7E96" w:rsidRPr="00F9661E">
        <w:rPr>
          <w:bCs/>
        </w:rPr>
        <w:t>–</w:t>
      </w:r>
      <w:r w:rsidR="00713A7A" w:rsidRPr="00F9661E">
        <w:rPr>
          <w:bCs/>
        </w:rPr>
        <w:t>tipiracil</w:t>
      </w:r>
      <w:r w:rsidR="00A66A7F" w:rsidRPr="00F9661E">
        <w:rPr>
          <w:bCs/>
        </w:rPr>
        <w:t>,</w:t>
      </w:r>
      <w:r w:rsidR="004C7CE4" w:rsidRPr="00F9661E">
        <w:rPr>
          <w:bCs/>
        </w:rPr>
        <w:t xml:space="preserve"> </w:t>
      </w:r>
      <w:r w:rsidR="00D84F48">
        <w:rPr>
          <w:bCs/>
        </w:rPr>
        <w:t xml:space="preserve">the assumptions used make </w:t>
      </w:r>
      <w:r w:rsidR="00270EC3">
        <w:rPr>
          <w:bCs/>
        </w:rPr>
        <w:t xml:space="preserve">the results </w:t>
      </w:r>
      <w:r w:rsidR="00537D18" w:rsidRPr="00F9661E">
        <w:rPr>
          <w:bCs/>
        </w:rPr>
        <w:t>un</w:t>
      </w:r>
      <w:r w:rsidR="00713A7A" w:rsidRPr="00F9661E">
        <w:rPr>
          <w:bCs/>
        </w:rPr>
        <w:t>reliable</w:t>
      </w:r>
      <w:r w:rsidR="00713A7A">
        <w:rPr>
          <w:bCs/>
        </w:rPr>
        <w:t>.</w:t>
      </w:r>
    </w:p>
    <w:p w14:paraId="0CA8083A" w14:textId="79F42248" w:rsidR="0053786E" w:rsidRDefault="00713A7A" w:rsidP="008522C6">
      <w:pPr>
        <w:pStyle w:val="NICEnormal"/>
        <w:rPr>
          <w:bCs/>
        </w:rPr>
      </w:pPr>
      <w:r>
        <w:rPr>
          <w:bCs/>
        </w:rPr>
        <w:t xml:space="preserve">Encorafenib </w:t>
      </w:r>
      <w:r w:rsidR="005E7E96">
        <w:rPr>
          <w:bCs/>
        </w:rPr>
        <w:t>plus</w:t>
      </w:r>
      <w:r>
        <w:rPr>
          <w:bCs/>
        </w:rPr>
        <w:t xml:space="preserve"> cetuximab meets NICE’s criteria for being a life-extending treatment at the end of life. </w:t>
      </w:r>
      <w:r w:rsidR="00691113">
        <w:rPr>
          <w:bCs/>
        </w:rPr>
        <w:t>But</w:t>
      </w:r>
      <w:r>
        <w:rPr>
          <w:bCs/>
        </w:rPr>
        <w:t xml:space="preserve"> the cost</w:t>
      </w:r>
      <w:r w:rsidR="005E7E96">
        <w:rPr>
          <w:bCs/>
        </w:rPr>
        <w:t>-</w:t>
      </w:r>
      <w:r>
        <w:rPr>
          <w:bCs/>
        </w:rPr>
        <w:t xml:space="preserve">effectiveness estimates are </w:t>
      </w:r>
      <w:r w:rsidR="001B48C7">
        <w:rPr>
          <w:bCs/>
        </w:rPr>
        <w:t>higher than</w:t>
      </w:r>
      <w:r>
        <w:rPr>
          <w:bCs/>
        </w:rPr>
        <w:t xml:space="preserve"> </w:t>
      </w:r>
      <w:r w:rsidR="000E3E3B">
        <w:rPr>
          <w:bCs/>
        </w:rPr>
        <w:t>what is</w:t>
      </w:r>
      <w:r>
        <w:rPr>
          <w:bCs/>
        </w:rPr>
        <w:t xml:space="preserve"> normally considered a cost-effective use of NHS resources</w:t>
      </w:r>
      <w:r w:rsidR="003F03C3">
        <w:rPr>
          <w:bCs/>
        </w:rPr>
        <w:t>, s</w:t>
      </w:r>
      <w:r w:rsidR="0053786E">
        <w:rPr>
          <w:bCs/>
        </w:rPr>
        <w:t>o it cannot be recommended for routine use in the NHS.</w:t>
      </w:r>
    </w:p>
    <w:p w14:paraId="55923A08" w14:textId="77777777" w:rsidR="009E2676" w:rsidRPr="003257B4" w:rsidRDefault="009E2676" w:rsidP="009E2676">
      <w:pPr>
        <w:pStyle w:val="NICEnormal"/>
        <w:rPr>
          <w:bCs/>
        </w:rPr>
      </w:pPr>
      <w:r>
        <w:lastRenderedPageBreak/>
        <w:t xml:space="preserve">Collecting further data is unlikely to address the clinical uncertainty. Also, with the current economic modelling, encorafenib plus cetuximab does not have potential to be cost effective compared with current treatment. </w:t>
      </w:r>
      <w:r>
        <w:rPr>
          <w:bCs/>
        </w:rPr>
        <w:t>So it cannot be recommended for use through the Cancer Drugs Fund.</w:t>
      </w:r>
    </w:p>
    <w:p w14:paraId="01279232" w14:textId="77777777" w:rsidR="00713A7A" w:rsidRDefault="00713A7A" w:rsidP="00713A7A">
      <w:pPr>
        <w:pStyle w:val="Numberedheading1"/>
        <w:keepLines/>
        <w:numPr>
          <w:ilvl w:val="0"/>
          <w:numId w:val="1"/>
        </w:numPr>
      </w:pPr>
      <w:r>
        <w:t>Information about encorafenib</w:t>
      </w:r>
    </w:p>
    <w:p w14:paraId="66204587" w14:textId="390CC60E" w:rsidR="00713A7A" w:rsidRDefault="00713A7A" w:rsidP="00B82A82">
      <w:pPr>
        <w:pStyle w:val="Heading2"/>
      </w:pPr>
      <w:r w:rsidRPr="00A76391">
        <w:t>Marketing authorisation indication</w:t>
      </w:r>
    </w:p>
    <w:p w14:paraId="4631857D" w14:textId="6F94DAC9" w:rsidR="001B015F" w:rsidRDefault="00713A7A" w:rsidP="001B015F">
      <w:pPr>
        <w:pStyle w:val="Numberedlevel2text"/>
        <w:numPr>
          <w:ilvl w:val="1"/>
          <w:numId w:val="1"/>
        </w:numPr>
      </w:pPr>
      <w:r w:rsidRPr="00331D9B">
        <w:t xml:space="preserve">On </w:t>
      </w:r>
      <w:r w:rsidRPr="001604F3">
        <w:rPr>
          <w:rStyle w:val="Numberedlevel2textChar"/>
          <w:lang w:val="en-GB"/>
        </w:rPr>
        <w:t>30 April 2020</w:t>
      </w:r>
      <w:r w:rsidRPr="00331D9B">
        <w:t xml:space="preserve">, the Committee for Medicinal Products for Human Use (CHMP) adopted a positive opinion recommending a variation to the terms of the marketing authorisation for the medicinal product </w:t>
      </w:r>
      <w:r>
        <w:rPr>
          <w:rStyle w:val="Numberedlevel2textChar"/>
          <w:lang w:val="en-GB"/>
        </w:rPr>
        <w:t>encorafenib</w:t>
      </w:r>
      <w:r w:rsidR="00CA2FAE">
        <w:rPr>
          <w:rStyle w:val="Numberedlevel2textChar"/>
          <w:lang w:val="en-GB"/>
        </w:rPr>
        <w:t xml:space="preserve"> (Braftovi)</w:t>
      </w:r>
      <w:r w:rsidRPr="00331D9B">
        <w:t xml:space="preserve">. The CHMP adopted a new indication as follows: </w:t>
      </w:r>
      <w:r w:rsidR="0074274F">
        <w:rPr>
          <w:lang w:val="en-GB"/>
        </w:rPr>
        <w:t>‘</w:t>
      </w:r>
      <w:r w:rsidRPr="00227882">
        <w:rPr>
          <w:rStyle w:val="Numberedlevel2textChar"/>
        </w:rPr>
        <w:t>in combination with cetuximab, for the treatment of adult patients with metastatic colorectal cancer with a BRAF V600E mutation, who have received prior systemic therapy</w:t>
      </w:r>
      <w:r w:rsidR="0074274F">
        <w:rPr>
          <w:rStyle w:val="Numberedlevel2textChar"/>
          <w:lang w:val="en-GB"/>
        </w:rPr>
        <w:t>’</w:t>
      </w:r>
      <w:r w:rsidRPr="00227882">
        <w:rPr>
          <w:rStyle w:val="Numberedlevel2textChar"/>
        </w:rPr>
        <w:t>.</w:t>
      </w:r>
      <w:r w:rsidR="00892CFA">
        <w:rPr>
          <w:rStyle w:val="Numberedlevel2textChar"/>
          <w:lang w:val="en-GB"/>
        </w:rPr>
        <w:t xml:space="preserve"> </w:t>
      </w:r>
      <w:r w:rsidR="001B015F" w:rsidRPr="001B015F">
        <w:rPr>
          <w:rStyle w:val="Numberedlevel2textChar"/>
          <w:lang w:val="en-GB"/>
        </w:rPr>
        <w:t>Because the marketing authorisation did not include triple therapy</w:t>
      </w:r>
      <w:r w:rsidR="003C4D86">
        <w:rPr>
          <w:rStyle w:val="Numberedlevel2textChar"/>
          <w:lang w:val="en-GB"/>
        </w:rPr>
        <w:t xml:space="preserve"> (</w:t>
      </w:r>
      <w:r w:rsidR="009E128F" w:rsidRPr="009E128F">
        <w:rPr>
          <w:rStyle w:val="Numberedlevel2textChar"/>
          <w:lang w:val="en-GB"/>
        </w:rPr>
        <w:t>encorafenib plus binimetinib and cetuximab</w:t>
      </w:r>
      <w:r w:rsidR="009E128F">
        <w:rPr>
          <w:rStyle w:val="Numberedlevel2textChar"/>
          <w:lang w:val="en-GB"/>
        </w:rPr>
        <w:t>)</w:t>
      </w:r>
      <w:r w:rsidR="001B015F" w:rsidRPr="001B015F">
        <w:rPr>
          <w:rStyle w:val="Numberedlevel2textChar"/>
          <w:lang w:val="en-GB"/>
        </w:rPr>
        <w:t>, this appraisal only considers dual therapy.</w:t>
      </w:r>
    </w:p>
    <w:p w14:paraId="60D619AB" w14:textId="77777777" w:rsidR="00713A7A" w:rsidRDefault="00713A7A" w:rsidP="00B82A82">
      <w:pPr>
        <w:pStyle w:val="Heading2"/>
      </w:pPr>
      <w:r>
        <w:t>Dosage in the marketing authorisation</w:t>
      </w:r>
    </w:p>
    <w:p w14:paraId="10A3ACEF" w14:textId="77777777" w:rsidR="00713A7A" w:rsidRPr="00570524" w:rsidRDefault="00713A7A" w:rsidP="001A5561">
      <w:pPr>
        <w:pStyle w:val="Numberedlevel2text"/>
        <w:numPr>
          <w:ilvl w:val="1"/>
          <w:numId w:val="1"/>
        </w:numPr>
        <w:rPr>
          <w:rStyle w:val="Numberedlevel2textChar"/>
        </w:rPr>
      </w:pPr>
      <w:r w:rsidRPr="00570524">
        <w:t xml:space="preserve">The dosage schedule is available in </w:t>
      </w:r>
      <w:r>
        <w:t xml:space="preserve">the </w:t>
      </w:r>
      <w:hyperlink r:id="rId12" w:history="1">
        <w:r w:rsidRPr="00227882">
          <w:rPr>
            <w:rStyle w:val="Hyperlink"/>
          </w:rPr>
          <w:t>summary of product characteristics</w:t>
        </w:r>
      </w:hyperlink>
      <w:r>
        <w:t>.</w:t>
      </w:r>
    </w:p>
    <w:p w14:paraId="722E114E" w14:textId="77777777" w:rsidR="00713A7A" w:rsidRDefault="00713A7A" w:rsidP="00B82A82">
      <w:pPr>
        <w:pStyle w:val="Heading2"/>
      </w:pPr>
      <w:r>
        <w:t>Price</w:t>
      </w:r>
    </w:p>
    <w:p w14:paraId="750E8795" w14:textId="213FCE36" w:rsidR="00713A7A" w:rsidRDefault="00E2645B" w:rsidP="00571E4A">
      <w:pPr>
        <w:pStyle w:val="Numberedlevel2text"/>
        <w:numPr>
          <w:ilvl w:val="1"/>
          <w:numId w:val="1"/>
        </w:numPr>
      </w:pPr>
      <w:r>
        <w:rPr>
          <w:rStyle w:val="NICEnormalChar"/>
        </w:rPr>
        <w:t>The l</w:t>
      </w:r>
      <w:r w:rsidR="00713A7A">
        <w:rPr>
          <w:rStyle w:val="NICEnormalChar"/>
        </w:rPr>
        <w:t xml:space="preserve">ist price </w:t>
      </w:r>
      <w:r>
        <w:rPr>
          <w:rStyle w:val="NICEnormalChar"/>
        </w:rPr>
        <w:t xml:space="preserve">of encorafenib 75 mg is </w:t>
      </w:r>
      <w:r w:rsidR="00713A7A">
        <w:rPr>
          <w:rStyle w:val="NICEnormalChar"/>
        </w:rPr>
        <w:t>£1,400 for 42</w:t>
      </w:r>
      <w:r w:rsidR="0020504D">
        <w:rPr>
          <w:rStyle w:val="NICEnormalChar"/>
        </w:rPr>
        <w:t> </w:t>
      </w:r>
      <w:r w:rsidR="00713A7A">
        <w:rPr>
          <w:rStyle w:val="NICEnormalChar"/>
        </w:rPr>
        <w:t>capsules (excluding VAT; B</w:t>
      </w:r>
      <w:r>
        <w:rPr>
          <w:rStyle w:val="NICEnormalChar"/>
        </w:rPr>
        <w:t>NF</w:t>
      </w:r>
      <w:r w:rsidR="00713A7A">
        <w:rPr>
          <w:rStyle w:val="NICEnormalChar"/>
        </w:rPr>
        <w:t xml:space="preserve"> online accessed August 2020)</w:t>
      </w:r>
      <w:r w:rsidR="00713A7A" w:rsidRPr="00A817BA">
        <w:rPr>
          <w:rStyle w:val="CommentReference"/>
          <w:rFonts w:ascii="Times New Roman" w:hAnsi="Times New Roman"/>
          <w:bCs w:val="0"/>
          <w:iCs w:val="0"/>
        </w:rPr>
        <w:t>.</w:t>
      </w:r>
      <w:r w:rsidR="00713A7A">
        <w:t xml:space="preserve"> </w:t>
      </w:r>
      <w:bookmarkStart w:id="10" w:name="_Hlk24530292"/>
      <w:r w:rsidR="00713A7A">
        <w:t>The company has a commercial arrangement. This</w:t>
      </w:r>
      <w:r w:rsidR="00713A7A" w:rsidRPr="00B520D8">
        <w:t xml:space="preserve"> makes </w:t>
      </w:r>
      <w:r w:rsidR="00713A7A">
        <w:t>encorafenib</w:t>
      </w:r>
      <w:r w:rsidR="00713A7A" w:rsidRPr="00B520D8">
        <w:t xml:space="preserve"> available to the NHS with a discount</w:t>
      </w:r>
      <w:r w:rsidR="00713A7A">
        <w:t xml:space="preserve"> and it would have also applied to this indication if the technology had been recommended</w:t>
      </w:r>
      <w:r w:rsidR="00713A7A" w:rsidRPr="00B520D8">
        <w:t>. The size of the discount is commercial in confidence. It is the company</w:t>
      </w:r>
      <w:r w:rsidR="00713A7A">
        <w:t>’s responsibility</w:t>
      </w:r>
      <w:r w:rsidR="00713A7A" w:rsidRPr="00B520D8">
        <w:t xml:space="preserve"> to </w:t>
      </w:r>
      <w:r w:rsidR="00713A7A">
        <w:t>let</w:t>
      </w:r>
      <w:r w:rsidR="00713A7A" w:rsidRPr="00B520D8">
        <w:t xml:space="preserve"> relevant NHS organisations</w:t>
      </w:r>
      <w:r w:rsidR="00713A7A">
        <w:t xml:space="preserve"> know details of the discount.</w:t>
      </w:r>
    </w:p>
    <w:bookmarkEnd w:id="10"/>
    <w:p w14:paraId="49746314" w14:textId="77777777" w:rsidR="00713A7A" w:rsidRDefault="00713A7A" w:rsidP="00713A7A">
      <w:pPr>
        <w:pStyle w:val="Numberedheading1"/>
        <w:numPr>
          <w:ilvl w:val="0"/>
          <w:numId w:val="1"/>
        </w:numPr>
      </w:pPr>
      <w:r w:rsidRPr="000F48EC">
        <w:lastRenderedPageBreak/>
        <w:t>Co</w:t>
      </w:r>
      <w:r>
        <w:t>mmittee discussion</w:t>
      </w:r>
    </w:p>
    <w:p w14:paraId="1109CB2A" w14:textId="3FE70A52" w:rsidR="00713A7A" w:rsidRPr="00C63D4E" w:rsidRDefault="00713A7A" w:rsidP="002B5772">
      <w:pPr>
        <w:pStyle w:val="NICEnormal"/>
      </w:pPr>
      <w:r w:rsidRPr="007D7F83">
        <w:t xml:space="preserve">The </w:t>
      </w:r>
      <w:r>
        <w:t>a</w:t>
      </w:r>
      <w:r w:rsidRPr="007D7F83">
        <w:t xml:space="preserve">ppraisal </w:t>
      </w:r>
      <w:r>
        <w:t>c</w:t>
      </w:r>
      <w:r w:rsidRPr="007D7F83">
        <w:t xml:space="preserve">ommittee </w:t>
      </w:r>
      <w:r>
        <w:t>(section</w:t>
      </w:r>
      <w:r w:rsidR="0020504D">
        <w:t> </w:t>
      </w:r>
      <w:r w:rsidR="00D822B7">
        <w:t>5</w:t>
      </w:r>
      <w:r>
        <w:t xml:space="preserve">) </w:t>
      </w:r>
      <w:r w:rsidRPr="007D7F83">
        <w:t xml:space="preserve">considered evidence submitted by </w:t>
      </w:r>
      <w:r w:rsidRPr="00CF6BE7">
        <w:t>Pierre Fabre</w:t>
      </w:r>
      <w:r w:rsidR="00F56525">
        <w:t xml:space="preserve"> Ltd</w:t>
      </w:r>
      <w:r>
        <w:t>,</w:t>
      </w:r>
      <w:r w:rsidRPr="00981B9F">
        <w:t xml:space="preserve"> </w:t>
      </w:r>
      <w:r w:rsidRPr="007D7F83">
        <w:t xml:space="preserve">a review of this submission by the </w:t>
      </w:r>
      <w:r>
        <w:t>e</w:t>
      </w:r>
      <w:r w:rsidRPr="007D7F83">
        <w:t xml:space="preserve">vidence </w:t>
      </w:r>
      <w:r>
        <w:t>r</w:t>
      </w:r>
      <w:r w:rsidRPr="007D7F83">
        <w:t xml:space="preserve">eview </w:t>
      </w:r>
      <w:r>
        <w:t>g</w:t>
      </w:r>
      <w:r w:rsidRPr="007D7F83">
        <w:t>roup (ERG)</w:t>
      </w:r>
      <w:r>
        <w:t>, NICE’s technical report, and responses from stakeholders</w:t>
      </w:r>
      <w:r w:rsidRPr="007D7F83">
        <w:t>.</w:t>
      </w:r>
      <w:r>
        <w:t xml:space="preserve"> See the </w:t>
      </w:r>
      <w:hyperlink r:id="rId13" w:history="1">
        <w:r>
          <w:rPr>
            <w:rStyle w:val="Hyperlink"/>
          </w:rPr>
          <w:t>committee papers</w:t>
        </w:r>
      </w:hyperlink>
      <w:r>
        <w:t xml:space="preserve"> for full details of the evidence</w:t>
      </w:r>
      <w:r w:rsidRPr="000F2D8A">
        <w:t>.</w:t>
      </w:r>
    </w:p>
    <w:p w14:paraId="3FC3B604" w14:textId="77777777" w:rsidR="00713A7A" w:rsidRDefault="00713A7A" w:rsidP="00D01B9F">
      <w:pPr>
        <w:pStyle w:val="NICEnormal"/>
      </w:pPr>
      <w:r>
        <w:t>The appraisal committee was aware that several issues were resolved during the technical engagement stage, and agreed that:</w:t>
      </w:r>
    </w:p>
    <w:p w14:paraId="522A944A" w14:textId="1B8C99E1" w:rsidR="00713A7A" w:rsidRPr="004872CA" w:rsidRDefault="00713A7A" w:rsidP="00571E4A">
      <w:pPr>
        <w:pStyle w:val="Bulletleft1"/>
      </w:pPr>
      <w:r w:rsidRPr="004872CA">
        <w:t>The company</w:t>
      </w:r>
      <w:r w:rsidR="000930DE">
        <w:t>’s</w:t>
      </w:r>
      <w:r w:rsidRPr="004872CA">
        <w:t xml:space="preserve"> adjustment of health utilities for the progression</w:t>
      </w:r>
      <w:r w:rsidR="000930DE">
        <w:t>-</w:t>
      </w:r>
      <w:r w:rsidRPr="004872CA">
        <w:t>free health state is more likely to reflect clinical practice</w:t>
      </w:r>
      <w:r w:rsidR="000930DE">
        <w:t>.</w:t>
      </w:r>
    </w:p>
    <w:p w14:paraId="4687B6BF" w14:textId="3D62DD77" w:rsidR="00713A7A" w:rsidRPr="004872CA" w:rsidRDefault="00713A7A" w:rsidP="006D4D1A">
      <w:pPr>
        <w:pStyle w:val="Bulletleft1last"/>
      </w:pPr>
      <w:r w:rsidRPr="004872CA">
        <w:t>The company</w:t>
      </w:r>
      <w:r w:rsidR="000930DE">
        <w:t>’s</w:t>
      </w:r>
      <w:r w:rsidRPr="004872CA">
        <w:t xml:space="preserve"> amended cost for drugs at the start of the model cycle more accurately reflects costs</w:t>
      </w:r>
      <w:r>
        <w:t xml:space="preserve"> in clinical practice.</w:t>
      </w:r>
    </w:p>
    <w:p w14:paraId="5F7A8B63" w14:textId="76469777" w:rsidR="00713A7A" w:rsidRDefault="00713A7A" w:rsidP="00571E4A">
      <w:pPr>
        <w:pStyle w:val="NICEnormal"/>
      </w:pPr>
      <w:r>
        <w:t xml:space="preserve">It recognised that there were remaining areas of uncertainty </w:t>
      </w:r>
      <w:r w:rsidRPr="000930DE">
        <w:t>associated</w:t>
      </w:r>
      <w:r>
        <w:t xml:space="preserve"> with the analyses presented (see technical report table 11, page 41), and took these into account in its decision making. It discussed the issues which were outstanding after the technical engagement stage.</w:t>
      </w:r>
    </w:p>
    <w:p w14:paraId="358BC0B0" w14:textId="77777777" w:rsidR="00713A7A" w:rsidRDefault="00713A7A" w:rsidP="00643582">
      <w:pPr>
        <w:pStyle w:val="Heading2"/>
      </w:pPr>
      <w:r>
        <w:t>The condition</w:t>
      </w:r>
    </w:p>
    <w:p w14:paraId="4D6BFFC5" w14:textId="037DE864" w:rsidR="00713A7A" w:rsidRDefault="00713A7A" w:rsidP="00B0549A">
      <w:pPr>
        <w:pStyle w:val="Heading3"/>
      </w:pPr>
      <w:r>
        <w:t>There is an unmet need for treatment</w:t>
      </w:r>
      <w:r w:rsidR="00D55AFF">
        <w:t>s</w:t>
      </w:r>
      <w:r>
        <w:t xml:space="preserve"> for BRAF V600E mutation-positive metastatic colorectal cancer</w:t>
      </w:r>
    </w:p>
    <w:p w14:paraId="43400E9E" w14:textId="7EDFDF8F" w:rsidR="00713A7A" w:rsidRPr="0084460F" w:rsidRDefault="00713A7A" w:rsidP="00713A7A">
      <w:pPr>
        <w:pStyle w:val="Numberedlevel2text"/>
        <w:numPr>
          <w:ilvl w:val="1"/>
          <w:numId w:val="1"/>
        </w:numPr>
      </w:pPr>
      <w:r w:rsidRPr="00D3319F">
        <w:t xml:space="preserve">Colorectal cancer is a malignant tumour arising from the lining of the large intestine (colon and rectum). </w:t>
      </w:r>
      <w:r>
        <w:t>Metastatic colorectal cancer</w:t>
      </w:r>
      <w:r>
        <w:rPr>
          <w:lang w:val="en-GB"/>
        </w:rPr>
        <w:t xml:space="preserve"> with </w:t>
      </w:r>
      <w:r w:rsidR="000B54A9">
        <w:rPr>
          <w:lang w:val="en-GB"/>
        </w:rPr>
        <w:t xml:space="preserve">a </w:t>
      </w:r>
      <w:r>
        <w:rPr>
          <w:lang w:val="en-GB"/>
        </w:rPr>
        <w:t>BRAF V600E mutation is a rare type of colorectal cancer</w:t>
      </w:r>
      <w:r w:rsidR="000B54A9">
        <w:rPr>
          <w:lang w:val="en-GB"/>
        </w:rPr>
        <w:t>. It</w:t>
      </w:r>
      <w:r>
        <w:rPr>
          <w:lang w:val="en-GB"/>
        </w:rPr>
        <w:t xml:space="preserve"> is associated with </w:t>
      </w:r>
      <w:r w:rsidR="000B54A9">
        <w:rPr>
          <w:lang w:val="en-GB"/>
        </w:rPr>
        <w:t xml:space="preserve">a </w:t>
      </w:r>
      <w:r>
        <w:rPr>
          <w:lang w:val="en-GB"/>
        </w:rPr>
        <w:t xml:space="preserve">poorer prognosis and </w:t>
      </w:r>
      <w:r w:rsidR="000B54A9">
        <w:rPr>
          <w:lang w:val="en-GB"/>
        </w:rPr>
        <w:t xml:space="preserve">has a </w:t>
      </w:r>
      <w:r>
        <w:rPr>
          <w:lang w:val="en-GB"/>
        </w:rPr>
        <w:t xml:space="preserve">greater risk of </w:t>
      </w:r>
      <w:r w:rsidR="000B54A9">
        <w:rPr>
          <w:lang w:val="en-GB"/>
        </w:rPr>
        <w:t>recurring</w:t>
      </w:r>
      <w:r>
        <w:rPr>
          <w:lang w:val="en-GB"/>
        </w:rPr>
        <w:t xml:space="preserve"> than </w:t>
      </w:r>
      <w:r w:rsidR="000B54A9">
        <w:rPr>
          <w:lang w:val="en-GB"/>
        </w:rPr>
        <w:t xml:space="preserve">colorectal cancer without </w:t>
      </w:r>
      <w:r w:rsidR="002767EA">
        <w:rPr>
          <w:lang w:val="en-GB"/>
        </w:rPr>
        <w:t>the</w:t>
      </w:r>
      <w:r w:rsidR="000B54A9">
        <w:rPr>
          <w:lang w:val="en-GB"/>
        </w:rPr>
        <w:t xml:space="preserve"> </w:t>
      </w:r>
      <w:r w:rsidR="009E128F">
        <w:rPr>
          <w:lang w:val="en-GB"/>
        </w:rPr>
        <w:t xml:space="preserve">BRAF </w:t>
      </w:r>
      <w:r w:rsidR="000B54A9">
        <w:rPr>
          <w:lang w:val="en-GB"/>
        </w:rPr>
        <w:t>mutation</w:t>
      </w:r>
      <w:r>
        <w:rPr>
          <w:lang w:val="en-GB"/>
        </w:rPr>
        <w:t xml:space="preserve">. There has been little improvement in survival for BRAF </w:t>
      </w:r>
      <w:r w:rsidR="000B54A9">
        <w:rPr>
          <w:lang w:val="en-GB"/>
        </w:rPr>
        <w:t>V600</w:t>
      </w:r>
      <w:r w:rsidR="00172ECD">
        <w:rPr>
          <w:lang w:val="en-GB"/>
        </w:rPr>
        <w:t>E</w:t>
      </w:r>
      <w:r w:rsidR="000B54A9">
        <w:rPr>
          <w:lang w:val="en-GB"/>
        </w:rPr>
        <w:t xml:space="preserve"> mutation-positive </w:t>
      </w:r>
      <w:r>
        <w:rPr>
          <w:lang w:val="en-GB"/>
        </w:rPr>
        <w:t xml:space="preserve">cancer despite </w:t>
      </w:r>
      <w:r w:rsidR="009E257B">
        <w:rPr>
          <w:lang w:val="en-GB"/>
        </w:rPr>
        <w:t xml:space="preserve">improvements </w:t>
      </w:r>
      <w:r>
        <w:rPr>
          <w:lang w:val="en-GB"/>
        </w:rPr>
        <w:t xml:space="preserve">for colorectal cancer in general. The clinical experts explained that there are currently no effective treatments for this </w:t>
      </w:r>
      <w:r w:rsidR="000B54A9">
        <w:rPr>
          <w:lang w:val="en-GB"/>
        </w:rPr>
        <w:t xml:space="preserve">type of colorectal cancer </w:t>
      </w:r>
      <w:r>
        <w:rPr>
          <w:lang w:val="en-GB"/>
        </w:rPr>
        <w:t xml:space="preserve">and encorafenib </w:t>
      </w:r>
      <w:r w:rsidR="000B54A9">
        <w:rPr>
          <w:lang w:val="en-GB"/>
        </w:rPr>
        <w:t>plus</w:t>
      </w:r>
      <w:r>
        <w:rPr>
          <w:lang w:val="en-GB"/>
        </w:rPr>
        <w:t xml:space="preserve"> cetuximab represents a step</w:t>
      </w:r>
      <w:r w:rsidR="0023310B">
        <w:rPr>
          <w:lang w:val="en-GB"/>
        </w:rPr>
        <w:t xml:space="preserve"> </w:t>
      </w:r>
      <w:r>
        <w:rPr>
          <w:lang w:val="en-GB"/>
        </w:rPr>
        <w:t xml:space="preserve">change in treatment. </w:t>
      </w:r>
      <w:r w:rsidR="00537D18">
        <w:rPr>
          <w:lang w:val="en-GB"/>
        </w:rPr>
        <w:t xml:space="preserve">The </w:t>
      </w:r>
      <w:r w:rsidR="00537D18">
        <w:rPr>
          <w:lang w:val="en-GB"/>
        </w:rPr>
        <w:lastRenderedPageBreak/>
        <w:t>committee concluded</w:t>
      </w:r>
      <w:r w:rsidR="00537D18" w:rsidRPr="00537D18">
        <w:t xml:space="preserve"> </w:t>
      </w:r>
      <w:r w:rsidR="000B54A9">
        <w:rPr>
          <w:lang w:val="en-GB"/>
        </w:rPr>
        <w:t xml:space="preserve">that </w:t>
      </w:r>
      <w:r w:rsidR="00537D18">
        <w:rPr>
          <w:lang w:val="en-GB"/>
        </w:rPr>
        <w:t>t</w:t>
      </w:r>
      <w:r w:rsidR="00537D18">
        <w:t>here is an unmet need for treatment</w:t>
      </w:r>
      <w:r w:rsidR="000B54A9">
        <w:rPr>
          <w:lang w:val="en-GB"/>
        </w:rPr>
        <w:t>s</w:t>
      </w:r>
      <w:r w:rsidR="00537D18">
        <w:t xml:space="preserve"> for BRAF V600E mutation-positive metastatic colorectal cancer</w:t>
      </w:r>
      <w:r w:rsidR="00537D18">
        <w:rPr>
          <w:lang w:val="en-GB"/>
        </w:rPr>
        <w:t>.</w:t>
      </w:r>
    </w:p>
    <w:p w14:paraId="0B7DAC60" w14:textId="1B4ACE15" w:rsidR="00713A7A" w:rsidRDefault="00713A7A" w:rsidP="00B0549A">
      <w:pPr>
        <w:pStyle w:val="Heading3"/>
      </w:pPr>
      <w:r>
        <w:t>P</w:t>
      </w:r>
      <w:r w:rsidR="001D03CB">
        <w:t>eople</w:t>
      </w:r>
      <w:r>
        <w:t xml:space="preserve"> would welcome an effective treatment option for BRAF V600E mutation-positive metastatic colorectal cancer</w:t>
      </w:r>
    </w:p>
    <w:p w14:paraId="6F4AA4B5" w14:textId="297E745B" w:rsidR="00713A7A" w:rsidRPr="00271DF8" w:rsidRDefault="00F65587" w:rsidP="00713A7A">
      <w:pPr>
        <w:pStyle w:val="Numberedlevel2text"/>
        <w:numPr>
          <w:ilvl w:val="1"/>
          <w:numId w:val="1"/>
        </w:numPr>
      </w:pPr>
      <w:r>
        <w:rPr>
          <w:lang w:val="en-US"/>
        </w:rPr>
        <w:t>M</w:t>
      </w:r>
      <w:r w:rsidR="00713A7A">
        <w:rPr>
          <w:lang w:val="en-GB"/>
        </w:rPr>
        <w:t xml:space="preserve">etastatic colorectal cancer is a </w:t>
      </w:r>
      <w:r w:rsidR="00713A7A" w:rsidRPr="00AC2C4F">
        <w:rPr>
          <w:lang w:val="en-US"/>
        </w:rPr>
        <w:t>progressive</w:t>
      </w:r>
      <w:r w:rsidR="00713A7A">
        <w:rPr>
          <w:lang w:val="en-US"/>
        </w:rPr>
        <w:t xml:space="preserve"> condition that affects survival and quality of life. The patient experts </w:t>
      </w:r>
      <w:r w:rsidR="00195C53">
        <w:rPr>
          <w:lang w:val="en-US"/>
        </w:rPr>
        <w:t>highlighted the</w:t>
      </w:r>
      <w:r w:rsidR="00713A7A">
        <w:t xml:space="preserve"> psychological </w:t>
      </w:r>
      <w:r w:rsidR="00694393">
        <w:rPr>
          <w:lang w:val="en-GB"/>
        </w:rPr>
        <w:t>effect</w:t>
      </w:r>
      <w:r w:rsidR="009E128F">
        <w:rPr>
          <w:lang w:val="en-GB"/>
        </w:rPr>
        <w:t>s of a diagnosis of metastatic BRAF V600E mutation</w:t>
      </w:r>
      <w:r w:rsidR="003A1322">
        <w:rPr>
          <w:lang w:val="en-GB"/>
        </w:rPr>
        <w:t>-</w:t>
      </w:r>
      <w:r w:rsidR="009E128F">
        <w:rPr>
          <w:lang w:val="en-GB"/>
        </w:rPr>
        <w:t xml:space="preserve">positive colorectal cancer </w:t>
      </w:r>
      <w:r w:rsidR="003C4D86">
        <w:rPr>
          <w:lang w:val="en-GB"/>
        </w:rPr>
        <w:t>and</w:t>
      </w:r>
      <w:r w:rsidR="00FD27C1">
        <w:rPr>
          <w:lang w:val="en-US"/>
        </w:rPr>
        <w:t xml:space="preserve"> the </w:t>
      </w:r>
      <w:r w:rsidR="00713A7A" w:rsidRPr="0073200A">
        <w:rPr>
          <w:lang w:val="en-GB"/>
        </w:rPr>
        <w:t xml:space="preserve">lasting adverse effects </w:t>
      </w:r>
      <w:r w:rsidR="00FD27C1">
        <w:rPr>
          <w:lang w:val="en-GB"/>
        </w:rPr>
        <w:t>of current treatments such as</w:t>
      </w:r>
      <w:r w:rsidR="00FD27C1" w:rsidRPr="0073200A">
        <w:rPr>
          <w:lang w:val="en-GB"/>
        </w:rPr>
        <w:t xml:space="preserve"> </w:t>
      </w:r>
      <w:r w:rsidR="00713A7A" w:rsidRPr="0073200A">
        <w:rPr>
          <w:lang w:val="en-GB"/>
        </w:rPr>
        <w:t xml:space="preserve">neuropathic damage. The patient experts explained that </w:t>
      </w:r>
      <w:r w:rsidR="00537E80">
        <w:rPr>
          <w:lang w:val="en-GB"/>
        </w:rPr>
        <w:t xml:space="preserve">their cancer responded </w:t>
      </w:r>
      <w:r w:rsidR="00694393">
        <w:rPr>
          <w:lang w:val="en-GB"/>
        </w:rPr>
        <w:t xml:space="preserve">quickly </w:t>
      </w:r>
      <w:r w:rsidR="00537E80">
        <w:rPr>
          <w:lang w:val="en-GB"/>
        </w:rPr>
        <w:t xml:space="preserve">to </w:t>
      </w:r>
      <w:bookmarkStart w:id="11" w:name="_Hlk48247244"/>
      <w:r w:rsidR="003C4D86">
        <w:rPr>
          <w:lang w:val="en-GB"/>
        </w:rPr>
        <w:t>triple therapy (</w:t>
      </w:r>
      <w:bookmarkStart w:id="12" w:name="_Hlk49159326"/>
      <w:r w:rsidR="00713A7A" w:rsidRPr="0073200A">
        <w:rPr>
          <w:lang w:val="en-GB"/>
        </w:rPr>
        <w:t xml:space="preserve">encorafenib </w:t>
      </w:r>
      <w:r w:rsidR="008F02C2">
        <w:rPr>
          <w:lang w:val="en-GB"/>
        </w:rPr>
        <w:t>plus</w:t>
      </w:r>
      <w:r w:rsidR="008F02C2" w:rsidRPr="0073200A">
        <w:rPr>
          <w:lang w:val="en-GB"/>
        </w:rPr>
        <w:t xml:space="preserve"> </w:t>
      </w:r>
      <w:r w:rsidR="00713A7A" w:rsidRPr="0073200A">
        <w:rPr>
          <w:lang w:val="en-GB"/>
        </w:rPr>
        <w:t>binimetinib and cetuximab</w:t>
      </w:r>
      <w:bookmarkEnd w:id="12"/>
      <w:r w:rsidR="003C4D86">
        <w:rPr>
          <w:lang w:val="en-GB"/>
        </w:rPr>
        <w:t>)</w:t>
      </w:r>
      <w:r w:rsidR="00713A7A" w:rsidRPr="0073200A">
        <w:rPr>
          <w:lang w:val="en-GB"/>
        </w:rPr>
        <w:t xml:space="preserve"> </w:t>
      </w:r>
      <w:bookmarkEnd w:id="11"/>
      <w:r w:rsidR="00713A7A" w:rsidRPr="0073200A">
        <w:rPr>
          <w:lang w:val="en-GB"/>
        </w:rPr>
        <w:t xml:space="preserve">and </w:t>
      </w:r>
      <w:r w:rsidR="00537E80">
        <w:rPr>
          <w:lang w:val="en-GB"/>
        </w:rPr>
        <w:t xml:space="preserve">this </w:t>
      </w:r>
      <w:r w:rsidR="00D16864">
        <w:rPr>
          <w:lang w:val="en-GB"/>
        </w:rPr>
        <w:t xml:space="preserve">was </w:t>
      </w:r>
      <w:r w:rsidR="00713A7A" w:rsidRPr="0073200A">
        <w:rPr>
          <w:lang w:val="en-GB"/>
        </w:rPr>
        <w:t>life-changing, whereas</w:t>
      </w:r>
      <w:r w:rsidR="00D16864">
        <w:rPr>
          <w:lang w:val="en-GB"/>
        </w:rPr>
        <w:t xml:space="preserve"> they saw</w:t>
      </w:r>
      <w:r w:rsidR="00713A7A" w:rsidRPr="0073200A">
        <w:rPr>
          <w:lang w:val="en-GB"/>
        </w:rPr>
        <w:t xml:space="preserve"> little to no response on previous t</w:t>
      </w:r>
      <w:r w:rsidR="00FD27C1">
        <w:rPr>
          <w:lang w:val="en-GB"/>
        </w:rPr>
        <w:t>reatment</w:t>
      </w:r>
      <w:r w:rsidR="00713A7A" w:rsidRPr="0073200A">
        <w:rPr>
          <w:lang w:val="en-GB"/>
        </w:rPr>
        <w:t>. They noted that their</w:t>
      </w:r>
      <w:r w:rsidR="00713A7A">
        <w:rPr>
          <w:lang w:val="en-GB"/>
        </w:rPr>
        <w:t xml:space="preserve"> </w:t>
      </w:r>
      <w:r w:rsidR="00713A7A" w:rsidRPr="0073200A">
        <w:rPr>
          <w:lang w:val="en-GB"/>
        </w:rPr>
        <w:t>quality of life improved</w:t>
      </w:r>
      <w:r w:rsidR="00D16864">
        <w:rPr>
          <w:lang w:val="en-GB"/>
        </w:rPr>
        <w:t xml:space="preserve"> enormously</w:t>
      </w:r>
      <w:r w:rsidR="00713A7A" w:rsidRPr="0073200A">
        <w:rPr>
          <w:lang w:val="en-GB"/>
        </w:rPr>
        <w:t xml:space="preserve"> because the adverse effects are manageable </w:t>
      </w:r>
      <w:r w:rsidR="00537E80">
        <w:rPr>
          <w:lang w:val="en-GB"/>
        </w:rPr>
        <w:t>compared</w:t>
      </w:r>
      <w:r w:rsidR="00713A7A" w:rsidRPr="0073200A">
        <w:rPr>
          <w:lang w:val="en-GB"/>
        </w:rPr>
        <w:t xml:space="preserve"> with other treatment</w:t>
      </w:r>
      <w:r w:rsidR="00CD0516">
        <w:rPr>
          <w:lang w:val="en-GB"/>
        </w:rPr>
        <w:t>s</w:t>
      </w:r>
      <w:r w:rsidR="00713A7A">
        <w:rPr>
          <w:lang w:val="en-GB"/>
        </w:rPr>
        <w:t>.</w:t>
      </w:r>
      <w:r w:rsidR="00713A7A" w:rsidRPr="0073200A">
        <w:rPr>
          <w:lang w:val="en-GB"/>
        </w:rPr>
        <w:t xml:space="preserve"> </w:t>
      </w:r>
      <w:r w:rsidR="00713A7A">
        <w:t xml:space="preserve">The committee concluded </w:t>
      </w:r>
      <w:r w:rsidR="00713A7A">
        <w:rPr>
          <w:lang w:val="en-GB"/>
        </w:rPr>
        <w:t xml:space="preserve">that both patients and healthcare professionals would welcome </w:t>
      </w:r>
      <w:r w:rsidR="00537E80">
        <w:rPr>
          <w:lang w:val="en-GB"/>
        </w:rPr>
        <w:t>an effective</w:t>
      </w:r>
      <w:r w:rsidR="00713A7A">
        <w:rPr>
          <w:lang w:val="en-GB"/>
        </w:rPr>
        <w:t xml:space="preserve"> new </w:t>
      </w:r>
      <w:r w:rsidR="00713A7A">
        <w:t>treatment</w:t>
      </w:r>
      <w:r w:rsidR="00713A7A">
        <w:rPr>
          <w:lang w:val="en-US"/>
        </w:rPr>
        <w:t>.</w:t>
      </w:r>
    </w:p>
    <w:p w14:paraId="1D9D98AF" w14:textId="20FE98CD" w:rsidR="00713A7A" w:rsidRDefault="00827CEB" w:rsidP="00643582">
      <w:pPr>
        <w:pStyle w:val="Heading2"/>
      </w:pPr>
      <w:r>
        <w:t>T</w:t>
      </w:r>
      <w:r w:rsidR="00713A7A">
        <w:t>he treatment pathway</w:t>
      </w:r>
    </w:p>
    <w:p w14:paraId="41F73ED3" w14:textId="4D54A6F6" w:rsidR="00713A7A" w:rsidRDefault="00713A7A" w:rsidP="00723AF0">
      <w:pPr>
        <w:pStyle w:val="Heading3"/>
      </w:pPr>
      <w:r>
        <w:t xml:space="preserve">Encorafenib </w:t>
      </w:r>
      <w:r w:rsidR="0035135A">
        <w:t>plus</w:t>
      </w:r>
      <w:r w:rsidR="00537D18">
        <w:t xml:space="preserve"> cetuximab </w:t>
      </w:r>
      <w:r>
        <w:t xml:space="preserve">may be used </w:t>
      </w:r>
      <w:r w:rsidR="000E4CE0">
        <w:t>after 1 or more previous</w:t>
      </w:r>
      <w:r>
        <w:t xml:space="preserve"> line</w:t>
      </w:r>
      <w:r w:rsidR="000E4CE0">
        <w:t>s of treatment</w:t>
      </w:r>
      <w:r>
        <w:t xml:space="preserve"> in clinical practice</w:t>
      </w:r>
    </w:p>
    <w:p w14:paraId="453208E8" w14:textId="559C3A98" w:rsidR="00713A7A" w:rsidRPr="00105778" w:rsidRDefault="00713A7A" w:rsidP="00713A7A">
      <w:pPr>
        <w:pStyle w:val="Numberedlevel2text"/>
        <w:numPr>
          <w:ilvl w:val="1"/>
          <w:numId w:val="1"/>
        </w:numPr>
      </w:pPr>
      <w:r w:rsidRPr="00314B6C">
        <w:t xml:space="preserve">Encorafenib </w:t>
      </w:r>
      <w:r w:rsidR="0035135A">
        <w:rPr>
          <w:lang w:val="en-GB"/>
        </w:rPr>
        <w:t>plus</w:t>
      </w:r>
      <w:r w:rsidR="0035135A" w:rsidRPr="00314B6C">
        <w:t xml:space="preserve"> </w:t>
      </w:r>
      <w:r w:rsidRPr="00314B6C">
        <w:t xml:space="preserve">cetuximab has a </w:t>
      </w:r>
      <w:r>
        <w:t xml:space="preserve">marketing authorisation </w:t>
      </w:r>
      <w:r w:rsidRPr="00314B6C">
        <w:t>for treating metastatic colorectal cancer with a BRAF V600E mutation</w:t>
      </w:r>
      <w:r w:rsidR="00186450">
        <w:rPr>
          <w:lang w:val="en-GB"/>
        </w:rPr>
        <w:t xml:space="preserve"> in people</w:t>
      </w:r>
      <w:r w:rsidRPr="00314B6C">
        <w:t xml:space="preserve"> who have </w:t>
      </w:r>
      <w:r w:rsidR="00186450">
        <w:rPr>
          <w:lang w:val="en-GB"/>
        </w:rPr>
        <w:t>had previous</w:t>
      </w:r>
      <w:r w:rsidRPr="00314B6C">
        <w:t xml:space="preserve"> systemic t</w:t>
      </w:r>
      <w:r w:rsidR="0028148E">
        <w:rPr>
          <w:lang w:val="en-GB"/>
        </w:rPr>
        <w:t>reatment</w:t>
      </w:r>
      <w:r w:rsidRPr="00314B6C">
        <w:t xml:space="preserve">. </w:t>
      </w:r>
      <w:r>
        <w:rPr>
          <w:lang w:val="en-GB"/>
        </w:rPr>
        <w:t xml:space="preserve">Current treatment options for </w:t>
      </w:r>
      <w:r w:rsidR="00A46077">
        <w:rPr>
          <w:lang w:val="en-GB"/>
        </w:rPr>
        <w:t xml:space="preserve">this type of </w:t>
      </w:r>
      <w:r>
        <w:rPr>
          <w:lang w:val="en-GB"/>
        </w:rPr>
        <w:t xml:space="preserve">metastatic colorectal cancer include </w:t>
      </w:r>
      <w:r w:rsidRPr="00881BB5">
        <w:t>combination chemotherapy</w:t>
      </w:r>
      <w:r>
        <w:rPr>
          <w:lang w:val="en-GB"/>
        </w:rPr>
        <w:t xml:space="preserve"> regimens, trifluridine</w:t>
      </w:r>
      <w:r w:rsidR="0035135A">
        <w:rPr>
          <w:lang w:val="en-GB"/>
        </w:rPr>
        <w:t>–</w:t>
      </w:r>
      <w:r>
        <w:rPr>
          <w:lang w:val="en-GB"/>
        </w:rPr>
        <w:t xml:space="preserve">tipiracil and best supportive care. </w:t>
      </w:r>
      <w:r w:rsidRPr="00314B6C">
        <w:t xml:space="preserve">The </w:t>
      </w:r>
      <w:r>
        <w:rPr>
          <w:lang w:val="en-GB"/>
        </w:rPr>
        <w:t xml:space="preserve">committee noted that </w:t>
      </w:r>
      <w:r>
        <w:t xml:space="preserve">encorafenib </w:t>
      </w:r>
      <w:r w:rsidR="0035135A">
        <w:rPr>
          <w:lang w:val="en-GB"/>
        </w:rPr>
        <w:t>plus</w:t>
      </w:r>
      <w:r>
        <w:t xml:space="preserve"> cetuximab </w:t>
      </w:r>
      <w:r>
        <w:rPr>
          <w:lang w:val="en-GB"/>
        </w:rPr>
        <w:t xml:space="preserve">could be positioned </w:t>
      </w:r>
      <w:r w:rsidR="00DD638C">
        <w:rPr>
          <w:lang w:val="en-GB"/>
        </w:rPr>
        <w:t xml:space="preserve">at </w:t>
      </w:r>
      <w:r w:rsidR="00E439FD">
        <w:rPr>
          <w:lang w:val="en-GB"/>
        </w:rPr>
        <w:t>second line or later</w:t>
      </w:r>
      <w:r>
        <w:rPr>
          <w:lang w:val="en-GB"/>
        </w:rPr>
        <w:t xml:space="preserve"> in the treatment pathway</w:t>
      </w:r>
      <w:r w:rsidR="00537D18">
        <w:rPr>
          <w:lang w:val="en-GB"/>
        </w:rPr>
        <w:t>.</w:t>
      </w:r>
      <w:r>
        <w:rPr>
          <w:lang w:val="en-GB"/>
        </w:rPr>
        <w:t xml:space="preserve"> </w:t>
      </w:r>
      <w:r w:rsidR="0035135A">
        <w:rPr>
          <w:lang w:val="en-GB"/>
        </w:rPr>
        <w:t>The c</w:t>
      </w:r>
      <w:r>
        <w:rPr>
          <w:lang w:val="en-GB"/>
        </w:rPr>
        <w:t xml:space="preserve">linical experts explained that </w:t>
      </w:r>
      <w:r w:rsidRPr="00CC6738">
        <w:rPr>
          <w:lang w:val="en-GB"/>
        </w:rPr>
        <w:t>encorafenib</w:t>
      </w:r>
      <w:r w:rsidR="00DD1173">
        <w:rPr>
          <w:lang w:val="en-GB"/>
        </w:rPr>
        <w:t xml:space="preserve"> </w:t>
      </w:r>
      <w:r w:rsidR="0035135A">
        <w:rPr>
          <w:lang w:val="en-GB"/>
        </w:rPr>
        <w:t xml:space="preserve">plus </w:t>
      </w:r>
      <w:r w:rsidR="00DD1173">
        <w:rPr>
          <w:lang w:val="en-GB"/>
        </w:rPr>
        <w:t>cetuximab</w:t>
      </w:r>
      <w:r w:rsidRPr="00CC6738">
        <w:rPr>
          <w:lang w:val="en-GB"/>
        </w:rPr>
        <w:t xml:space="preserve"> is </w:t>
      </w:r>
      <w:r>
        <w:rPr>
          <w:lang w:val="en-GB"/>
        </w:rPr>
        <w:t>the first</w:t>
      </w:r>
      <w:r w:rsidRPr="00CC6738">
        <w:rPr>
          <w:lang w:val="en-GB"/>
        </w:rPr>
        <w:t xml:space="preserve"> targeted treatment</w:t>
      </w:r>
      <w:r>
        <w:rPr>
          <w:lang w:val="en-GB"/>
        </w:rPr>
        <w:t xml:space="preserve"> for this population. </w:t>
      </w:r>
      <w:r w:rsidR="0035135A">
        <w:rPr>
          <w:lang w:val="en-GB"/>
        </w:rPr>
        <w:t>The p</w:t>
      </w:r>
      <w:r w:rsidRPr="00CC6738">
        <w:rPr>
          <w:lang w:val="en-GB"/>
        </w:rPr>
        <w:t>at</w:t>
      </w:r>
      <w:r>
        <w:rPr>
          <w:lang w:val="en-GB"/>
        </w:rPr>
        <w:t>ient experts</w:t>
      </w:r>
      <w:r w:rsidR="00DD1173">
        <w:rPr>
          <w:lang w:val="en-GB"/>
        </w:rPr>
        <w:t xml:space="preserve"> </w:t>
      </w:r>
      <w:r w:rsidR="001A6E54">
        <w:rPr>
          <w:lang w:val="en-GB"/>
        </w:rPr>
        <w:t>emphasised</w:t>
      </w:r>
      <w:r w:rsidR="00537D18">
        <w:rPr>
          <w:lang w:val="en-GB"/>
        </w:rPr>
        <w:t xml:space="preserve"> the </w:t>
      </w:r>
      <w:r w:rsidR="00537D18">
        <w:t xml:space="preserve">psychological </w:t>
      </w:r>
      <w:r w:rsidR="0035135A">
        <w:rPr>
          <w:lang w:val="en-GB"/>
        </w:rPr>
        <w:t>effect</w:t>
      </w:r>
      <w:r w:rsidR="00537D18" w:rsidRPr="0073200A">
        <w:rPr>
          <w:lang w:val="en-US"/>
        </w:rPr>
        <w:t xml:space="preserve"> </w:t>
      </w:r>
      <w:r w:rsidR="00537D18">
        <w:rPr>
          <w:lang w:val="en-US"/>
        </w:rPr>
        <w:t xml:space="preserve">of being diagnosed with BRAF </w:t>
      </w:r>
      <w:r w:rsidR="00537D18">
        <w:t>V600E mutation-positive metastatic colorectal cancer</w:t>
      </w:r>
      <w:r w:rsidR="0035135A">
        <w:rPr>
          <w:lang w:val="en-GB"/>
        </w:rPr>
        <w:t>. They</w:t>
      </w:r>
      <w:r w:rsidR="00537D18">
        <w:rPr>
          <w:lang w:val="en-US"/>
        </w:rPr>
        <w:t xml:space="preserve"> noted that using encorafenib </w:t>
      </w:r>
      <w:r w:rsidR="0035135A">
        <w:rPr>
          <w:lang w:val="en-US"/>
        </w:rPr>
        <w:t>plus</w:t>
      </w:r>
      <w:r w:rsidR="00537D18">
        <w:rPr>
          <w:lang w:val="en-US"/>
        </w:rPr>
        <w:t xml:space="preserve"> cetuximab earlier in the </w:t>
      </w:r>
      <w:r w:rsidR="00537D18">
        <w:rPr>
          <w:lang w:val="en-US"/>
        </w:rPr>
        <w:lastRenderedPageBreak/>
        <w:t xml:space="preserve">pathway could give people hope of improved outcomes and may </w:t>
      </w:r>
      <w:r>
        <w:rPr>
          <w:lang w:val="en-GB"/>
        </w:rPr>
        <w:t xml:space="preserve">avoid adverse events associated with current treatments. The committee </w:t>
      </w:r>
      <w:r w:rsidR="00537D18">
        <w:rPr>
          <w:lang w:val="en-GB"/>
        </w:rPr>
        <w:t>recognised the clinical and patient experts</w:t>
      </w:r>
      <w:r w:rsidR="0035135A">
        <w:rPr>
          <w:lang w:val="en-GB"/>
        </w:rPr>
        <w:t>’</w:t>
      </w:r>
      <w:r w:rsidR="00537D18">
        <w:rPr>
          <w:lang w:val="en-GB"/>
        </w:rPr>
        <w:t xml:space="preserve"> preference for using encorafenib </w:t>
      </w:r>
      <w:r w:rsidR="0035135A">
        <w:rPr>
          <w:lang w:val="en-GB"/>
        </w:rPr>
        <w:t>plus</w:t>
      </w:r>
      <w:r w:rsidR="00537D18">
        <w:rPr>
          <w:lang w:val="en-GB"/>
        </w:rPr>
        <w:t xml:space="preserve"> cetuximab earlier in the treatment pathway</w:t>
      </w:r>
      <w:r w:rsidR="0035135A">
        <w:rPr>
          <w:lang w:val="en-GB"/>
        </w:rPr>
        <w:t>. B</w:t>
      </w:r>
      <w:r w:rsidR="00537D18">
        <w:rPr>
          <w:lang w:val="en-GB"/>
        </w:rPr>
        <w:t xml:space="preserve">ut </w:t>
      </w:r>
      <w:r w:rsidR="0035135A">
        <w:rPr>
          <w:lang w:val="en-GB"/>
        </w:rPr>
        <w:t xml:space="preserve">it </w:t>
      </w:r>
      <w:r>
        <w:rPr>
          <w:lang w:val="en-GB"/>
        </w:rPr>
        <w:t xml:space="preserve">concluded that </w:t>
      </w:r>
      <w:r w:rsidR="00537D18">
        <w:rPr>
          <w:lang w:val="en-GB"/>
        </w:rPr>
        <w:t xml:space="preserve">it </w:t>
      </w:r>
      <w:r>
        <w:rPr>
          <w:lang w:val="en-GB"/>
        </w:rPr>
        <w:t xml:space="preserve">may be used after </w:t>
      </w:r>
      <w:r w:rsidR="0035135A">
        <w:rPr>
          <w:lang w:val="en-GB"/>
        </w:rPr>
        <w:t>1</w:t>
      </w:r>
      <w:r w:rsidR="005A328E">
        <w:rPr>
          <w:lang w:val="en-GB"/>
        </w:rPr>
        <w:t> </w:t>
      </w:r>
      <w:r>
        <w:rPr>
          <w:lang w:val="en-GB"/>
        </w:rPr>
        <w:t>or more pr</w:t>
      </w:r>
      <w:r w:rsidR="0035135A">
        <w:rPr>
          <w:lang w:val="en-GB"/>
        </w:rPr>
        <w:t>evious</w:t>
      </w:r>
      <w:r>
        <w:rPr>
          <w:lang w:val="en-GB"/>
        </w:rPr>
        <w:t xml:space="preserve"> </w:t>
      </w:r>
      <w:r w:rsidR="00DA1796">
        <w:rPr>
          <w:lang w:val="en-GB"/>
        </w:rPr>
        <w:t xml:space="preserve">lines of </w:t>
      </w:r>
      <w:r>
        <w:rPr>
          <w:lang w:val="en-GB"/>
        </w:rPr>
        <w:t>t</w:t>
      </w:r>
      <w:r w:rsidR="005A328E">
        <w:rPr>
          <w:lang w:val="en-GB"/>
        </w:rPr>
        <w:t>reatment</w:t>
      </w:r>
      <w:r>
        <w:rPr>
          <w:lang w:val="en-GB"/>
        </w:rPr>
        <w:t xml:space="preserve"> in clinical practice.</w:t>
      </w:r>
    </w:p>
    <w:p w14:paraId="2B8C8778" w14:textId="439615B1" w:rsidR="00713A7A" w:rsidRDefault="00713A7A" w:rsidP="0099478C">
      <w:pPr>
        <w:pStyle w:val="Heading3"/>
      </w:pPr>
      <w:r>
        <w:t>FOLFIRI and trifluridine</w:t>
      </w:r>
      <w:r w:rsidR="004F3601">
        <w:t>–</w:t>
      </w:r>
      <w:r>
        <w:t xml:space="preserve">tipiracil are relevant comparators for encorafenib </w:t>
      </w:r>
      <w:r w:rsidR="004F3601">
        <w:t>plus</w:t>
      </w:r>
      <w:r>
        <w:t xml:space="preserve"> cetuximab after </w:t>
      </w:r>
      <w:r w:rsidR="004F3601">
        <w:t>1</w:t>
      </w:r>
      <w:r w:rsidR="000E4CE0">
        <w:t> </w:t>
      </w:r>
      <w:r>
        <w:t>pr</w:t>
      </w:r>
      <w:r w:rsidR="004F3601">
        <w:t>evious</w:t>
      </w:r>
      <w:r>
        <w:t xml:space="preserve"> </w:t>
      </w:r>
      <w:r w:rsidR="00ED1A2E">
        <w:t xml:space="preserve">line of </w:t>
      </w:r>
      <w:r>
        <w:t>t</w:t>
      </w:r>
      <w:r w:rsidR="005A328E">
        <w:t>reatment</w:t>
      </w:r>
    </w:p>
    <w:p w14:paraId="4935E29B" w14:textId="0449243B" w:rsidR="00713A7A" w:rsidRDefault="00713A7A" w:rsidP="00713A7A">
      <w:pPr>
        <w:pStyle w:val="Numberedlevel2text"/>
        <w:numPr>
          <w:ilvl w:val="1"/>
          <w:numId w:val="1"/>
        </w:numPr>
      </w:pPr>
      <w:r w:rsidRPr="0099478C">
        <w:t xml:space="preserve">The clinical experts explained that </w:t>
      </w:r>
      <w:r>
        <w:rPr>
          <w:lang w:val="en-GB"/>
        </w:rPr>
        <w:t>t</w:t>
      </w:r>
      <w:r w:rsidRPr="00F95F65">
        <w:t>reatment options for</w:t>
      </w:r>
      <w:r>
        <w:rPr>
          <w:lang w:val="en-GB"/>
        </w:rPr>
        <w:t xml:space="preserve"> </w:t>
      </w:r>
      <w:r>
        <w:t>BRAF V600E mutation-positive metastatic colorectal cancer</w:t>
      </w:r>
      <w:r w:rsidRPr="00F95F65">
        <w:t xml:space="preserve"> depend on </w:t>
      </w:r>
      <w:r w:rsidR="00CA5562">
        <w:rPr>
          <w:lang w:val="en-GB"/>
        </w:rPr>
        <w:t xml:space="preserve">the </w:t>
      </w:r>
      <w:r w:rsidRPr="00D97B3F">
        <w:rPr>
          <w:lang w:val="en-GB"/>
        </w:rPr>
        <w:t xml:space="preserve">previous treatments </w:t>
      </w:r>
      <w:r w:rsidRPr="00C81767">
        <w:rPr>
          <w:lang w:val="en-GB"/>
        </w:rPr>
        <w:t xml:space="preserve">a person has had, their </w:t>
      </w:r>
      <w:r w:rsidRPr="00F95F65">
        <w:t xml:space="preserve">response to </w:t>
      </w:r>
      <w:r w:rsidRPr="00F95F65">
        <w:rPr>
          <w:lang w:val="en-GB"/>
        </w:rPr>
        <w:t>these</w:t>
      </w:r>
      <w:r w:rsidRPr="00F95F65">
        <w:t xml:space="preserve"> treatments</w:t>
      </w:r>
      <w:r w:rsidRPr="00F95F65">
        <w:rPr>
          <w:lang w:val="en-GB"/>
        </w:rPr>
        <w:t>,</w:t>
      </w:r>
      <w:r w:rsidRPr="00F95F65">
        <w:t xml:space="preserve"> </w:t>
      </w:r>
      <w:r w:rsidRPr="00F95F65">
        <w:rPr>
          <w:lang w:val="en-GB"/>
        </w:rPr>
        <w:t xml:space="preserve">and their </w:t>
      </w:r>
      <w:r w:rsidRPr="00F95F65">
        <w:t>preference</w:t>
      </w:r>
      <w:r w:rsidRPr="00F95F65">
        <w:rPr>
          <w:lang w:val="en-US"/>
        </w:rPr>
        <w:t>s</w:t>
      </w:r>
      <w:r w:rsidRPr="00F95F65">
        <w:rPr>
          <w:lang w:val="en-GB"/>
        </w:rPr>
        <w:t>.</w:t>
      </w:r>
      <w:r>
        <w:rPr>
          <w:lang w:val="en-GB"/>
        </w:rPr>
        <w:t xml:space="preserve"> </w:t>
      </w:r>
      <w:r w:rsidR="00CA5562">
        <w:rPr>
          <w:lang w:val="en-GB"/>
        </w:rPr>
        <w:t>M</w:t>
      </w:r>
      <w:r w:rsidRPr="0099478C">
        <w:t>ost p</w:t>
      </w:r>
      <w:r w:rsidR="001D03CB">
        <w:rPr>
          <w:lang w:val="en-GB"/>
        </w:rPr>
        <w:t>eople</w:t>
      </w:r>
      <w:r w:rsidRPr="0099478C">
        <w:t xml:space="preserve"> </w:t>
      </w:r>
      <w:r>
        <w:rPr>
          <w:lang w:val="en-GB"/>
        </w:rPr>
        <w:t>have</w:t>
      </w:r>
      <w:r w:rsidRPr="0099478C">
        <w:t xml:space="preserve"> </w:t>
      </w:r>
      <w:r w:rsidRPr="00881BB5">
        <w:t>combination chemotherapy</w:t>
      </w:r>
      <w:r w:rsidR="005A328E">
        <w:rPr>
          <w:lang w:val="en-GB"/>
        </w:rPr>
        <w:t>,</w:t>
      </w:r>
      <w:r>
        <w:rPr>
          <w:lang w:val="en-GB"/>
        </w:rPr>
        <w:t xml:space="preserve"> usually </w:t>
      </w:r>
      <w:r w:rsidR="00DD1173">
        <w:rPr>
          <w:lang w:val="en-GB"/>
        </w:rPr>
        <w:t xml:space="preserve">folinic acid, </w:t>
      </w:r>
      <w:bookmarkStart w:id="13" w:name="_Hlk48578564"/>
      <w:r w:rsidR="00DD1173">
        <w:rPr>
          <w:lang w:val="en-GB"/>
        </w:rPr>
        <w:t>fluorouracil (5-FU</w:t>
      </w:r>
      <w:bookmarkEnd w:id="13"/>
      <w:r w:rsidR="00DD1173">
        <w:rPr>
          <w:lang w:val="en-GB"/>
        </w:rPr>
        <w:t xml:space="preserve">) and oxaliplatin </w:t>
      </w:r>
      <w:r w:rsidR="00CA5562">
        <w:rPr>
          <w:lang w:val="en-GB"/>
        </w:rPr>
        <w:t>(</w:t>
      </w:r>
      <w:r w:rsidR="00DD1173">
        <w:rPr>
          <w:lang w:val="en-GB"/>
        </w:rPr>
        <w:t xml:space="preserve">known as </w:t>
      </w:r>
      <w:r>
        <w:rPr>
          <w:lang w:val="en-GB"/>
        </w:rPr>
        <w:t>FOLFOX</w:t>
      </w:r>
      <w:r w:rsidR="00CA5562">
        <w:rPr>
          <w:lang w:val="en-GB"/>
        </w:rPr>
        <w:t>)</w:t>
      </w:r>
      <w:r>
        <w:rPr>
          <w:lang w:val="en-GB"/>
        </w:rPr>
        <w:t xml:space="preserve"> first line followed by </w:t>
      </w:r>
      <w:r w:rsidR="00DD1173">
        <w:rPr>
          <w:lang w:val="en-GB"/>
        </w:rPr>
        <w:t xml:space="preserve">folinic acid, </w:t>
      </w:r>
      <w:r w:rsidR="003754C9">
        <w:rPr>
          <w:lang w:val="en-GB"/>
        </w:rPr>
        <w:t xml:space="preserve">5-FU </w:t>
      </w:r>
      <w:r w:rsidR="00DD1173">
        <w:rPr>
          <w:lang w:val="en-GB"/>
        </w:rPr>
        <w:t>and irinotecan</w:t>
      </w:r>
      <w:r w:rsidR="00CA5562">
        <w:rPr>
          <w:lang w:val="en-GB"/>
        </w:rPr>
        <w:t xml:space="preserve"> (</w:t>
      </w:r>
      <w:r w:rsidR="00DD1173">
        <w:rPr>
          <w:lang w:val="en-GB"/>
        </w:rPr>
        <w:t>known as</w:t>
      </w:r>
      <w:r w:rsidR="00DD1173" w:rsidRPr="00DD1173">
        <w:rPr>
          <w:lang w:val="en-GB"/>
        </w:rPr>
        <w:t xml:space="preserve"> </w:t>
      </w:r>
      <w:r>
        <w:rPr>
          <w:lang w:val="en-GB"/>
        </w:rPr>
        <w:t>FOLFIRI</w:t>
      </w:r>
      <w:r w:rsidR="00CA5562">
        <w:rPr>
          <w:lang w:val="en-GB"/>
        </w:rPr>
        <w:t>)</w:t>
      </w:r>
      <w:r w:rsidR="001C0D62">
        <w:rPr>
          <w:lang w:val="en-GB"/>
        </w:rPr>
        <w:t>. T</w:t>
      </w:r>
      <w:r>
        <w:rPr>
          <w:lang w:val="en-GB"/>
        </w:rPr>
        <w:t>he</w:t>
      </w:r>
      <w:r w:rsidR="00D41A8A">
        <w:rPr>
          <w:lang w:val="en-GB"/>
        </w:rPr>
        <w:t xml:space="preserve"> clinic</w:t>
      </w:r>
      <w:r w:rsidR="001C0D62">
        <w:rPr>
          <w:lang w:val="en-GB"/>
        </w:rPr>
        <w:t>al experts</w:t>
      </w:r>
      <w:r>
        <w:rPr>
          <w:lang w:val="en-GB"/>
        </w:rPr>
        <w:t xml:space="preserve"> </w:t>
      </w:r>
      <w:r w:rsidR="001B3AC4">
        <w:rPr>
          <w:lang w:val="en-GB"/>
        </w:rPr>
        <w:t xml:space="preserve">explained </w:t>
      </w:r>
      <w:r>
        <w:rPr>
          <w:lang w:val="en-GB"/>
        </w:rPr>
        <w:t>these treatments were interchangeable</w:t>
      </w:r>
      <w:r w:rsidR="001B3AC4">
        <w:rPr>
          <w:lang w:val="en-GB"/>
        </w:rPr>
        <w:t xml:space="preserve"> </w:t>
      </w:r>
      <w:r w:rsidR="002915D3">
        <w:rPr>
          <w:lang w:val="en-GB"/>
        </w:rPr>
        <w:t>and</w:t>
      </w:r>
      <w:r w:rsidR="001B3AC4">
        <w:rPr>
          <w:lang w:val="en-GB"/>
        </w:rPr>
        <w:t xml:space="preserve"> considered equivalent.</w:t>
      </w:r>
      <w:r w:rsidRPr="0099478C">
        <w:t xml:space="preserve"> A small proportion </w:t>
      </w:r>
      <w:r w:rsidR="00FE7F28">
        <w:rPr>
          <w:lang w:val="en-GB"/>
        </w:rPr>
        <w:t xml:space="preserve">of people </w:t>
      </w:r>
      <w:r>
        <w:rPr>
          <w:lang w:val="en-GB"/>
        </w:rPr>
        <w:t xml:space="preserve">have </w:t>
      </w:r>
      <w:r w:rsidR="003754C9">
        <w:rPr>
          <w:lang w:val="en-GB"/>
        </w:rPr>
        <w:t>folinic acid, 5-FU, irinotecan and oxaliplatin</w:t>
      </w:r>
      <w:r>
        <w:rPr>
          <w:lang w:val="en-GB"/>
        </w:rPr>
        <w:t xml:space="preserve"> (</w:t>
      </w:r>
      <w:r w:rsidRPr="0099478C">
        <w:t>FOLFOXIRI</w:t>
      </w:r>
      <w:r>
        <w:rPr>
          <w:lang w:val="en-GB"/>
        </w:rPr>
        <w:t>)</w:t>
      </w:r>
      <w:r w:rsidR="001B2B0B" w:rsidRPr="001B2B0B">
        <w:rPr>
          <w:lang w:val="en-GB"/>
        </w:rPr>
        <w:t xml:space="preserve"> </w:t>
      </w:r>
      <w:r w:rsidR="001B2B0B">
        <w:rPr>
          <w:lang w:val="en-GB"/>
        </w:rPr>
        <w:t>at first line</w:t>
      </w:r>
      <w:r w:rsidR="003754C9">
        <w:rPr>
          <w:lang w:val="en-GB"/>
        </w:rPr>
        <w:t>,</w:t>
      </w:r>
      <w:r>
        <w:rPr>
          <w:lang w:val="en-GB"/>
        </w:rPr>
        <w:t xml:space="preserve"> so would </w:t>
      </w:r>
      <w:r w:rsidR="00FE7F28">
        <w:rPr>
          <w:lang w:val="en-GB"/>
        </w:rPr>
        <w:t xml:space="preserve">then </w:t>
      </w:r>
      <w:r>
        <w:rPr>
          <w:lang w:val="en-GB"/>
        </w:rPr>
        <w:t>have</w:t>
      </w:r>
      <w:r w:rsidRPr="001E2ADE">
        <w:t xml:space="preserve"> </w:t>
      </w:r>
      <w:r w:rsidRPr="0099478C">
        <w:t>trifluridine</w:t>
      </w:r>
      <w:r w:rsidR="00415F34">
        <w:rPr>
          <w:lang w:val="en-GB"/>
        </w:rPr>
        <w:t>–</w:t>
      </w:r>
      <w:r w:rsidRPr="0099478C">
        <w:t>tipiracil</w:t>
      </w:r>
      <w:r>
        <w:rPr>
          <w:lang w:val="en-GB"/>
        </w:rPr>
        <w:t xml:space="preserve"> </w:t>
      </w:r>
      <w:r w:rsidR="004205A8">
        <w:rPr>
          <w:lang w:val="en-GB"/>
        </w:rPr>
        <w:t xml:space="preserve">as </w:t>
      </w:r>
      <w:r>
        <w:rPr>
          <w:lang w:val="en-GB"/>
        </w:rPr>
        <w:t>second</w:t>
      </w:r>
      <w:r w:rsidR="00415F34">
        <w:rPr>
          <w:lang w:val="en-GB"/>
        </w:rPr>
        <w:t>-</w:t>
      </w:r>
      <w:r>
        <w:rPr>
          <w:lang w:val="en-GB"/>
        </w:rPr>
        <w:t>line</w:t>
      </w:r>
      <w:r w:rsidR="004205A8">
        <w:rPr>
          <w:lang w:val="en-GB"/>
        </w:rPr>
        <w:t xml:space="preserve"> treatment.</w:t>
      </w:r>
      <w:r>
        <w:rPr>
          <w:lang w:val="en-GB"/>
        </w:rPr>
        <w:t xml:space="preserve"> </w:t>
      </w:r>
      <w:r w:rsidR="004205A8">
        <w:rPr>
          <w:lang w:val="en-GB"/>
        </w:rPr>
        <w:t>T</w:t>
      </w:r>
      <w:r>
        <w:rPr>
          <w:lang w:val="en-GB"/>
        </w:rPr>
        <w:t xml:space="preserve">he </w:t>
      </w:r>
      <w:r w:rsidR="00C12B65">
        <w:rPr>
          <w:lang w:val="en-GB"/>
        </w:rPr>
        <w:t xml:space="preserve">clinical </w:t>
      </w:r>
      <w:r>
        <w:rPr>
          <w:lang w:val="en-GB"/>
        </w:rPr>
        <w:t xml:space="preserve">experts noted that this </w:t>
      </w:r>
      <w:r w:rsidR="00415F34">
        <w:rPr>
          <w:lang w:val="en-GB"/>
        </w:rPr>
        <w:t>was</w:t>
      </w:r>
      <w:r>
        <w:rPr>
          <w:lang w:val="en-GB"/>
        </w:rPr>
        <w:t xml:space="preserve"> uncommon </w:t>
      </w:r>
      <w:r w:rsidR="00FE7F28">
        <w:rPr>
          <w:lang w:val="en-GB"/>
        </w:rPr>
        <w:t xml:space="preserve">because of </w:t>
      </w:r>
      <w:r>
        <w:rPr>
          <w:lang w:val="en-GB"/>
        </w:rPr>
        <w:t>higher toxicit</w:t>
      </w:r>
      <w:r w:rsidR="00415F34">
        <w:rPr>
          <w:lang w:val="en-GB"/>
        </w:rPr>
        <w:t>y</w:t>
      </w:r>
      <w:r w:rsidR="00FE7F28">
        <w:rPr>
          <w:lang w:val="en-GB"/>
        </w:rPr>
        <w:t xml:space="preserve"> than with other combinations</w:t>
      </w:r>
      <w:r>
        <w:rPr>
          <w:lang w:val="en-GB"/>
        </w:rPr>
        <w:t xml:space="preserve">. The company explained </w:t>
      </w:r>
      <w:r w:rsidR="00415F34">
        <w:rPr>
          <w:lang w:val="en-GB"/>
        </w:rPr>
        <w:t xml:space="preserve">that </w:t>
      </w:r>
      <w:r>
        <w:rPr>
          <w:lang w:val="en-GB"/>
        </w:rPr>
        <w:t>e</w:t>
      </w:r>
      <w:r>
        <w:t>ncorafenib</w:t>
      </w:r>
      <w:r>
        <w:rPr>
          <w:lang w:val="en-GB"/>
        </w:rPr>
        <w:t xml:space="preserve"> </w:t>
      </w:r>
      <w:r w:rsidR="00415F34">
        <w:rPr>
          <w:lang w:val="en-GB"/>
        </w:rPr>
        <w:t>plus</w:t>
      </w:r>
      <w:r>
        <w:rPr>
          <w:lang w:val="en-GB"/>
        </w:rPr>
        <w:t xml:space="preserve"> cetuximab</w:t>
      </w:r>
      <w:r>
        <w:t xml:space="preserve"> could be used </w:t>
      </w:r>
      <w:r>
        <w:rPr>
          <w:lang w:val="en-GB"/>
        </w:rPr>
        <w:t>i</w:t>
      </w:r>
      <w:r>
        <w:t>n</w:t>
      </w:r>
      <w:r w:rsidR="008630C4">
        <w:rPr>
          <w:lang w:val="en-GB"/>
        </w:rPr>
        <w:t>stead</w:t>
      </w:r>
      <w:r>
        <w:t xml:space="preserve"> of FOLFIRI or trifluridine</w:t>
      </w:r>
      <w:r w:rsidR="00415F34">
        <w:rPr>
          <w:lang w:val="en-GB"/>
        </w:rPr>
        <w:t>–</w:t>
      </w:r>
      <w:r>
        <w:t>tipiracil</w:t>
      </w:r>
      <w:r>
        <w:rPr>
          <w:lang w:val="en-GB"/>
        </w:rPr>
        <w:t xml:space="preserve"> after </w:t>
      </w:r>
      <w:r w:rsidR="00415F34">
        <w:rPr>
          <w:lang w:val="en-GB"/>
        </w:rPr>
        <w:t>1 </w:t>
      </w:r>
      <w:r>
        <w:rPr>
          <w:lang w:val="en-GB"/>
        </w:rPr>
        <w:t>p</w:t>
      </w:r>
      <w:r w:rsidR="00415F34">
        <w:rPr>
          <w:lang w:val="en-GB"/>
        </w:rPr>
        <w:t>revious</w:t>
      </w:r>
      <w:r>
        <w:rPr>
          <w:lang w:val="en-GB"/>
        </w:rPr>
        <w:t xml:space="preserve"> </w:t>
      </w:r>
      <w:r w:rsidR="002D7602">
        <w:rPr>
          <w:lang w:val="en-GB"/>
        </w:rPr>
        <w:t xml:space="preserve">line of </w:t>
      </w:r>
      <w:r>
        <w:rPr>
          <w:lang w:val="en-GB"/>
        </w:rPr>
        <w:t>t</w:t>
      </w:r>
      <w:r w:rsidR="005A328E">
        <w:rPr>
          <w:lang w:val="en-GB"/>
        </w:rPr>
        <w:t>reatment</w:t>
      </w:r>
      <w:r>
        <w:t xml:space="preserve">. </w:t>
      </w:r>
      <w:r w:rsidR="00784346">
        <w:rPr>
          <w:lang w:val="en-GB"/>
        </w:rPr>
        <w:t xml:space="preserve">The </w:t>
      </w:r>
      <w:r w:rsidR="00784346" w:rsidRPr="00B51ACF">
        <w:rPr>
          <w:lang w:val="en-GB"/>
        </w:rPr>
        <w:t xml:space="preserve">marketing authorisation </w:t>
      </w:r>
      <w:r w:rsidR="00784346">
        <w:rPr>
          <w:lang w:val="en-GB"/>
        </w:rPr>
        <w:t>for t</w:t>
      </w:r>
      <w:r w:rsidR="00784346" w:rsidRPr="00B51ACF">
        <w:rPr>
          <w:lang w:val="en-GB"/>
        </w:rPr>
        <w:t>rifluridine</w:t>
      </w:r>
      <w:r w:rsidR="00784346">
        <w:rPr>
          <w:lang w:val="en-GB"/>
        </w:rPr>
        <w:t>–</w:t>
      </w:r>
      <w:r w:rsidR="00784346" w:rsidRPr="00B51ACF">
        <w:rPr>
          <w:lang w:val="en-GB"/>
        </w:rPr>
        <w:t xml:space="preserve">tipiracil allows for its use </w:t>
      </w:r>
      <w:r w:rsidR="00784346">
        <w:rPr>
          <w:lang w:val="en-GB"/>
        </w:rPr>
        <w:t>at second</w:t>
      </w:r>
      <w:r w:rsidR="00784346" w:rsidRPr="00B51ACF">
        <w:rPr>
          <w:lang w:val="en-GB"/>
        </w:rPr>
        <w:t xml:space="preserve"> line</w:t>
      </w:r>
      <w:r w:rsidR="00784346">
        <w:rPr>
          <w:lang w:val="en-GB"/>
        </w:rPr>
        <w:t xml:space="preserve"> and later. It</w:t>
      </w:r>
      <w:r w:rsidRPr="00B51ACF">
        <w:rPr>
          <w:lang w:val="en-GB"/>
        </w:rPr>
        <w:t xml:space="preserve"> is the only </w:t>
      </w:r>
      <w:r w:rsidR="005A328E">
        <w:rPr>
          <w:lang w:val="en-GB"/>
        </w:rPr>
        <w:t>drug</w:t>
      </w:r>
      <w:r w:rsidR="005A328E" w:rsidRPr="00B51ACF">
        <w:rPr>
          <w:lang w:val="en-GB"/>
        </w:rPr>
        <w:t xml:space="preserve"> </w:t>
      </w:r>
      <w:r w:rsidRPr="00B51ACF">
        <w:rPr>
          <w:lang w:val="en-GB"/>
        </w:rPr>
        <w:t>recommended after first-line t</w:t>
      </w:r>
      <w:r w:rsidR="005A328E">
        <w:rPr>
          <w:lang w:val="en-GB"/>
        </w:rPr>
        <w:t>reatment</w:t>
      </w:r>
      <w:r w:rsidRPr="00B51ACF">
        <w:rPr>
          <w:lang w:val="en-GB"/>
        </w:rPr>
        <w:t xml:space="preserve"> for metastatic colorectal cancer in the </w:t>
      </w:r>
      <w:hyperlink r:id="rId14" w:history="1">
        <w:r w:rsidRPr="00B51ACF">
          <w:rPr>
            <w:rStyle w:val="Hyperlink"/>
            <w:lang w:val="en-GB"/>
          </w:rPr>
          <w:t>NICE Pathway for colorectal cancer</w:t>
        </w:r>
      </w:hyperlink>
      <w:r w:rsidR="00AD1F31">
        <w:rPr>
          <w:rStyle w:val="Hyperlink"/>
          <w:lang w:val="en-GB"/>
        </w:rPr>
        <w:t>.</w:t>
      </w:r>
      <w:r w:rsidR="003C4D86">
        <w:rPr>
          <w:lang w:val="en-GB"/>
        </w:rPr>
        <w:t xml:space="preserve"> </w:t>
      </w:r>
      <w:r w:rsidR="00FA1E42">
        <w:rPr>
          <w:lang w:val="en-GB"/>
        </w:rPr>
        <w:t>However</w:t>
      </w:r>
      <w:r>
        <w:rPr>
          <w:lang w:val="en-GB"/>
        </w:rPr>
        <w:t xml:space="preserve"> the committee</w:t>
      </w:r>
      <w:r w:rsidR="00415F34">
        <w:rPr>
          <w:lang w:val="en-GB"/>
        </w:rPr>
        <w:t xml:space="preserve"> recalled its</w:t>
      </w:r>
      <w:r>
        <w:rPr>
          <w:lang w:val="en-GB"/>
        </w:rPr>
        <w:t xml:space="preserve"> conclusion </w:t>
      </w:r>
      <w:r w:rsidR="00415F34">
        <w:rPr>
          <w:lang w:val="en-GB"/>
        </w:rPr>
        <w:t xml:space="preserve">in </w:t>
      </w:r>
      <w:hyperlink r:id="rId15" w:history="1">
        <w:r w:rsidR="004831EF">
          <w:rPr>
            <w:rStyle w:val="Hyperlink"/>
            <w:lang w:val="en-GB"/>
          </w:rPr>
          <w:t>NICE's technology appraisal guidance on trifluridine–tipiracil</w:t>
        </w:r>
      </w:hyperlink>
      <w:r>
        <w:rPr>
          <w:lang w:val="en-GB"/>
        </w:rPr>
        <w:t xml:space="preserve"> that, </w:t>
      </w:r>
      <w:r w:rsidRPr="00B51ACF">
        <w:rPr>
          <w:lang w:val="en-GB"/>
        </w:rPr>
        <w:t xml:space="preserve">in clinical practice, </w:t>
      </w:r>
      <w:r w:rsidR="004831EF">
        <w:rPr>
          <w:lang w:val="en-GB"/>
        </w:rPr>
        <w:t>it</w:t>
      </w:r>
      <w:r w:rsidRPr="00B51ACF">
        <w:rPr>
          <w:lang w:val="en-GB"/>
        </w:rPr>
        <w:t xml:space="preserve"> would mainly be used in people who have had 2 or more </w:t>
      </w:r>
      <w:r w:rsidR="002D7602">
        <w:rPr>
          <w:lang w:val="en-GB"/>
        </w:rPr>
        <w:t xml:space="preserve">previous lines of </w:t>
      </w:r>
      <w:r w:rsidRPr="00B51ACF">
        <w:rPr>
          <w:lang w:val="en-GB"/>
        </w:rPr>
        <w:t>t</w:t>
      </w:r>
      <w:r w:rsidR="005A328E">
        <w:rPr>
          <w:lang w:val="en-GB"/>
        </w:rPr>
        <w:t>reatment</w:t>
      </w:r>
      <w:r w:rsidRPr="00B51ACF">
        <w:rPr>
          <w:lang w:val="en-GB"/>
        </w:rPr>
        <w:t xml:space="preserve"> when there are no further treatment options. </w:t>
      </w:r>
      <w:r w:rsidRPr="0099478C">
        <w:t xml:space="preserve">The committee concluded </w:t>
      </w:r>
      <w:r w:rsidR="007C2E8D">
        <w:rPr>
          <w:lang w:val="en-GB"/>
        </w:rPr>
        <w:t xml:space="preserve">that </w:t>
      </w:r>
      <w:r w:rsidR="005A328E">
        <w:rPr>
          <w:lang w:val="en-GB"/>
        </w:rPr>
        <w:t xml:space="preserve">the </w:t>
      </w:r>
      <w:r w:rsidRPr="0099478C">
        <w:t>relevant</w:t>
      </w:r>
      <w:r w:rsidR="004205A8">
        <w:rPr>
          <w:lang w:val="en-GB"/>
        </w:rPr>
        <w:t xml:space="preserve"> </w:t>
      </w:r>
      <w:r w:rsidRPr="0099478C">
        <w:t>comparator</w:t>
      </w:r>
      <w:r w:rsidR="004205A8">
        <w:rPr>
          <w:lang w:val="en-GB"/>
        </w:rPr>
        <w:t xml:space="preserve">s </w:t>
      </w:r>
      <w:r w:rsidR="000E4CE0">
        <w:rPr>
          <w:lang w:val="en-GB"/>
        </w:rPr>
        <w:t xml:space="preserve">after 1 previous line of treatment </w:t>
      </w:r>
      <w:r w:rsidR="004205A8">
        <w:rPr>
          <w:lang w:val="en-GB"/>
        </w:rPr>
        <w:t>include both FOLFIRI and</w:t>
      </w:r>
      <w:r w:rsidRPr="0099478C">
        <w:t xml:space="preserve"> </w:t>
      </w:r>
      <w:r>
        <w:t>trifluridine</w:t>
      </w:r>
      <w:r w:rsidR="007C2E8D">
        <w:rPr>
          <w:lang w:val="en-GB"/>
        </w:rPr>
        <w:t>–</w:t>
      </w:r>
      <w:r>
        <w:t>tipiracil</w:t>
      </w:r>
      <w:r w:rsidRPr="0099478C">
        <w:t>.</w:t>
      </w:r>
    </w:p>
    <w:p w14:paraId="3343303F" w14:textId="005A0E42" w:rsidR="00713A7A" w:rsidRDefault="008742A9" w:rsidP="009D7E55">
      <w:pPr>
        <w:pStyle w:val="Heading3"/>
      </w:pPr>
      <w:r>
        <w:lastRenderedPageBreak/>
        <w:t>I</w:t>
      </w:r>
      <w:r w:rsidR="00713A7A">
        <w:t>rinotecan</w:t>
      </w:r>
      <w:r>
        <w:t xml:space="preserve"> monotherapy</w:t>
      </w:r>
      <w:r w:rsidR="00713A7A">
        <w:t xml:space="preserve"> is not a relevant comparator for encorafenib </w:t>
      </w:r>
      <w:r w:rsidR="007C2E8D">
        <w:t>plus</w:t>
      </w:r>
      <w:r w:rsidR="00713A7A">
        <w:t xml:space="preserve"> cetuximab</w:t>
      </w:r>
      <w:r w:rsidR="00E571CC">
        <w:t xml:space="preserve"> after </w:t>
      </w:r>
      <w:r w:rsidR="007C2E8D">
        <w:t>1 </w:t>
      </w:r>
      <w:r w:rsidR="00E571CC">
        <w:t>pr</w:t>
      </w:r>
      <w:r w:rsidR="007C2E8D">
        <w:t>evious</w:t>
      </w:r>
      <w:r w:rsidR="00E571CC">
        <w:t xml:space="preserve"> </w:t>
      </w:r>
      <w:r w:rsidR="00A3294A">
        <w:t xml:space="preserve">line of </w:t>
      </w:r>
      <w:r w:rsidR="00E571CC">
        <w:t>t</w:t>
      </w:r>
      <w:r w:rsidR="00832077">
        <w:t>reatment</w:t>
      </w:r>
    </w:p>
    <w:p w14:paraId="339EB5DB" w14:textId="54946A93" w:rsidR="00713A7A" w:rsidRPr="00B34815" w:rsidRDefault="00A365F7" w:rsidP="00713A7A">
      <w:pPr>
        <w:pStyle w:val="Numberedlevel2text"/>
        <w:numPr>
          <w:ilvl w:val="1"/>
          <w:numId w:val="1"/>
        </w:numPr>
      </w:pPr>
      <w:r>
        <w:rPr>
          <w:lang w:val="en-GB"/>
        </w:rPr>
        <w:t>NICE</w:t>
      </w:r>
      <w:r w:rsidR="00AD55F4">
        <w:rPr>
          <w:lang w:val="en-GB"/>
        </w:rPr>
        <w:t>’s</w:t>
      </w:r>
      <w:r w:rsidR="00E047A2">
        <w:rPr>
          <w:lang w:val="en-GB"/>
        </w:rPr>
        <w:t xml:space="preserve"> scope</w:t>
      </w:r>
      <w:r>
        <w:rPr>
          <w:lang w:val="en-GB"/>
        </w:rPr>
        <w:t xml:space="preserve"> include</w:t>
      </w:r>
      <w:r w:rsidR="00E047A2">
        <w:rPr>
          <w:lang w:val="en-GB"/>
        </w:rPr>
        <w:t>s</w:t>
      </w:r>
      <w:r>
        <w:rPr>
          <w:lang w:val="en-GB"/>
        </w:rPr>
        <w:t xml:space="preserve"> </w:t>
      </w:r>
      <w:r>
        <w:t xml:space="preserve">irinotecan </w:t>
      </w:r>
      <w:r w:rsidR="008742A9">
        <w:rPr>
          <w:lang w:val="en-GB"/>
        </w:rPr>
        <w:t xml:space="preserve">monotherapy </w:t>
      </w:r>
      <w:r>
        <w:t>as a relevant comparator</w:t>
      </w:r>
      <w:r>
        <w:rPr>
          <w:lang w:val="en-GB"/>
        </w:rPr>
        <w:t xml:space="preserve">. </w:t>
      </w:r>
      <w:r w:rsidR="00E047A2">
        <w:rPr>
          <w:lang w:val="en-GB"/>
        </w:rPr>
        <w:t>However, t</w:t>
      </w:r>
      <w:r w:rsidR="00713A7A">
        <w:t>he company exclude</w:t>
      </w:r>
      <w:r w:rsidR="00713A7A" w:rsidRPr="00B51ACF">
        <w:rPr>
          <w:lang w:val="en-GB"/>
        </w:rPr>
        <w:t>d</w:t>
      </w:r>
      <w:r w:rsidR="00713A7A">
        <w:t xml:space="preserve"> </w:t>
      </w:r>
      <w:r>
        <w:rPr>
          <w:lang w:val="en-GB"/>
        </w:rPr>
        <w:t>it</w:t>
      </w:r>
      <w:r w:rsidR="00713A7A">
        <w:t xml:space="preserve"> </w:t>
      </w:r>
      <w:r w:rsidR="00713A7A">
        <w:rPr>
          <w:lang w:val="en-GB"/>
        </w:rPr>
        <w:t>based on</w:t>
      </w:r>
      <w:r w:rsidR="00713A7A">
        <w:t xml:space="preserve"> expert opinion and a market survey</w:t>
      </w:r>
      <w:r w:rsidR="00713A7A">
        <w:rPr>
          <w:lang w:val="en-GB"/>
        </w:rPr>
        <w:t xml:space="preserve"> which found </w:t>
      </w:r>
      <w:r w:rsidR="00AD55F4">
        <w:rPr>
          <w:lang w:val="en-GB"/>
        </w:rPr>
        <w:t>that fewer</w:t>
      </w:r>
      <w:r w:rsidR="00713A7A">
        <w:t xml:space="preserve"> than 2% of</w:t>
      </w:r>
      <w:r w:rsidR="00713A7A" w:rsidRPr="00B51ACF">
        <w:rPr>
          <w:lang w:val="en-GB"/>
        </w:rPr>
        <w:t xml:space="preserve"> </w:t>
      </w:r>
      <w:r w:rsidR="00713A7A">
        <w:t>p</w:t>
      </w:r>
      <w:r w:rsidR="001D03CB">
        <w:rPr>
          <w:lang w:val="en-GB"/>
        </w:rPr>
        <w:t>eople</w:t>
      </w:r>
      <w:r w:rsidR="00713A7A">
        <w:t xml:space="preserve"> </w:t>
      </w:r>
      <w:r w:rsidR="00AD55F4">
        <w:rPr>
          <w:lang w:val="en-GB"/>
        </w:rPr>
        <w:t>ha</w:t>
      </w:r>
      <w:r w:rsidR="00713A7A">
        <w:t xml:space="preserve">ve irinotecan </w:t>
      </w:r>
      <w:r w:rsidR="008742A9">
        <w:rPr>
          <w:lang w:val="en-GB"/>
        </w:rPr>
        <w:t>monotherapy</w:t>
      </w:r>
      <w:r w:rsidR="008742A9">
        <w:t xml:space="preserve"> </w:t>
      </w:r>
      <w:r w:rsidR="00713A7A">
        <w:t>in clinical practice</w:t>
      </w:r>
      <w:r w:rsidR="00713A7A" w:rsidRPr="00B51ACF">
        <w:rPr>
          <w:lang w:val="en-GB"/>
        </w:rPr>
        <w:t xml:space="preserve">. </w:t>
      </w:r>
      <w:r w:rsidR="00EA6457" w:rsidRPr="00B51ACF">
        <w:rPr>
          <w:lang w:val="en-GB"/>
        </w:rPr>
        <w:t xml:space="preserve">This is because </w:t>
      </w:r>
      <w:r w:rsidR="00EA6457">
        <w:rPr>
          <w:lang w:val="en-GB"/>
        </w:rPr>
        <w:t>it</w:t>
      </w:r>
      <w:r w:rsidR="00EA6457" w:rsidRPr="00B51ACF">
        <w:rPr>
          <w:lang w:val="en-GB"/>
        </w:rPr>
        <w:t xml:space="preserve"> is not well tolerated. </w:t>
      </w:r>
      <w:r w:rsidR="00AD55F4">
        <w:rPr>
          <w:lang w:val="en-GB"/>
        </w:rPr>
        <w:t>The c</w:t>
      </w:r>
      <w:r w:rsidR="00713A7A" w:rsidRPr="00B51ACF">
        <w:rPr>
          <w:lang w:val="en-GB"/>
        </w:rPr>
        <w:t xml:space="preserve">linical experts agreed with the company and explained </w:t>
      </w:r>
      <w:r w:rsidR="00713A7A">
        <w:rPr>
          <w:lang w:val="en-GB"/>
        </w:rPr>
        <w:t xml:space="preserve">that </w:t>
      </w:r>
      <w:r w:rsidR="004205A8">
        <w:rPr>
          <w:lang w:val="en-GB"/>
        </w:rPr>
        <w:t xml:space="preserve">in clinical practice </w:t>
      </w:r>
      <w:r w:rsidR="004205A8">
        <w:t xml:space="preserve">irinotecan </w:t>
      </w:r>
      <w:r w:rsidR="00713A7A" w:rsidRPr="00B51ACF">
        <w:rPr>
          <w:lang w:val="en-GB"/>
        </w:rPr>
        <w:t xml:space="preserve">is used </w:t>
      </w:r>
      <w:r w:rsidR="00AD55F4">
        <w:rPr>
          <w:lang w:val="en-GB"/>
        </w:rPr>
        <w:t>as part of</w:t>
      </w:r>
      <w:r w:rsidR="00713A7A" w:rsidRPr="00B51ACF">
        <w:rPr>
          <w:lang w:val="en-GB"/>
        </w:rPr>
        <w:t xml:space="preserve"> FOLFIRI. </w:t>
      </w:r>
      <w:r w:rsidR="00EA6457">
        <w:rPr>
          <w:lang w:val="en-GB"/>
        </w:rPr>
        <w:t>W</w:t>
      </w:r>
      <w:r w:rsidR="00713A7A" w:rsidRPr="00B51ACF">
        <w:rPr>
          <w:lang w:val="en-GB"/>
        </w:rPr>
        <w:t>hen used with other treatments</w:t>
      </w:r>
      <w:r w:rsidR="00187ED4">
        <w:rPr>
          <w:lang w:val="en-GB"/>
        </w:rPr>
        <w:t>,</w:t>
      </w:r>
      <w:r w:rsidR="00713A7A" w:rsidRPr="00B51ACF">
        <w:rPr>
          <w:lang w:val="en-GB"/>
        </w:rPr>
        <w:t xml:space="preserve"> the dose of irinotecan is lower</w:t>
      </w:r>
      <w:r w:rsidR="00E047A2">
        <w:rPr>
          <w:lang w:val="en-GB"/>
        </w:rPr>
        <w:t xml:space="preserve"> and</w:t>
      </w:r>
      <w:r w:rsidR="00713A7A" w:rsidRPr="00B51ACF">
        <w:rPr>
          <w:lang w:val="en-GB"/>
        </w:rPr>
        <w:t xml:space="preserve"> better tolerated. </w:t>
      </w:r>
      <w:r w:rsidR="00433784">
        <w:rPr>
          <w:lang w:val="en-GB"/>
        </w:rPr>
        <w:t xml:space="preserve">The clinical experts </w:t>
      </w:r>
      <w:r w:rsidR="00713A7A">
        <w:rPr>
          <w:lang w:val="en-GB"/>
        </w:rPr>
        <w:t xml:space="preserve">noted </w:t>
      </w:r>
      <w:r w:rsidR="00EA6457">
        <w:rPr>
          <w:lang w:val="en-GB"/>
        </w:rPr>
        <w:t>that</w:t>
      </w:r>
      <w:r w:rsidR="00713A7A">
        <w:rPr>
          <w:lang w:val="en-GB"/>
        </w:rPr>
        <w:t xml:space="preserve"> </w:t>
      </w:r>
      <w:r w:rsidR="00713A7A" w:rsidRPr="00B51ACF">
        <w:rPr>
          <w:lang w:val="en-GB"/>
        </w:rPr>
        <w:t xml:space="preserve">irinotecan </w:t>
      </w:r>
      <w:r w:rsidR="008742A9">
        <w:rPr>
          <w:lang w:val="en-GB"/>
        </w:rPr>
        <w:t xml:space="preserve">monotherapy </w:t>
      </w:r>
      <w:r w:rsidR="00EA6457">
        <w:rPr>
          <w:lang w:val="en-GB"/>
        </w:rPr>
        <w:t xml:space="preserve">is occasionally used </w:t>
      </w:r>
      <w:r w:rsidR="00713A7A" w:rsidRPr="00B51ACF">
        <w:rPr>
          <w:lang w:val="en-GB"/>
        </w:rPr>
        <w:t xml:space="preserve">when there is a specific intolerance to 5-FU or a dihydropyrimidine dehydrogenase deficiency resulting in an inability to detoxify </w:t>
      </w:r>
      <w:r w:rsidR="00EA6457">
        <w:rPr>
          <w:lang w:val="en-GB"/>
        </w:rPr>
        <w:t>5-FU</w:t>
      </w:r>
      <w:r w:rsidR="00713A7A" w:rsidRPr="00B51ACF">
        <w:rPr>
          <w:lang w:val="en-GB"/>
        </w:rPr>
        <w:t xml:space="preserve"> in the liver. </w:t>
      </w:r>
      <w:r w:rsidR="00713A7A">
        <w:rPr>
          <w:lang w:val="en-GB"/>
        </w:rPr>
        <w:t xml:space="preserve">The committee concluded that </w:t>
      </w:r>
      <w:r w:rsidR="00713A7A">
        <w:t xml:space="preserve">irinotecan </w:t>
      </w:r>
      <w:r w:rsidR="008742A9">
        <w:rPr>
          <w:lang w:val="en-GB"/>
        </w:rPr>
        <w:t xml:space="preserve">monotherapy </w:t>
      </w:r>
      <w:r w:rsidR="001179E3">
        <w:rPr>
          <w:lang w:val="en-GB"/>
        </w:rPr>
        <w:t>wa</w:t>
      </w:r>
      <w:r w:rsidR="00713A7A">
        <w:t>s not a relevant comparator</w:t>
      </w:r>
      <w:r w:rsidR="00400E14">
        <w:rPr>
          <w:lang w:val="en-GB"/>
        </w:rPr>
        <w:t xml:space="preserve"> after 1 previous line of treatment</w:t>
      </w:r>
      <w:r w:rsidR="00713A7A">
        <w:rPr>
          <w:lang w:val="en-GB"/>
        </w:rPr>
        <w:t>.</w:t>
      </w:r>
    </w:p>
    <w:p w14:paraId="6AB36BA5" w14:textId="10E5B99A" w:rsidR="00713A7A" w:rsidRDefault="00713A7A" w:rsidP="00A04FDF">
      <w:pPr>
        <w:pStyle w:val="Heading3"/>
      </w:pPr>
      <w:r>
        <w:t>Trifluridine</w:t>
      </w:r>
      <w:r w:rsidR="00832077">
        <w:t>–</w:t>
      </w:r>
      <w:r>
        <w:t>tipiracil and best supportive care are relevant comparator</w:t>
      </w:r>
      <w:r w:rsidR="00CF5753">
        <w:t>s</w:t>
      </w:r>
      <w:r>
        <w:t xml:space="preserve"> for encorafenib </w:t>
      </w:r>
      <w:r w:rsidR="00832077">
        <w:t>plus</w:t>
      </w:r>
      <w:r>
        <w:t xml:space="preserve"> cetuximab after 2</w:t>
      </w:r>
      <w:r w:rsidR="00832077">
        <w:t> </w:t>
      </w:r>
      <w:r>
        <w:t>pr</w:t>
      </w:r>
      <w:r w:rsidR="00832077">
        <w:t>evious</w:t>
      </w:r>
      <w:r>
        <w:t xml:space="preserve"> </w:t>
      </w:r>
      <w:r w:rsidR="002D7602">
        <w:t xml:space="preserve">lines of </w:t>
      </w:r>
      <w:r>
        <w:t>t</w:t>
      </w:r>
      <w:r w:rsidR="00832077">
        <w:t>reatment</w:t>
      </w:r>
    </w:p>
    <w:p w14:paraId="00359806" w14:textId="511AB1AC" w:rsidR="00713A7A" w:rsidRPr="00B51ACF" w:rsidRDefault="00713A7A" w:rsidP="00713A7A">
      <w:pPr>
        <w:pStyle w:val="Numberedlevel2text"/>
        <w:numPr>
          <w:ilvl w:val="1"/>
          <w:numId w:val="1"/>
        </w:numPr>
      </w:pPr>
      <w:r w:rsidRPr="00B51ACF">
        <w:rPr>
          <w:lang w:val="en-GB"/>
        </w:rPr>
        <w:t>In clinical practice trifluridine</w:t>
      </w:r>
      <w:r w:rsidR="00832077">
        <w:rPr>
          <w:lang w:val="en-GB"/>
        </w:rPr>
        <w:t>–</w:t>
      </w:r>
      <w:r w:rsidRPr="00B51ACF">
        <w:rPr>
          <w:lang w:val="en-GB"/>
        </w:rPr>
        <w:t>tipiracil</w:t>
      </w:r>
      <w:r>
        <w:rPr>
          <w:lang w:val="en-GB"/>
        </w:rPr>
        <w:t xml:space="preserve"> is usually used after 2</w:t>
      </w:r>
      <w:r w:rsidR="00832077">
        <w:rPr>
          <w:lang w:val="en-GB"/>
        </w:rPr>
        <w:t> </w:t>
      </w:r>
      <w:r>
        <w:rPr>
          <w:lang w:val="en-GB"/>
        </w:rPr>
        <w:t>pr</w:t>
      </w:r>
      <w:r w:rsidR="00832077">
        <w:rPr>
          <w:lang w:val="en-GB"/>
        </w:rPr>
        <w:t xml:space="preserve">evious </w:t>
      </w:r>
      <w:r w:rsidR="002D7602">
        <w:rPr>
          <w:lang w:val="en-GB"/>
        </w:rPr>
        <w:t xml:space="preserve">lines of </w:t>
      </w:r>
      <w:r w:rsidR="00832077">
        <w:rPr>
          <w:lang w:val="en-GB"/>
        </w:rPr>
        <w:t>treatment</w:t>
      </w:r>
      <w:r>
        <w:rPr>
          <w:lang w:val="en-GB"/>
        </w:rPr>
        <w:t xml:space="preserve">. The clinical experts explained that it would be appropriate to use encorafenib </w:t>
      </w:r>
      <w:r w:rsidR="00832077">
        <w:rPr>
          <w:lang w:val="en-GB"/>
        </w:rPr>
        <w:t>plus</w:t>
      </w:r>
      <w:r>
        <w:rPr>
          <w:lang w:val="en-GB"/>
        </w:rPr>
        <w:t xml:space="preserve"> cetuximab in</w:t>
      </w:r>
      <w:r w:rsidR="002653C6">
        <w:rPr>
          <w:lang w:val="en-GB"/>
        </w:rPr>
        <w:t>stead</w:t>
      </w:r>
      <w:r>
        <w:rPr>
          <w:lang w:val="en-GB"/>
        </w:rPr>
        <w:t xml:space="preserve"> of trifluridine</w:t>
      </w:r>
      <w:r w:rsidR="00832077">
        <w:rPr>
          <w:lang w:val="en-GB"/>
        </w:rPr>
        <w:t>–</w:t>
      </w:r>
      <w:r>
        <w:rPr>
          <w:lang w:val="en-GB"/>
        </w:rPr>
        <w:t xml:space="preserve">tipiracil </w:t>
      </w:r>
      <w:r w:rsidR="002653C6">
        <w:rPr>
          <w:lang w:val="en-GB"/>
        </w:rPr>
        <w:t xml:space="preserve">after 2 previous </w:t>
      </w:r>
      <w:r w:rsidR="002D7602">
        <w:rPr>
          <w:lang w:val="en-GB"/>
        </w:rPr>
        <w:t xml:space="preserve">lines of </w:t>
      </w:r>
      <w:r w:rsidR="002653C6">
        <w:rPr>
          <w:lang w:val="en-GB"/>
        </w:rPr>
        <w:t>treatment</w:t>
      </w:r>
      <w:r>
        <w:rPr>
          <w:lang w:val="en-GB"/>
        </w:rPr>
        <w:t xml:space="preserve"> if </w:t>
      </w:r>
      <w:r w:rsidR="001A7DCA">
        <w:rPr>
          <w:lang w:val="en-GB"/>
        </w:rPr>
        <w:t xml:space="preserve">neither </w:t>
      </w:r>
      <w:r>
        <w:rPr>
          <w:lang w:val="en-GB"/>
        </w:rPr>
        <w:t xml:space="preserve">had been used earlier in the treatment pathway. </w:t>
      </w:r>
      <w:r w:rsidRPr="00B51ACF">
        <w:rPr>
          <w:lang w:val="en-GB"/>
        </w:rPr>
        <w:t>The</w:t>
      </w:r>
      <w:r w:rsidR="00832077">
        <w:rPr>
          <w:lang w:val="en-GB"/>
        </w:rPr>
        <w:t>y</w:t>
      </w:r>
      <w:r w:rsidRPr="00B51ACF">
        <w:rPr>
          <w:lang w:val="en-GB"/>
        </w:rPr>
        <w:t xml:space="preserve"> explained that after trifluridine</w:t>
      </w:r>
      <w:r w:rsidR="00832077">
        <w:rPr>
          <w:lang w:val="en-GB"/>
        </w:rPr>
        <w:t>–</w:t>
      </w:r>
      <w:r w:rsidRPr="00B51ACF">
        <w:rPr>
          <w:lang w:val="en-GB"/>
        </w:rPr>
        <w:t xml:space="preserve">tipiracil </w:t>
      </w:r>
      <w:r w:rsidR="007E77F1" w:rsidRPr="00B51ACF">
        <w:rPr>
          <w:lang w:val="en-GB"/>
        </w:rPr>
        <w:t xml:space="preserve">there are no other </w:t>
      </w:r>
      <w:r w:rsidR="007E77F1">
        <w:rPr>
          <w:lang w:val="en-GB"/>
        </w:rPr>
        <w:t xml:space="preserve">active treatment options </w:t>
      </w:r>
      <w:r w:rsidRPr="00B51ACF">
        <w:rPr>
          <w:lang w:val="en-GB"/>
        </w:rPr>
        <w:t>and p</w:t>
      </w:r>
      <w:r w:rsidR="001D03CB">
        <w:rPr>
          <w:lang w:val="en-GB"/>
        </w:rPr>
        <w:t>eople</w:t>
      </w:r>
      <w:r w:rsidRPr="00B51ACF">
        <w:rPr>
          <w:lang w:val="en-GB"/>
        </w:rPr>
        <w:t xml:space="preserve"> would </w:t>
      </w:r>
      <w:r w:rsidR="00832077">
        <w:rPr>
          <w:lang w:val="en-GB"/>
        </w:rPr>
        <w:t>ha</w:t>
      </w:r>
      <w:r w:rsidR="00832077" w:rsidRPr="00B51ACF">
        <w:rPr>
          <w:lang w:val="en-GB"/>
        </w:rPr>
        <w:t xml:space="preserve">ve </w:t>
      </w:r>
      <w:r w:rsidRPr="00B51ACF">
        <w:rPr>
          <w:lang w:val="en-GB"/>
        </w:rPr>
        <w:t>best supportive care</w:t>
      </w:r>
      <w:r>
        <w:rPr>
          <w:lang w:val="en-GB"/>
        </w:rPr>
        <w:t xml:space="preserve">. The committee recognised that </w:t>
      </w:r>
      <w:r w:rsidR="00433784">
        <w:rPr>
          <w:lang w:val="en-GB"/>
        </w:rPr>
        <w:t xml:space="preserve">a small group of people with BRAF V600E positive mutations </w:t>
      </w:r>
      <w:r>
        <w:rPr>
          <w:lang w:val="en-GB"/>
        </w:rPr>
        <w:t>whose disease ha</w:t>
      </w:r>
      <w:r w:rsidR="0044636B">
        <w:rPr>
          <w:lang w:val="en-GB"/>
        </w:rPr>
        <w:t>d</w:t>
      </w:r>
      <w:r>
        <w:rPr>
          <w:lang w:val="en-GB"/>
        </w:rPr>
        <w:t xml:space="preserve"> relapsed </w:t>
      </w:r>
      <w:r w:rsidR="00832077">
        <w:rPr>
          <w:lang w:val="en-GB"/>
        </w:rPr>
        <w:t>after</w:t>
      </w:r>
      <w:r>
        <w:rPr>
          <w:lang w:val="en-GB"/>
        </w:rPr>
        <w:t xml:space="preserve"> treatment with</w:t>
      </w:r>
      <w:r w:rsidRPr="001610CE">
        <w:rPr>
          <w:lang w:val="en-GB"/>
        </w:rPr>
        <w:t xml:space="preserve"> </w:t>
      </w:r>
      <w:r w:rsidRPr="00B51ACF">
        <w:rPr>
          <w:lang w:val="en-GB"/>
        </w:rPr>
        <w:t>trifluridine</w:t>
      </w:r>
      <w:r w:rsidR="00832077">
        <w:rPr>
          <w:lang w:val="en-GB"/>
        </w:rPr>
        <w:t>–</w:t>
      </w:r>
      <w:r w:rsidRPr="00B51ACF">
        <w:rPr>
          <w:lang w:val="en-GB"/>
        </w:rPr>
        <w:t>tipiracil</w:t>
      </w:r>
      <w:r>
        <w:rPr>
          <w:lang w:val="en-GB"/>
        </w:rPr>
        <w:t xml:space="preserve"> may be eligible for </w:t>
      </w:r>
      <w:r>
        <w:t xml:space="preserve">encorafenib </w:t>
      </w:r>
      <w:r w:rsidR="00832077">
        <w:rPr>
          <w:lang w:val="en-GB"/>
        </w:rPr>
        <w:t>plus</w:t>
      </w:r>
      <w:r>
        <w:t xml:space="preserve"> cetuximab</w:t>
      </w:r>
      <w:r w:rsidR="002653C6">
        <w:rPr>
          <w:lang w:val="en-GB"/>
        </w:rPr>
        <w:t>. They</w:t>
      </w:r>
      <w:r>
        <w:rPr>
          <w:lang w:val="en-GB"/>
        </w:rPr>
        <w:t xml:space="preserve"> would otherwise have best supportive care. The clinical experts agreed that </w:t>
      </w:r>
      <w:r>
        <w:t xml:space="preserve">encorafenib </w:t>
      </w:r>
      <w:r w:rsidR="00832077">
        <w:rPr>
          <w:lang w:val="en-GB"/>
        </w:rPr>
        <w:t>plus</w:t>
      </w:r>
      <w:r>
        <w:t xml:space="preserve"> cetuximab</w:t>
      </w:r>
      <w:r>
        <w:rPr>
          <w:lang w:val="en-GB"/>
        </w:rPr>
        <w:t xml:space="preserve"> could also be used when </w:t>
      </w:r>
      <w:r w:rsidRPr="00B51ACF">
        <w:rPr>
          <w:lang w:val="en-GB"/>
        </w:rPr>
        <w:t>no other active treatment options</w:t>
      </w:r>
      <w:r>
        <w:rPr>
          <w:lang w:val="en-GB"/>
        </w:rPr>
        <w:t xml:space="preserve"> are available. However, the clinical experts noted that </w:t>
      </w:r>
      <w:r w:rsidR="00433784">
        <w:rPr>
          <w:lang w:val="en-GB"/>
        </w:rPr>
        <w:t xml:space="preserve">at this stage people </w:t>
      </w:r>
      <w:r>
        <w:rPr>
          <w:lang w:val="en-GB"/>
        </w:rPr>
        <w:t xml:space="preserve">may not be </w:t>
      </w:r>
      <w:r w:rsidR="00832077">
        <w:rPr>
          <w:lang w:val="en-GB"/>
        </w:rPr>
        <w:t>well</w:t>
      </w:r>
      <w:r>
        <w:rPr>
          <w:lang w:val="en-GB"/>
        </w:rPr>
        <w:t xml:space="preserve"> enough to </w:t>
      </w:r>
      <w:r w:rsidR="00433784">
        <w:rPr>
          <w:lang w:val="en-GB"/>
        </w:rPr>
        <w:t xml:space="preserve">have </w:t>
      </w:r>
      <w:r w:rsidR="005919F4">
        <w:rPr>
          <w:lang w:val="en-GB"/>
        </w:rPr>
        <w:t>active</w:t>
      </w:r>
      <w:r w:rsidR="00E439FD">
        <w:rPr>
          <w:lang w:val="en-GB"/>
        </w:rPr>
        <w:t xml:space="preserve"> </w:t>
      </w:r>
      <w:r>
        <w:rPr>
          <w:lang w:val="en-GB"/>
        </w:rPr>
        <w:t xml:space="preserve">treatment. </w:t>
      </w:r>
      <w:r w:rsidRPr="00B51ACF">
        <w:rPr>
          <w:lang w:val="en-GB"/>
        </w:rPr>
        <w:t>The committee concluded that trifluridine</w:t>
      </w:r>
      <w:r w:rsidR="00832077">
        <w:rPr>
          <w:lang w:val="en-GB"/>
        </w:rPr>
        <w:t>–</w:t>
      </w:r>
      <w:r w:rsidRPr="00B51ACF">
        <w:rPr>
          <w:lang w:val="en-GB"/>
        </w:rPr>
        <w:t xml:space="preserve">tipiracil and best supportive </w:t>
      </w:r>
      <w:r w:rsidRPr="00B51ACF">
        <w:rPr>
          <w:lang w:val="en-GB"/>
        </w:rPr>
        <w:lastRenderedPageBreak/>
        <w:t xml:space="preserve">care </w:t>
      </w:r>
      <w:r w:rsidR="00CD11AF">
        <w:rPr>
          <w:lang w:val="en-GB"/>
        </w:rPr>
        <w:t>were</w:t>
      </w:r>
      <w:r w:rsidRPr="00B51ACF">
        <w:rPr>
          <w:lang w:val="en-GB"/>
        </w:rPr>
        <w:t xml:space="preserve"> relevant comparators for encorafenib </w:t>
      </w:r>
      <w:r w:rsidR="00832077">
        <w:rPr>
          <w:lang w:val="en-GB"/>
        </w:rPr>
        <w:t>plus</w:t>
      </w:r>
      <w:r w:rsidRPr="00B51ACF">
        <w:rPr>
          <w:lang w:val="en-GB"/>
        </w:rPr>
        <w:t xml:space="preserve"> cetuximab after 2</w:t>
      </w:r>
      <w:r w:rsidR="00832077">
        <w:rPr>
          <w:lang w:val="en-GB"/>
        </w:rPr>
        <w:t> </w:t>
      </w:r>
      <w:r w:rsidRPr="00B51ACF">
        <w:rPr>
          <w:lang w:val="en-GB"/>
        </w:rPr>
        <w:t>pr</w:t>
      </w:r>
      <w:r w:rsidR="00832077">
        <w:rPr>
          <w:lang w:val="en-GB"/>
        </w:rPr>
        <w:t>evious</w:t>
      </w:r>
      <w:r w:rsidRPr="00B51ACF">
        <w:rPr>
          <w:lang w:val="en-GB"/>
        </w:rPr>
        <w:t xml:space="preserve"> </w:t>
      </w:r>
      <w:r w:rsidR="002D7602">
        <w:rPr>
          <w:lang w:val="en-GB"/>
        </w:rPr>
        <w:t xml:space="preserve">lines of </w:t>
      </w:r>
      <w:r w:rsidRPr="00B51ACF">
        <w:rPr>
          <w:lang w:val="en-GB"/>
        </w:rPr>
        <w:t>t</w:t>
      </w:r>
      <w:r w:rsidR="00832077">
        <w:rPr>
          <w:lang w:val="en-GB"/>
        </w:rPr>
        <w:t>reatment</w:t>
      </w:r>
      <w:r w:rsidRPr="00B51ACF">
        <w:rPr>
          <w:lang w:val="en-GB"/>
        </w:rPr>
        <w:t>.</w:t>
      </w:r>
    </w:p>
    <w:p w14:paraId="7AE47CAA" w14:textId="55B7E882" w:rsidR="00713A7A" w:rsidRDefault="00713A7A" w:rsidP="00643582">
      <w:pPr>
        <w:pStyle w:val="Heading2"/>
      </w:pPr>
      <w:bookmarkStart w:id="14" w:name="_Hlk48151808"/>
      <w:r>
        <w:t xml:space="preserve">Clinical effectiveness of encorafenib </w:t>
      </w:r>
      <w:r w:rsidR="00FA0733">
        <w:t>plus</w:t>
      </w:r>
      <w:r>
        <w:t xml:space="preserve"> cetuximab</w:t>
      </w:r>
    </w:p>
    <w:bookmarkEnd w:id="14"/>
    <w:p w14:paraId="2A8F818A" w14:textId="691E3F8E" w:rsidR="00713A7A" w:rsidRDefault="00713A7A" w:rsidP="006C1E0F">
      <w:pPr>
        <w:pStyle w:val="Heading3"/>
      </w:pPr>
      <w:r w:rsidRPr="00393137">
        <w:t xml:space="preserve">Encorafenib </w:t>
      </w:r>
      <w:r w:rsidR="00D67707">
        <w:t>plus</w:t>
      </w:r>
      <w:r w:rsidRPr="00393137">
        <w:t xml:space="preserve"> cetuximab is clinically effective </w:t>
      </w:r>
      <w:r w:rsidR="00B15414">
        <w:t>but the comparators</w:t>
      </w:r>
      <w:r w:rsidR="00F519E1">
        <w:t xml:space="preserve"> in BEACON CRC</w:t>
      </w:r>
      <w:r w:rsidR="00B15414">
        <w:t xml:space="preserve"> are not used in the NHS</w:t>
      </w:r>
    </w:p>
    <w:p w14:paraId="5E6967AB" w14:textId="60D87489" w:rsidR="00713A7A" w:rsidRPr="00393137" w:rsidRDefault="00713A7A" w:rsidP="00713A7A">
      <w:pPr>
        <w:pStyle w:val="Numberedlevel2text"/>
        <w:numPr>
          <w:ilvl w:val="1"/>
          <w:numId w:val="1"/>
        </w:numPr>
        <w:rPr>
          <w:color w:val="FF0000"/>
        </w:rPr>
      </w:pPr>
      <w:r w:rsidRPr="006C1E0F">
        <w:t xml:space="preserve">BEACON CRC </w:t>
      </w:r>
      <w:r>
        <w:rPr>
          <w:lang w:val="en-GB"/>
        </w:rPr>
        <w:t>i</w:t>
      </w:r>
      <w:r w:rsidRPr="006C1E0F">
        <w:t>s a multinational, open-label, randomised, phase</w:t>
      </w:r>
      <w:r w:rsidR="00D67707">
        <w:rPr>
          <w:lang w:val="en-GB"/>
        </w:rPr>
        <w:t> 3</w:t>
      </w:r>
      <w:r w:rsidRPr="006C1E0F">
        <w:t xml:space="preserve"> trial comparing encorafenib </w:t>
      </w:r>
      <w:r w:rsidR="00D67707">
        <w:rPr>
          <w:lang w:val="en-GB"/>
        </w:rPr>
        <w:t>plus</w:t>
      </w:r>
      <w:r w:rsidRPr="006C1E0F">
        <w:t xml:space="preserve"> cetuximab </w:t>
      </w:r>
      <w:r w:rsidR="00D67707">
        <w:rPr>
          <w:lang w:val="en-GB"/>
        </w:rPr>
        <w:t>with</w:t>
      </w:r>
      <w:r w:rsidRPr="006C1E0F">
        <w:t xml:space="preserve"> </w:t>
      </w:r>
      <w:r w:rsidR="00FF674F">
        <w:rPr>
          <w:lang w:val="en-GB"/>
        </w:rPr>
        <w:t xml:space="preserve">the </w:t>
      </w:r>
      <w:r w:rsidRPr="006C1E0F">
        <w:t xml:space="preserve">investigator’s choice of chemotherapy (FOLFIRI or irinotecan) </w:t>
      </w:r>
      <w:r w:rsidR="00D67707">
        <w:rPr>
          <w:lang w:val="en-GB"/>
        </w:rPr>
        <w:t>plus</w:t>
      </w:r>
      <w:r w:rsidRPr="006C1E0F">
        <w:t xml:space="preserve"> cetuximab. </w:t>
      </w:r>
      <w:r>
        <w:rPr>
          <w:lang w:val="en-GB"/>
        </w:rPr>
        <w:t xml:space="preserve">It included </w:t>
      </w:r>
      <w:r w:rsidRPr="007C3206">
        <w:rPr>
          <w:lang w:val="en-GB"/>
        </w:rPr>
        <w:t>p</w:t>
      </w:r>
      <w:r w:rsidR="001D03CB">
        <w:rPr>
          <w:lang w:val="en-GB"/>
        </w:rPr>
        <w:t>eople</w:t>
      </w:r>
      <w:r w:rsidRPr="007C3206">
        <w:rPr>
          <w:lang w:val="en-GB"/>
        </w:rPr>
        <w:t xml:space="preserve"> with BRAF V600E</w:t>
      </w:r>
      <w:r w:rsidR="0023310B">
        <w:rPr>
          <w:lang w:val="en-GB"/>
        </w:rPr>
        <w:t xml:space="preserve"> </w:t>
      </w:r>
      <w:r w:rsidRPr="007C3206">
        <w:rPr>
          <w:lang w:val="en-GB"/>
        </w:rPr>
        <w:t>muta</w:t>
      </w:r>
      <w:r w:rsidR="00D67707">
        <w:rPr>
          <w:lang w:val="en-GB"/>
        </w:rPr>
        <w:t>tion</w:t>
      </w:r>
      <w:r w:rsidR="0023310B">
        <w:rPr>
          <w:lang w:val="en-GB"/>
        </w:rPr>
        <w:t>-positive</w:t>
      </w:r>
      <w:r w:rsidRPr="007C3206">
        <w:rPr>
          <w:lang w:val="en-GB"/>
        </w:rPr>
        <w:t xml:space="preserve"> metastatic colorectal cancer whose disease had progressed after </w:t>
      </w:r>
      <w:r w:rsidR="00D67707">
        <w:rPr>
          <w:lang w:val="en-GB"/>
        </w:rPr>
        <w:t>1</w:t>
      </w:r>
      <w:r w:rsidR="00A3294A">
        <w:rPr>
          <w:lang w:val="en-GB"/>
        </w:rPr>
        <w:t> </w:t>
      </w:r>
      <w:r w:rsidRPr="007C3206">
        <w:rPr>
          <w:lang w:val="en-GB"/>
        </w:rPr>
        <w:t>or</w:t>
      </w:r>
      <w:r w:rsidR="00A3294A">
        <w:rPr>
          <w:lang w:val="en-GB"/>
        </w:rPr>
        <w:t> </w:t>
      </w:r>
      <w:r w:rsidR="00D67707">
        <w:rPr>
          <w:lang w:val="en-GB"/>
        </w:rPr>
        <w:t>2</w:t>
      </w:r>
      <w:r w:rsidRPr="007C3206">
        <w:rPr>
          <w:lang w:val="en-GB"/>
        </w:rPr>
        <w:t xml:space="preserve"> pr</w:t>
      </w:r>
      <w:r w:rsidR="00D67707">
        <w:rPr>
          <w:lang w:val="en-GB"/>
        </w:rPr>
        <w:t>evious</w:t>
      </w:r>
      <w:r w:rsidRPr="007C3206">
        <w:rPr>
          <w:lang w:val="en-GB"/>
        </w:rPr>
        <w:t xml:space="preserve"> </w:t>
      </w:r>
      <w:r w:rsidR="00353611">
        <w:rPr>
          <w:lang w:val="en-GB"/>
        </w:rPr>
        <w:t xml:space="preserve">lines of </w:t>
      </w:r>
      <w:r w:rsidR="00FF674F">
        <w:rPr>
          <w:lang w:val="en-GB"/>
        </w:rPr>
        <w:t>treatment</w:t>
      </w:r>
      <w:r w:rsidRPr="007C3206">
        <w:rPr>
          <w:lang w:val="en-GB"/>
        </w:rPr>
        <w:t>.</w:t>
      </w:r>
      <w:r>
        <w:rPr>
          <w:lang w:val="en-GB"/>
        </w:rPr>
        <w:t xml:space="preserve"> </w:t>
      </w:r>
      <w:r w:rsidR="00463770">
        <w:rPr>
          <w:lang w:val="en-GB"/>
        </w:rPr>
        <w:t>The primary endpoint</w:t>
      </w:r>
      <w:r w:rsidR="00480EDC">
        <w:rPr>
          <w:lang w:val="en-GB"/>
        </w:rPr>
        <w:t xml:space="preserve">s in the trial were for </w:t>
      </w:r>
      <w:r w:rsidR="00E047A2">
        <w:rPr>
          <w:lang w:val="en-GB"/>
        </w:rPr>
        <w:t>triple therapy</w:t>
      </w:r>
      <w:r w:rsidR="00D67707">
        <w:rPr>
          <w:lang w:val="en-GB"/>
        </w:rPr>
        <w:t xml:space="preserve"> (</w:t>
      </w:r>
      <w:r w:rsidR="00480EDC">
        <w:rPr>
          <w:lang w:val="en-GB"/>
        </w:rPr>
        <w:t xml:space="preserve">encorafenib </w:t>
      </w:r>
      <w:r w:rsidR="00D67707">
        <w:rPr>
          <w:lang w:val="en-GB"/>
        </w:rPr>
        <w:t>plus</w:t>
      </w:r>
      <w:r w:rsidR="00480EDC">
        <w:rPr>
          <w:lang w:val="en-GB"/>
        </w:rPr>
        <w:t xml:space="preserve"> binimetinib and cetuximab</w:t>
      </w:r>
      <w:r w:rsidR="00D67707">
        <w:rPr>
          <w:lang w:val="en-GB"/>
        </w:rPr>
        <w:t>)</w:t>
      </w:r>
      <w:r w:rsidR="00480EDC">
        <w:rPr>
          <w:lang w:val="en-GB"/>
        </w:rPr>
        <w:t>, which is not relevant for this appraisal. O</w:t>
      </w:r>
      <w:r w:rsidR="00463770">
        <w:rPr>
          <w:lang w:val="en-GB"/>
        </w:rPr>
        <w:t>verall survival</w:t>
      </w:r>
      <w:r w:rsidR="00E047A2">
        <w:rPr>
          <w:lang w:val="en-GB"/>
        </w:rPr>
        <w:t>, progression</w:t>
      </w:r>
      <w:r w:rsidR="00D67707">
        <w:rPr>
          <w:lang w:val="en-GB"/>
        </w:rPr>
        <w:t>-</w:t>
      </w:r>
      <w:r w:rsidR="00E047A2">
        <w:rPr>
          <w:lang w:val="en-GB"/>
        </w:rPr>
        <w:t xml:space="preserve">free survival and overall response rate for encorafenib </w:t>
      </w:r>
      <w:r w:rsidR="00D67707">
        <w:rPr>
          <w:lang w:val="en-GB"/>
        </w:rPr>
        <w:t>plus</w:t>
      </w:r>
      <w:r w:rsidR="00E047A2">
        <w:rPr>
          <w:lang w:val="en-GB"/>
        </w:rPr>
        <w:t xml:space="preserve"> cetuximab</w:t>
      </w:r>
      <w:r w:rsidR="00480EDC">
        <w:rPr>
          <w:lang w:val="en-GB"/>
        </w:rPr>
        <w:t xml:space="preserve"> w</w:t>
      </w:r>
      <w:r w:rsidR="00E047A2">
        <w:rPr>
          <w:lang w:val="en-GB"/>
        </w:rPr>
        <w:t>ere</w:t>
      </w:r>
      <w:r w:rsidR="00991B59">
        <w:rPr>
          <w:lang w:val="en-GB"/>
        </w:rPr>
        <w:t xml:space="preserve"> </w:t>
      </w:r>
      <w:r w:rsidR="00480EDC">
        <w:rPr>
          <w:lang w:val="en-GB"/>
        </w:rPr>
        <w:t>secondary endpoint</w:t>
      </w:r>
      <w:r w:rsidR="00E047A2">
        <w:rPr>
          <w:lang w:val="en-GB"/>
        </w:rPr>
        <w:t>s.</w:t>
      </w:r>
      <w:r w:rsidR="00463770">
        <w:rPr>
          <w:lang w:val="en-GB"/>
        </w:rPr>
        <w:t xml:space="preserve"> </w:t>
      </w:r>
      <w:r w:rsidR="00433784">
        <w:rPr>
          <w:lang w:val="en-GB"/>
        </w:rPr>
        <w:t>Results from the</w:t>
      </w:r>
      <w:r>
        <w:rPr>
          <w:lang w:val="en-GB"/>
        </w:rPr>
        <w:t xml:space="preserve"> final August 2019 data cut showed that encorafenib </w:t>
      </w:r>
      <w:r w:rsidR="001179E3">
        <w:rPr>
          <w:lang w:val="en-GB"/>
        </w:rPr>
        <w:t>plus</w:t>
      </w:r>
      <w:r w:rsidR="00DD1173">
        <w:rPr>
          <w:lang w:val="en-GB"/>
        </w:rPr>
        <w:t xml:space="preserve"> cetuximab </w:t>
      </w:r>
      <w:r>
        <w:rPr>
          <w:lang w:val="en-GB"/>
        </w:rPr>
        <w:t>increased overall survival (9.3</w:t>
      </w:r>
      <w:r w:rsidR="00D67707">
        <w:rPr>
          <w:lang w:val="en-GB"/>
        </w:rPr>
        <w:t> </w:t>
      </w:r>
      <w:r>
        <w:rPr>
          <w:lang w:val="en-GB"/>
        </w:rPr>
        <w:t>months; 95% confidence interval 8.1</w:t>
      </w:r>
      <w:r w:rsidR="00D67707">
        <w:rPr>
          <w:lang w:val="en-GB"/>
        </w:rPr>
        <w:t> months</w:t>
      </w:r>
      <w:r>
        <w:rPr>
          <w:lang w:val="en-GB"/>
        </w:rPr>
        <w:t xml:space="preserve"> to 11.3</w:t>
      </w:r>
      <w:r w:rsidR="00D67707">
        <w:rPr>
          <w:lang w:val="en-GB"/>
        </w:rPr>
        <w:t> </w:t>
      </w:r>
      <w:r>
        <w:rPr>
          <w:lang w:val="en-GB"/>
        </w:rPr>
        <w:t xml:space="preserve">months) more than </w:t>
      </w:r>
      <w:r w:rsidR="008A7067">
        <w:rPr>
          <w:lang w:val="en-GB"/>
        </w:rPr>
        <w:t xml:space="preserve">the </w:t>
      </w:r>
      <w:r>
        <w:rPr>
          <w:lang w:val="en-GB"/>
        </w:rPr>
        <w:t>investigator</w:t>
      </w:r>
      <w:r w:rsidR="00D67707">
        <w:rPr>
          <w:lang w:val="en-GB"/>
        </w:rPr>
        <w:t>’</w:t>
      </w:r>
      <w:r>
        <w:rPr>
          <w:lang w:val="en-GB"/>
        </w:rPr>
        <w:t xml:space="preserve">s choice of FOLFIRI </w:t>
      </w:r>
      <w:r w:rsidR="00D67707">
        <w:rPr>
          <w:lang w:val="en-GB"/>
        </w:rPr>
        <w:t xml:space="preserve">plus </w:t>
      </w:r>
      <w:r>
        <w:rPr>
          <w:lang w:val="en-GB"/>
        </w:rPr>
        <w:t xml:space="preserve">cetuximab or irinotecan </w:t>
      </w:r>
      <w:r w:rsidR="00D67707">
        <w:rPr>
          <w:lang w:val="en-GB"/>
        </w:rPr>
        <w:t>plus</w:t>
      </w:r>
      <w:r>
        <w:rPr>
          <w:lang w:val="en-GB"/>
        </w:rPr>
        <w:t xml:space="preserve"> cetuximab (5.9</w:t>
      </w:r>
      <w:r w:rsidR="00D67707">
        <w:rPr>
          <w:lang w:val="en-GB"/>
        </w:rPr>
        <w:t> </w:t>
      </w:r>
      <w:r>
        <w:rPr>
          <w:lang w:val="en-GB"/>
        </w:rPr>
        <w:t>months; 95% confidence interval 5.1</w:t>
      </w:r>
      <w:r w:rsidR="00D67707">
        <w:rPr>
          <w:lang w:val="en-GB"/>
        </w:rPr>
        <w:t> months</w:t>
      </w:r>
      <w:r>
        <w:rPr>
          <w:lang w:val="en-GB"/>
        </w:rPr>
        <w:t xml:space="preserve"> to 7.1</w:t>
      </w:r>
      <w:r w:rsidR="00D67707">
        <w:rPr>
          <w:lang w:val="en-GB"/>
        </w:rPr>
        <w:t> </w:t>
      </w:r>
      <w:r>
        <w:rPr>
          <w:lang w:val="en-GB"/>
        </w:rPr>
        <w:t xml:space="preserve">months). </w:t>
      </w:r>
      <w:r w:rsidR="00463770">
        <w:rPr>
          <w:lang w:val="en-GB"/>
        </w:rPr>
        <w:t xml:space="preserve">The associated hazard ratio was </w:t>
      </w:r>
      <w:r w:rsidR="00463770" w:rsidRPr="00463770">
        <w:rPr>
          <w:lang w:val="en-GB"/>
        </w:rPr>
        <w:t>0.61 (</w:t>
      </w:r>
      <w:r w:rsidR="00480EDC">
        <w:rPr>
          <w:lang w:val="en-GB"/>
        </w:rPr>
        <w:t xml:space="preserve">95% confidence interval </w:t>
      </w:r>
      <w:r w:rsidR="00463770" w:rsidRPr="00463770">
        <w:rPr>
          <w:lang w:val="en-GB"/>
        </w:rPr>
        <w:t>0.48</w:t>
      </w:r>
      <w:r w:rsidR="00480EDC">
        <w:rPr>
          <w:lang w:val="en-GB"/>
        </w:rPr>
        <w:t xml:space="preserve"> to </w:t>
      </w:r>
      <w:r w:rsidR="00463770" w:rsidRPr="00463770">
        <w:rPr>
          <w:lang w:val="en-GB"/>
        </w:rPr>
        <w:t>0.77)</w:t>
      </w:r>
      <w:r w:rsidR="00463770">
        <w:rPr>
          <w:lang w:val="en-GB"/>
        </w:rPr>
        <w:t xml:space="preserve">. </w:t>
      </w:r>
      <w:r>
        <w:rPr>
          <w:lang w:val="en-GB"/>
        </w:rPr>
        <w:t xml:space="preserve">The committee concluded that </w:t>
      </w:r>
      <w:r w:rsidRPr="00393137">
        <w:rPr>
          <w:lang w:val="en-GB"/>
        </w:rPr>
        <w:t>encorafenib</w:t>
      </w:r>
      <w:r w:rsidR="00DD1173">
        <w:rPr>
          <w:lang w:val="en-GB"/>
        </w:rPr>
        <w:t xml:space="preserve"> </w:t>
      </w:r>
      <w:r w:rsidR="00D67707">
        <w:rPr>
          <w:lang w:val="en-GB"/>
        </w:rPr>
        <w:t>plus</w:t>
      </w:r>
      <w:r w:rsidR="00DD1173">
        <w:rPr>
          <w:lang w:val="en-GB"/>
        </w:rPr>
        <w:t xml:space="preserve"> cetuximab</w:t>
      </w:r>
      <w:r w:rsidRPr="00393137">
        <w:rPr>
          <w:lang w:val="en-GB"/>
        </w:rPr>
        <w:t xml:space="preserve"> </w:t>
      </w:r>
      <w:r w:rsidR="00463770">
        <w:rPr>
          <w:lang w:val="en-GB"/>
        </w:rPr>
        <w:t>prolong</w:t>
      </w:r>
      <w:r w:rsidR="00D67707">
        <w:rPr>
          <w:lang w:val="en-GB"/>
        </w:rPr>
        <w:t>ed</w:t>
      </w:r>
      <w:r w:rsidR="00463770">
        <w:rPr>
          <w:lang w:val="en-GB"/>
        </w:rPr>
        <w:t xml:space="preserve"> survival</w:t>
      </w:r>
      <w:r>
        <w:rPr>
          <w:lang w:val="en-GB"/>
        </w:rPr>
        <w:t xml:space="preserve">, </w:t>
      </w:r>
      <w:r w:rsidR="00D1355C">
        <w:rPr>
          <w:lang w:val="en-GB"/>
        </w:rPr>
        <w:t xml:space="preserve">but </w:t>
      </w:r>
      <w:r>
        <w:rPr>
          <w:lang w:val="en-GB"/>
        </w:rPr>
        <w:t>noted that the</w:t>
      </w:r>
      <w:r w:rsidR="00D67707">
        <w:rPr>
          <w:lang w:val="en-GB"/>
        </w:rPr>
        <w:t xml:space="preserve"> comparators</w:t>
      </w:r>
      <w:r>
        <w:rPr>
          <w:lang w:val="en-GB"/>
        </w:rPr>
        <w:t xml:space="preserve"> </w:t>
      </w:r>
      <w:r w:rsidR="00A3294A">
        <w:rPr>
          <w:lang w:val="en-GB"/>
        </w:rPr>
        <w:t>were</w:t>
      </w:r>
      <w:r>
        <w:rPr>
          <w:lang w:val="en-GB"/>
        </w:rPr>
        <w:t xml:space="preserve"> not used in </w:t>
      </w:r>
      <w:r w:rsidR="00D67707">
        <w:rPr>
          <w:lang w:val="en-GB"/>
        </w:rPr>
        <w:t xml:space="preserve">NHS </w:t>
      </w:r>
      <w:r>
        <w:rPr>
          <w:lang w:val="en-GB"/>
        </w:rPr>
        <w:t>clinical practice</w:t>
      </w:r>
      <w:r w:rsidR="00D1517C">
        <w:rPr>
          <w:lang w:val="en-GB"/>
        </w:rPr>
        <w:t xml:space="preserve"> </w:t>
      </w:r>
      <w:r>
        <w:rPr>
          <w:lang w:val="en-GB"/>
        </w:rPr>
        <w:t>(see section</w:t>
      </w:r>
      <w:r w:rsidR="00D67707">
        <w:rPr>
          <w:lang w:val="en-GB"/>
        </w:rPr>
        <w:t> </w:t>
      </w:r>
      <w:r>
        <w:rPr>
          <w:lang w:val="en-GB"/>
        </w:rPr>
        <w:t>3.8).</w:t>
      </w:r>
    </w:p>
    <w:p w14:paraId="0CBAF17A" w14:textId="33C0D6E3" w:rsidR="00713A7A" w:rsidRPr="00393137" w:rsidRDefault="00D67707" w:rsidP="00125337">
      <w:pPr>
        <w:pStyle w:val="Caption"/>
      </w:pPr>
      <w:r>
        <w:t>Using</w:t>
      </w:r>
      <w:r w:rsidR="00713A7A">
        <w:t xml:space="preserve"> cetuximab in</w:t>
      </w:r>
      <w:r w:rsidR="00480EDC">
        <w:t xml:space="preserve"> the control arm of</w:t>
      </w:r>
      <w:r w:rsidR="00713A7A">
        <w:t xml:space="preserve"> </w:t>
      </w:r>
      <w:r w:rsidR="00713A7A" w:rsidRPr="00393137">
        <w:t>BEACON CRC</w:t>
      </w:r>
      <w:r w:rsidR="00991B59">
        <w:t xml:space="preserve"> </w:t>
      </w:r>
      <w:r w:rsidR="00713A7A" w:rsidRPr="00393137">
        <w:t>does not reflect clinical practice</w:t>
      </w:r>
    </w:p>
    <w:p w14:paraId="7ACE8D70" w14:textId="529FB109" w:rsidR="00713A7A" w:rsidRPr="009D7E55" w:rsidRDefault="00713A7A" w:rsidP="00713A7A">
      <w:pPr>
        <w:pStyle w:val="Numberedlevel2text"/>
        <w:numPr>
          <w:ilvl w:val="1"/>
          <w:numId w:val="1"/>
        </w:numPr>
        <w:rPr>
          <w:color w:val="FF0000"/>
        </w:rPr>
      </w:pPr>
      <w:r w:rsidRPr="006C1E0F">
        <w:t xml:space="preserve">The </w:t>
      </w:r>
      <w:r>
        <w:rPr>
          <w:lang w:val="en-GB"/>
        </w:rPr>
        <w:t>co</w:t>
      </w:r>
      <w:r w:rsidR="00E063D9">
        <w:rPr>
          <w:lang w:val="en-GB"/>
        </w:rPr>
        <w:t>ntrol</w:t>
      </w:r>
      <w:r>
        <w:rPr>
          <w:lang w:val="en-GB"/>
        </w:rPr>
        <w:t xml:space="preserve"> arm of BEACON CRC does not reflect clinical practice in the NHS</w:t>
      </w:r>
      <w:r w:rsidR="00D67707">
        <w:rPr>
          <w:lang w:val="en-GB"/>
        </w:rPr>
        <w:t>. This is</w:t>
      </w:r>
      <w:r>
        <w:rPr>
          <w:lang w:val="en-GB"/>
        </w:rPr>
        <w:t xml:space="preserve"> because </w:t>
      </w:r>
      <w:r w:rsidR="00D1355C" w:rsidRPr="00D1355C">
        <w:t xml:space="preserve">epidermal growth factor receptor </w:t>
      </w:r>
      <w:r w:rsidR="00D1355C">
        <w:rPr>
          <w:lang w:val="en-GB"/>
        </w:rPr>
        <w:t>(</w:t>
      </w:r>
      <w:r w:rsidRPr="006C1E0F">
        <w:t>EGFR</w:t>
      </w:r>
      <w:r w:rsidR="00D1355C">
        <w:rPr>
          <w:lang w:val="en-GB"/>
        </w:rPr>
        <w:t>)</w:t>
      </w:r>
      <w:r w:rsidRPr="006C1E0F">
        <w:t xml:space="preserve"> inhibitors</w:t>
      </w:r>
      <w:r>
        <w:rPr>
          <w:lang w:val="en-GB"/>
        </w:rPr>
        <w:t>, such as cetuximab,</w:t>
      </w:r>
      <w:r w:rsidRPr="006C1E0F">
        <w:t xml:space="preserve"> </w:t>
      </w:r>
      <w:r>
        <w:rPr>
          <w:lang w:val="en-GB"/>
        </w:rPr>
        <w:t>are</w:t>
      </w:r>
      <w:r w:rsidRPr="006C1E0F">
        <w:t xml:space="preserve"> not recommended beyond first</w:t>
      </w:r>
      <w:r w:rsidR="00D67707">
        <w:rPr>
          <w:lang w:val="en-GB"/>
        </w:rPr>
        <w:t>-</w:t>
      </w:r>
      <w:r w:rsidRPr="006C1E0F">
        <w:t>line treatment</w:t>
      </w:r>
      <w:r w:rsidR="00D67707">
        <w:rPr>
          <w:lang w:val="en-GB"/>
        </w:rPr>
        <w:t xml:space="preserve"> </w:t>
      </w:r>
      <w:r w:rsidR="00D67707" w:rsidRPr="006C1E0F">
        <w:t>for metastatic colorectal cancer</w:t>
      </w:r>
      <w:r w:rsidR="00E439FD">
        <w:rPr>
          <w:lang w:val="en-GB"/>
        </w:rPr>
        <w:t xml:space="preserve"> in </w:t>
      </w:r>
      <w:hyperlink r:id="rId16" w:history="1">
        <w:r w:rsidR="00E802AD">
          <w:rPr>
            <w:rStyle w:val="Hyperlink"/>
            <w:lang w:val="en-GB"/>
          </w:rPr>
          <w:t>NICE's technology appraisal guidance on cetuximab, bevacizumab and panitumumab</w:t>
        </w:r>
      </w:hyperlink>
      <w:r w:rsidRPr="006C1E0F">
        <w:t>.</w:t>
      </w:r>
      <w:r w:rsidRPr="00C41FFB">
        <w:t xml:space="preserve"> </w:t>
      </w:r>
      <w:r w:rsidR="00D02562">
        <w:rPr>
          <w:lang w:val="en-GB"/>
        </w:rPr>
        <w:t>The c</w:t>
      </w:r>
      <w:r>
        <w:rPr>
          <w:lang w:val="en-GB"/>
        </w:rPr>
        <w:t xml:space="preserve">linical experts </w:t>
      </w:r>
      <w:r>
        <w:rPr>
          <w:lang w:val="en-GB"/>
        </w:rPr>
        <w:lastRenderedPageBreak/>
        <w:t>explained that c</w:t>
      </w:r>
      <w:r w:rsidRPr="00C41FFB">
        <w:t xml:space="preserve">etuximab is likely to have some benefit in </w:t>
      </w:r>
      <w:r w:rsidR="00D02562">
        <w:rPr>
          <w:lang w:val="en-GB"/>
        </w:rPr>
        <w:t>people with BRAF V600</w:t>
      </w:r>
      <w:r w:rsidR="00172ECD">
        <w:rPr>
          <w:lang w:val="en-GB"/>
        </w:rPr>
        <w:t>E</w:t>
      </w:r>
      <w:r w:rsidR="00D02562">
        <w:rPr>
          <w:lang w:val="en-GB"/>
        </w:rPr>
        <w:t xml:space="preserve"> mutation-positive</w:t>
      </w:r>
      <w:r w:rsidR="00433784">
        <w:rPr>
          <w:lang w:val="en-GB"/>
        </w:rPr>
        <w:t xml:space="preserve"> </w:t>
      </w:r>
      <w:r w:rsidR="00D02562">
        <w:rPr>
          <w:lang w:val="en-GB"/>
        </w:rPr>
        <w:t xml:space="preserve">colorectal cancer who have not had an EGFR inhibitor before </w:t>
      </w:r>
      <w:r w:rsidR="00433784">
        <w:rPr>
          <w:lang w:val="en-GB"/>
        </w:rPr>
        <w:t>(included in BEACON CRC)</w:t>
      </w:r>
      <w:r w:rsidRPr="00C41FFB">
        <w:t xml:space="preserve">. However, </w:t>
      </w:r>
      <w:r w:rsidR="00D02562">
        <w:rPr>
          <w:lang w:val="en-GB"/>
        </w:rPr>
        <w:t>how much benefit</w:t>
      </w:r>
      <w:r w:rsidRPr="00C41FFB">
        <w:t xml:space="preserve"> cetuximab</w:t>
      </w:r>
      <w:r w:rsidR="00D02562">
        <w:rPr>
          <w:lang w:val="en-GB"/>
        </w:rPr>
        <w:t xml:space="preserve"> has</w:t>
      </w:r>
      <w:r w:rsidRPr="00C41FFB">
        <w:t xml:space="preserve"> w</w:t>
      </w:r>
      <w:r>
        <w:rPr>
          <w:lang w:val="en-GB"/>
        </w:rPr>
        <w:t xml:space="preserve">hen </w:t>
      </w:r>
      <w:r w:rsidRPr="00C41FFB">
        <w:t xml:space="preserve">used with </w:t>
      </w:r>
      <w:r>
        <w:rPr>
          <w:lang w:val="en-GB"/>
        </w:rPr>
        <w:t>FOLFIRI or irinotecan</w:t>
      </w:r>
      <w:r w:rsidRPr="00C41FFB">
        <w:t xml:space="preserve"> </w:t>
      </w:r>
      <w:r w:rsidR="00433784">
        <w:rPr>
          <w:lang w:val="en-GB"/>
        </w:rPr>
        <w:t xml:space="preserve">is </w:t>
      </w:r>
      <w:r w:rsidRPr="00C41FFB">
        <w:t>unknown.</w:t>
      </w:r>
      <w:r>
        <w:rPr>
          <w:lang w:val="en-GB"/>
        </w:rPr>
        <w:t xml:space="preserve"> The committee recognised that </w:t>
      </w:r>
      <w:r w:rsidR="00D1355C">
        <w:rPr>
          <w:lang w:val="en-GB"/>
        </w:rPr>
        <w:t xml:space="preserve">including </w:t>
      </w:r>
      <w:r>
        <w:rPr>
          <w:lang w:val="en-GB"/>
        </w:rPr>
        <w:t xml:space="preserve">cetuximab in the control arm of BEACON </w:t>
      </w:r>
      <w:r w:rsidR="001F1179">
        <w:rPr>
          <w:lang w:val="en-GB"/>
        </w:rPr>
        <w:t xml:space="preserve">CRC </w:t>
      </w:r>
      <w:r>
        <w:rPr>
          <w:lang w:val="en-GB"/>
        </w:rPr>
        <w:t>mean</w:t>
      </w:r>
      <w:r w:rsidR="00D02562">
        <w:rPr>
          <w:lang w:val="en-GB"/>
        </w:rPr>
        <w:t>t</w:t>
      </w:r>
      <w:r>
        <w:rPr>
          <w:lang w:val="en-GB"/>
        </w:rPr>
        <w:t xml:space="preserve"> </w:t>
      </w:r>
      <w:r w:rsidR="008E3412">
        <w:rPr>
          <w:lang w:val="en-GB"/>
        </w:rPr>
        <w:t xml:space="preserve">that </w:t>
      </w:r>
      <w:r>
        <w:rPr>
          <w:lang w:val="en-GB"/>
        </w:rPr>
        <w:t xml:space="preserve">the </w:t>
      </w:r>
      <w:r w:rsidR="008E3412">
        <w:rPr>
          <w:lang w:val="en-GB"/>
        </w:rPr>
        <w:t xml:space="preserve">trial results </w:t>
      </w:r>
      <w:r w:rsidR="00480EDC">
        <w:rPr>
          <w:lang w:val="en-GB"/>
        </w:rPr>
        <w:t xml:space="preserve">may </w:t>
      </w:r>
      <w:r w:rsidR="008E3412">
        <w:rPr>
          <w:lang w:val="en-GB"/>
        </w:rPr>
        <w:t xml:space="preserve">underestimate the </w:t>
      </w:r>
      <w:r>
        <w:rPr>
          <w:lang w:val="en-GB"/>
        </w:rPr>
        <w:t xml:space="preserve">effect of encorafenib </w:t>
      </w:r>
      <w:r w:rsidR="00D02562">
        <w:rPr>
          <w:lang w:val="en-GB"/>
        </w:rPr>
        <w:t>plus</w:t>
      </w:r>
      <w:r>
        <w:rPr>
          <w:lang w:val="en-GB"/>
        </w:rPr>
        <w:t xml:space="preserve"> cetuximab. It concluded that the control arm of BEACON CRC does not</w:t>
      </w:r>
      <w:r w:rsidR="00433784">
        <w:rPr>
          <w:lang w:val="en-GB"/>
        </w:rPr>
        <w:t xml:space="preserve"> </w:t>
      </w:r>
      <w:r>
        <w:rPr>
          <w:lang w:val="en-GB"/>
        </w:rPr>
        <w:t>reflect clinical practice</w:t>
      </w:r>
      <w:r w:rsidR="00433784">
        <w:rPr>
          <w:lang w:val="en-GB"/>
        </w:rPr>
        <w:t xml:space="preserve"> and </w:t>
      </w:r>
      <w:r w:rsidR="008E3412">
        <w:rPr>
          <w:lang w:val="en-GB"/>
        </w:rPr>
        <w:t xml:space="preserve">agreed to consider </w:t>
      </w:r>
      <w:r w:rsidR="00433784">
        <w:rPr>
          <w:lang w:val="en-GB"/>
        </w:rPr>
        <w:t xml:space="preserve">alternative estimates of relative efficacy </w:t>
      </w:r>
      <w:r w:rsidR="008E3412">
        <w:rPr>
          <w:lang w:val="en-GB"/>
        </w:rPr>
        <w:t>in</w:t>
      </w:r>
      <w:r w:rsidR="00433784">
        <w:rPr>
          <w:lang w:val="en-GB"/>
        </w:rPr>
        <w:t xml:space="preserve"> decision making</w:t>
      </w:r>
      <w:r>
        <w:rPr>
          <w:lang w:val="en-GB"/>
        </w:rPr>
        <w:t>.</w:t>
      </w:r>
    </w:p>
    <w:p w14:paraId="611503C3" w14:textId="15E98FDC" w:rsidR="00713A7A" w:rsidRDefault="00091011" w:rsidP="009D7E55">
      <w:pPr>
        <w:pStyle w:val="Heading3"/>
      </w:pPr>
      <w:r>
        <w:t xml:space="preserve">Using irinotecan in the control arm of </w:t>
      </w:r>
      <w:r w:rsidRPr="00393137">
        <w:t>BEACON CRC</w:t>
      </w:r>
      <w:r>
        <w:t xml:space="preserve"> </w:t>
      </w:r>
      <w:r w:rsidRPr="00393137">
        <w:t>does not reflect clinical practice</w:t>
      </w:r>
    </w:p>
    <w:p w14:paraId="7E3E3643" w14:textId="4D42E449" w:rsidR="00713A7A" w:rsidRDefault="00713A7A" w:rsidP="009D7E55">
      <w:pPr>
        <w:pStyle w:val="Numberedlevel2text"/>
        <w:numPr>
          <w:ilvl w:val="1"/>
          <w:numId w:val="1"/>
        </w:numPr>
      </w:pPr>
      <w:r>
        <w:rPr>
          <w:lang w:val="en-GB"/>
        </w:rPr>
        <w:t xml:space="preserve">Treatment in the control arm </w:t>
      </w:r>
      <w:r w:rsidR="00133E64">
        <w:rPr>
          <w:lang w:val="en-GB"/>
        </w:rPr>
        <w:t xml:space="preserve">of BEACON CRC </w:t>
      </w:r>
      <w:r>
        <w:rPr>
          <w:lang w:val="en-GB"/>
        </w:rPr>
        <w:t xml:space="preserve">was not randomised, it was allocated according to </w:t>
      </w:r>
      <w:r w:rsidR="00E8377F">
        <w:rPr>
          <w:lang w:val="en-GB"/>
        </w:rPr>
        <w:t xml:space="preserve">the </w:t>
      </w:r>
      <w:r w:rsidR="00E063D9">
        <w:rPr>
          <w:lang w:val="en-GB"/>
        </w:rPr>
        <w:t>investigator’s</w:t>
      </w:r>
      <w:r>
        <w:rPr>
          <w:lang w:val="en-GB"/>
        </w:rPr>
        <w:t xml:space="preserve"> choice</w:t>
      </w:r>
      <w:r w:rsidR="00E439FD">
        <w:rPr>
          <w:lang w:val="en-GB"/>
        </w:rPr>
        <w:t xml:space="preserve"> of irinotecan with cetuximab or FOLFIRI with cetuximab</w:t>
      </w:r>
      <w:r>
        <w:rPr>
          <w:lang w:val="en-GB"/>
        </w:rPr>
        <w:t>. The clinical experts explained that p</w:t>
      </w:r>
      <w:r w:rsidR="007711FD">
        <w:rPr>
          <w:lang w:val="en-GB"/>
        </w:rPr>
        <w:t>eople</w:t>
      </w:r>
      <w:r>
        <w:rPr>
          <w:lang w:val="en-GB"/>
        </w:rPr>
        <w:t xml:space="preserve"> </w:t>
      </w:r>
      <w:r w:rsidR="008E3412">
        <w:rPr>
          <w:lang w:val="en-GB"/>
        </w:rPr>
        <w:t>are offered treatments</w:t>
      </w:r>
      <w:r>
        <w:rPr>
          <w:lang w:val="en-GB"/>
        </w:rPr>
        <w:t xml:space="preserve"> </w:t>
      </w:r>
      <w:r w:rsidR="00E063D9">
        <w:rPr>
          <w:lang w:val="en-GB"/>
        </w:rPr>
        <w:t>depending on</w:t>
      </w:r>
      <w:r>
        <w:rPr>
          <w:lang w:val="en-GB"/>
        </w:rPr>
        <w:t xml:space="preserve"> how the</w:t>
      </w:r>
      <w:r w:rsidR="00E063D9">
        <w:rPr>
          <w:lang w:val="en-GB"/>
        </w:rPr>
        <w:t>ir disease</w:t>
      </w:r>
      <w:r>
        <w:rPr>
          <w:lang w:val="en-GB"/>
        </w:rPr>
        <w:t xml:space="preserve"> reacted to </w:t>
      </w:r>
      <w:r w:rsidR="00E063D9">
        <w:rPr>
          <w:lang w:val="en-GB"/>
        </w:rPr>
        <w:t xml:space="preserve">previous </w:t>
      </w:r>
      <w:r>
        <w:rPr>
          <w:lang w:val="en-GB"/>
        </w:rPr>
        <w:t>treatments</w:t>
      </w:r>
      <w:r w:rsidR="008E3412">
        <w:rPr>
          <w:lang w:val="en-GB"/>
        </w:rPr>
        <w:t>, t</w:t>
      </w:r>
      <w:r w:rsidR="00E063D9">
        <w:rPr>
          <w:lang w:val="en-GB"/>
        </w:rPr>
        <w:t>heir</w:t>
      </w:r>
      <w:r w:rsidR="008E3412">
        <w:rPr>
          <w:lang w:val="en-GB"/>
        </w:rPr>
        <w:t xml:space="preserve"> comorbidities,</w:t>
      </w:r>
      <w:r w:rsidR="00433784">
        <w:rPr>
          <w:lang w:val="en-GB"/>
        </w:rPr>
        <w:t xml:space="preserve"> and personal preference</w:t>
      </w:r>
      <w:r>
        <w:rPr>
          <w:lang w:val="en-GB"/>
        </w:rPr>
        <w:t xml:space="preserve">. </w:t>
      </w:r>
      <w:r w:rsidR="008E3412">
        <w:rPr>
          <w:lang w:val="en-GB"/>
        </w:rPr>
        <w:t xml:space="preserve">The company </w:t>
      </w:r>
      <w:r w:rsidR="00DB2DBD">
        <w:rPr>
          <w:lang w:val="en-GB"/>
        </w:rPr>
        <w:t>said</w:t>
      </w:r>
      <w:r w:rsidR="00E063D9">
        <w:rPr>
          <w:lang w:val="en-GB"/>
        </w:rPr>
        <w:t xml:space="preserve"> </w:t>
      </w:r>
      <w:r w:rsidR="008E3412">
        <w:rPr>
          <w:lang w:val="en-GB"/>
        </w:rPr>
        <w:t>that a</w:t>
      </w:r>
      <w:r>
        <w:t xml:space="preserve">bout </w:t>
      </w:r>
      <w:r w:rsidRPr="000D14FD">
        <w:t xml:space="preserve">40% of people in the control arm </w:t>
      </w:r>
      <w:r w:rsidR="00E063D9">
        <w:rPr>
          <w:lang w:val="en-GB"/>
        </w:rPr>
        <w:t>ha</w:t>
      </w:r>
      <w:r w:rsidR="00E063D9" w:rsidRPr="000D14FD">
        <w:t xml:space="preserve">d </w:t>
      </w:r>
      <w:r w:rsidRPr="000D14FD">
        <w:t>irinotecan</w:t>
      </w:r>
      <w:r w:rsidR="00433784">
        <w:rPr>
          <w:lang w:val="en-GB"/>
        </w:rPr>
        <w:t xml:space="preserve"> </w:t>
      </w:r>
      <w:r w:rsidR="00E063D9">
        <w:rPr>
          <w:lang w:val="en-GB"/>
        </w:rPr>
        <w:t>plus</w:t>
      </w:r>
      <w:r w:rsidR="00433784">
        <w:rPr>
          <w:lang w:val="en-GB"/>
        </w:rPr>
        <w:t xml:space="preserve"> cetuximab</w:t>
      </w:r>
      <w:r w:rsidRPr="000D14FD">
        <w:t xml:space="preserve">. </w:t>
      </w:r>
      <w:r w:rsidR="000E2029">
        <w:rPr>
          <w:lang w:val="en-GB"/>
        </w:rPr>
        <w:t>I</w:t>
      </w:r>
      <w:r>
        <w:rPr>
          <w:lang w:val="en-GB"/>
        </w:rPr>
        <w:t>rinotecan was associated with worse toxicit</w:t>
      </w:r>
      <w:r w:rsidR="00047735">
        <w:rPr>
          <w:lang w:val="en-GB"/>
        </w:rPr>
        <w:t>y</w:t>
      </w:r>
      <w:r>
        <w:rPr>
          <w:lang w:val="en-GB"/>
        </w:rPr>
        <w:t xml:space="preserve"> and </w:t>
      </w:r>
      <w:r w:rsidR="00991660">
        <w:rPr>
          <w:lang w:val="en-GB"/>
        </w:rPr>
        <w:t>possibly</w:t>
      </w:r>
      <w:r w:rsidR="005919F4">
        <w:rPr>
          <w:lang w:val="en-GB"/>
        </w:rPr>
        <w:t xml:space="preserve"> worse </w:t>
      </w:r>
      <w:r>
        <w:rPr>
          <w:lang w:val="en-GB"/>
        </w:rPr>
        <w:t>outcomes than FOLFIRI</w:t>
      </w:r>
      <w:r w:rsidR="00C36838">
        <w:rPr>
          <w:lang w:val="en-GB"/>
        </w:rPr>
        <w:t xml:space="preserve"> and </w:t>
      </w:r>
      <w:r w:rsidR="000E2029">
        <w:rPr>
          <w:lang w:val="en-GB"/>
        </w:rPr>
        <w:t>the committee</w:t>
      </w:r>
      <w:r w:rsidR="00C36838">
        <w:rPr>
          <w:lang w:val="en-GB"/>
        </w:rPr>
        <w:t xml:space="preserve"> had concluded that </w:t>
      </w:r>
      <w:r w:rsidR="000E2029">
        <w:rPr>
          <w:lang w:val="en-GB"/>
        </w:rPr>
        <w:t>it</w:t>
      </w:r>
      <w:r w:rsidR="00C36838">
        <w:rPr>
          <w:lang w:val="en-GB"/>
        </w:rPr>
        <w:t xml:space="preserve"> was not a relevant comparator</w:t>
      </w:r>
      <w:r w:rsidR="008C1EB8">
        <w:rPr>
          <w:lang w:val="en-GB"/>
        </w:rPr>
        <w:t xml:space="preserve"> (see section</w:t>
      </w:r>
      <w:r w:rsidR="00047735">
        <w:rPr>
          <w:lang w:val="en-GB"/>
        </w:rPr>
        <w:t> </w:t>
      </w:r>
      <w:r w:rsidR="008C1EB8">
        <w:rPr>
          <w:lang w:val="en-GB"/>
        </w:rPr>
        <w:t>3.5)</w:t>
      </w:r>
      <w:r w:rsidR="00F265CB">
        <w:rPr>
          <w:lang w:val="en-GB"/>
        </w:rPr>
        <w:t>. The committee considered that because of confounding</w:t>
      </w:r>
      <w:r w:rsidR="00047735">
        <w:rPr>
          <w:lang w:val="en-GB"/>
        </w:rPr>
        <w:t>,</w:t>
      </w:r>
      <w:r w:rsidR="00F265CB">
        <w:rPr>
          <w:lang w:val="en-GB"/>
        </w:rPr>
        <w:t xml:space="preserve"> </w:t>
      </w:r>
      <w:r w:rsidR="00113AFE" w:rsidRPr="00113AFE">
        <w:rPr>
          <w:lang w:val="en-GB"/>
        </w:rPr>
        <w:t xml:space="preserve">that is, factors associated with </w:t>
      </w:r>
      <w:r w:rsidR="00E802AD">
        <w:rPr>
          <w:lang w:val="en-GB"/>
        </w:rPr>
        <w:t>both the investigator’s</w:t>
      </w:r>
      <w:r w:rsidR="00113AFE" w:rsidRPr="00113AFE">
        <w:rPr>
          <w:lang w:val="en-GB"/>
        </w:rPr>
        <w:t xml:space="preserve"> choice of treatment and with the patient’s prognosis</w:t>
      </w:r>
      <w:r w:rsidR="00F265CB">
        <w:rPr>
          <w:lang w:val="en-GB"/>
        </w:rPr>
        <w:t xml:space="preserve">, it could not assume that irinotecan </w:t>
      </w:r>
      <w:r w:rsidR="00047735">
        <w:rPr>
          <w:lang w:val="en-GB"/>
        </w:rPr>
        <w:t>plus</w:t>
      </w:r>
      <w:r w:rsidR="00F265CB">
        <w:rPr>
          <w:lang w:val="en-GB"/>
        </w:rPr>
        <w:t xml:space="preserve"> cetuximab was equivalent to FOLFIRI </w:t>
      </w:r>
      <w:r w:rsidR="00047735">
        <w:rPr>
          <w:lang w:val="en-GB"/>
        </w:rPr>
        <w:t>plus</w:t>
      </w:r>
      <w:r w:rsidR="00F265CB">
        <w:rPr>
          <w:lang w:val="en-GB"/>
        </w:rPr>
        <w:t xml:space="preserve"> cetuximab</w:t>
      </w:r>
      <w:r>
        <w:rPr>
          <w:lang w:val="en-GB"/>
        </w:rPr>
        <w:t>. The committee concluded that</w:t>
      </w:r>
      <w:r w:rsidR="00113AFE">
        <w:rPr>
          <w:lang w:val="en-GB"/>
        </w:rPr>
        <w:t xml:space="preserve"> the control arm does not reflect clinical practice because </w:t>
      </w:r>
      <w:r w:rsidR="00E802AD">
        <w:rPr>
          <w:lang w:val="en-GB"/>
        </w:rPr>
        <w:t>it included</w:t>
      </w:r>
      <w:r>
        <w:rPr>
          <w:lang w:val="en-GB"/>
        </w:rPr>
        <w:t xml:space="preserve"> irinotecan </w:t>
      </w:r>
      <w:r w:rsidR="00113AFE">
        <w:rPr>
          <w:lang w:val="en-GB"/>
        </w:rPr>
        <w:t>and it should consider this</w:t>
      </w:r>
      <w:r>
        <w:rPr>
          <w:lang w:val="en-GB"/>
        </w:rPr>
        <w:t xml:space="preserve"> in </w:t>
      </w:r>
      <w:r w:rsidR="00433784">
        <w:rPr>
          <w:lang w:val="en-GB"/>
        </w:rPr>
        <w:t>its</w:t>
      </w:r>
      <w:r>
        <w:rPr>
          <w:lang w:val="en-GB"/>
        </w:rPr>
        <w:t xml:space="preserve"> decision making.</w:t>
      </w:r>
    </w:p>
    <w:p w14:paraId="33B4B428" w14:textId="047C7489" w:rsidR="00713A7A" w:rsidRDefault="00713A7A" w:rsidP="009D7E55">
      <w:pPr>
        <w:pStyle w:val="Heading3"/>
      </w:pPr>
      <w:r w:rsidRPr="000D644F">
        <w:t>Subsequent t</w:t>
      </w:r>
      <w:r>
        <w:t>reatments</w:t>
      </w:r>
      <w:r w:rsidRPr="000D644F">
        <w:t xml:space="preserve"> in </w:t>
      </w:r>
      <w:r>
        <w:t xml:space="preserve">BEACON </w:t>
      </w:r>
      <w:r w:rsidR="001F1179">
        <w:t xml:space="preserve">CRC </w:t>
      </w:r>
      <w:r>
        <w:t>do</w:t>
      </w:r>
      <w:r w:rsidRPr="000D644F">
        <w:t xml:space="preserve"> not reflect NHS clinical practice</w:t>
      </w:r>
      <w:r>
        <w:t xml:space="preserve"> but may extend life</w:t>
      </w:r>
    </w:p>
    <w:p w14:paraId="0A785DCF" w14:textId="5A64985C" w:rsidR="00713A7A" w:rsidRPr="001F1179" w:rsidRDefault="00713A7A" w:rsidP="00F47E4A">
      <w:pPr>
        <w:pStyle w:val="Numberedlevel2text"/>
        <w:numPr>
          <w:ilvl w:val="1"/>
          <w:numId w:val="1"/>
        </w:numPr>
      </w:pPr>
      <w:r>
        <w:rPr>
          <w:lang w:val="en-GB"/>
        </w:rPr>
        <w:t>T</w:t>
      </w:r>
      <w:r>
        <w:t>he</w:t>
      </w:r>
      <w:r>
        <w:rPr>
          <w:lang w:val="en-GB"/>
        </w:rPr>
        <w:t xml:space="preserve"> company noted that people </w:t>
      </w:r>
      <w:r w:rsidR="00433784">
        <w:rPr>
          <w:lang w:val="en-GB"/>
        </w:rPr>
        <w:t xml:space="preserve">in </w:t>
      </w:r>
      <w:r>
        <w:rPr>
          <w:lang w:val="en-GB"/>
        </w:rPr>
        <w:t>BEACON</w:t>
      </w:r>
      <w:r w:rsidR="00433784">
        <w:rPr>
          <w:lang w:val="en-GB"/>
        </w:rPr>
        <w:t xml:space="preserve"> CRC</w:t>
      </w:r>
      <w:r>
        <w:rPr>
          <w:lang w:val="en-GB"/>
        </w:rPr>
        <w:t xml:space="preserve"> had a range of subsequent</w:t>
      </w:r>
      <w:r>
        <w:t xml:space="preserve"> </w:t>
      </w:r>
      <w:r>
        <w:rPr>
          <w:lang w:val="en-GB"/>
        </w:rPr>
        <w:t>treatments after disease progression</w:t>
      </w:r>
      <w:r>
        <w:t xml:space="preserve">. The committee was aware that some of these treatments </w:t>
      </w:r>
      <w:r w:rsidRPr="003D5AB6">
        <w:rPr>
          <w:lang w:val="en-GB"/>
        </w:rPr>
        <w:t>included immunotherapies</w:t>
      </w:r>
      <w:r w:rsidR="008955C5">
        <w:rPr>
          <w:lang w:val="en-GB"/>
        </w:rPr>
        <w:t>,</w:t>
      </w:r>
      <w:r w:rsidRPr="003D5AB6">
        <w:rPr>
          <w:lang w:val="en-GB"/>
        </w:rPr>
        <w:t xml:space="preserve"> </w:t>
      </w:r>
      <w:r w:rsidRPr="00800B86">
        <w:rPr>
          <w:lang w:val="en-GB"/>
        </w:rPr>
        <w:t xml:space="preserve">which </w:t>
      </w:r>
      <w:r w:rsidRPr="00800B86">
        <w:rPr>
          <w:lang w:val="en-GB"/>
        </w:rPr>
        <w:lastRenderedPageBreak/>
        <w:t xml:space="preserve">are </w:t>
      </w:r>
      <w:r>
        <w:t>not available at this p</w:t>
      </w:r>
      <w:r w:rsidRPr="003D5AB6">
        <w:rPr>
          <w:lang w:val="en-GB"/>
        </w:rPr>
        <w:t xml:space="preserve">oint in </w:t>
      </w:r>
      <w:r>
        <w:t>the pathway in the NHS</w:t>
      </w:r>
      <w:r w:rsidRPr="003D5AB6">
        <w:rPr>
          <w:lang w:val="en-GB"/>
        </w:rPr>
        <w:t xml:space="preserve"> and may prolong life</w:t>
      </w:r>
      <w:r>
        <w:t>.</w:t>
      </w:r>
      <w:r w:rsidRPr="003D5AB6">
        <w:rPr>
          <w:lang w:val="en-US"/>
        </w:rPr>
        <w:t xml:space="preserve"> </w:t>
      </w:r>
      <w:r>
        <w:t xml:space="preserve">The clinical experts explained that </w:t>
      </w:r>
      <w:r w:rsidR="00EC69E0">
        <w:t xml:space="preserve">in current NHS clinical practice </w:t>
      </w:r>
      <w:r>
        <w:t xml:space="preserve">there </w:t>
      </w:r>
      <w:r w:rsidRPr="003D5AB6">
        <w:rPr>
          <w:lang w:val="en-US"/>
        </w:rPr>
        <w:t>are</w:t>
      </w:r>
      <w:r>
        <w:t xml:space="preserve"> no</w:t>
      </w:r>
      <w:r>
        <w:rPr>
          <w:lang w:val="en-GB"/>
        </w:rPr>
        <w:t xml:space="preserve"> a</w:t>
      </w:r>
      <w:r w:rsidR="008955C5">
        <w:rPr>
          <w:lang w:val="en-GB"/>
        </w:rPr>
        <w:t>ctive</w:t>
      </w:r>
      <w:r>
        <w:t xml:space="preserve"> treatments </w:t>
      </w:r>
      <w:r>
        <w:rPr>
          <w:lang w:val="en-GB"/>
        </w:rPr>
        <w:t>after people have</w:t>
      </w:r>
      <w:r w:rsidRPr="003D5AB6">
        <w:rPr>
          <w:lang w:val="en-GB"/>
        </w:rPr>
        <w:t xml:space="preserve"> </w:t>
      </w:r>
      <w:r>
        <w:rPr>
          <w:lang w:val="en-GB"/>
        </w:rPr>
        <w:t>trifluridine</w:t>
      </w:r>
      <w:r w:rsidR="008955C5">
        <w:rPr>
          <w:lang w:val="en-GB"/>
        </w:rPr>
        <w:t>–</w:t>
      </w:r>
      <w:r>
        <w:rPr>
          <w:lang w:val="en-GB"/>
        </w:rPr>
        <w:t>tipiracil</w:t>
      </w:r>
      <w:r w:rsidRPr="003D5AB6">
        <w:rPr>
          <w:lang w:val="en-GB"/>
        </w:rPr>
        <w:t xml:space="preserve">. </w:t>
      </w:r>
      <w:r w:rsidR="00F47E4A">
        <w:rPr>
          <w:lang w:val="en-US"/>
        </w:rPr>
        <w:t xml:space="preserve">The committee appreciated that if the </w:t>
      </w:r>
      <w:r w:rsidR="008955C5">
        <w:rPr>
          <w:lang w:val="en-US"/>
        </w:rPr>
        <w:t xml:space="preserve">subsequent </w:t>
      </w:r>
      <w:r w:rsidR="00F47E4A">
        <w:rPr>
          <w:lang w:val="en-US"/>
        </w:rPr>
        <w:t xml:space="preserve">treatments differed by </w:t>
      </w:r>
      <w:r w:rsidR="001F3624">
        <w:rPr>
          <w:lang w:val="en-US"/>
        </w:rPr>
        <w:t xml:space="preserve">trial </w:t>
      </w:r>
      <w:r w:rsidR="00F47E4A">
        <w:rPr>
          <w:lang w:val="en-US"/>
        </w:rPr>
        <w:t xml:space="preserve">arm and prolonged life, then </w:t>
      </w:r>
      <w:r w:rsidR="001F3624">
        <w:rPr>
          <w:lang w:val="en-US"/>
        </w:rPr>
        <w:t>the</w:t>
      </w:r>
      <w:r w:rsidR="00F47E4A">
        <w:rPr>
          <w:lang w:val="en-US"/>
        </w:rPr>
        <w:t xml:space="preserve"> results </w:t>
      </w:r>
      <w:r w:rsidR="001F3624">
        <w:rPr>
          <w:lang w:val="en-US"/>
        </w:rPr>
        <w:t>of the</w:t>
      </w:r>
      <w:r w:rsidR="00F47E4A">
        <w:rPr>
          <w:lang w:val="en-US"/>
        </w:rPr>
        <w:t xml:space="preserve"> intention</w:t>
      </w:r>
      <w:r w:rsidR="008955C5">
        <w:rPr>
          <w:lang w:val="en-US"/>
        </w:rPr>
        <w:t>-</w:t>
      </w:r>
      <w:r w:rsidR="00F47E4A">
        <w:rPr>
          <w:lang w:val="en-US"/>
        </w:rPr>
        <w:t>to</w:t>
      </w:r>
      <w:r w:rsidR="008955C5">
        <w:rPr>
          <w:lang w:val="en-US"/>
        </w:rPr>
        <w:t>-</w:t>
      </w:r>
      <w:r w:rsidR="00F47E4A">
        <w:rPr>
          <w:lang w:val="en-US"/>
        </w:rPr>
        <w:t>treat analyses would not be generali</w:t>
      </w:r>
      <w:r w:rsidR="006547E8">
        <w:rPr>
          <w:lang w:val="en-US"/>
        </w:rPr>
        <w:t>s</w:t>
      </w:r>
      <w:r w:rsidR="00F47E4A">
        <w:rPr>
          <w:lang w:val="en-US"/>
        </w:rPr>
        <w:t>able to the NHS. T</w:t>
      </w:r>
      <w:r w:rsidR="00433784">
        <w:rPr>
          <w:lang w:val="en-US"/>
        </w:rPr>
        <w:t xml:space="preserve">he </w:t>
      </w:r>
      <w:r>
        <w:rPr>
          <w:lang w:val="en-GB"/>
        </w:rPr>
        <w:t xml:space="preserve">company explained </w:t>
      </w:r>
      <w:r w:rsidRPr="00331180">
        <w:rPr>
          <w:lang w:val="en-GB"/>
        </w:rPr>
        <w:t xml:space="preserve">that </w:t>
      </w:r>
      <w:r w:rsidR="00F47E4A">
        <w:rPr>
          <w:lang w:val="en-GB"/>
        </w:rPr>
        <w:t xml:space="preserve">it had not adjusted </w:t>
      </w:r>
      <w:r w:rsidR="00977B8E">
        <w:rPr>
          <w:lang w:val="en-GB"/>
        </w:rPr>
        <w:t xml:space="preserve">the </w:t>
      </w:r>
      <w:r w:rsidR="00F47E4A">
        <w:rPr>
          <w:lang w:val="en-GB"/>
        </w:rPr>
        <w:t xml:space="preserve">trial </w:t>
      </w:r>
      <w:r w:rsidR="00977B8E">
        <w:rPr>
          <w:lang w:val="en-GB"/>
        </w:rPr>
        <w:t xml:space="preserve">results </w:t>
      </w:r>
      <w:r w:rsidRPr="00F47E4A">
        <w:rPr>
          <w:lang w:val="en-GB"/>
        </w:rPr>
        <w:t>to take this into account.</w:t>
      </w:r>
      <w:r w:rsidRPr="00F47E4A">
        <w:rPr>
          <w:lang w:val="en-US"/>
        </w:rPr>
        <w:t xml:space="preserve"> </w:t>
      </w:r>
      <w:r w:rsidR="00352340">
        <w:rPr>
          <w:lang w:val="en-US"/>
        </w:rPr>
        <w:t>The committee</w:t>
      </w:r>
      <w:r w:rsidR="00352340" w:rsidRPr="00F47E4A">
        <w:rPr>
          <w:lang w:val="en-US"/>
        </w:rPr>
        <w:t xml:space="preserve"> </w:t>
      </w:r>
      <w:r w:rsidRPr="00F47E4A">
        <w:rPr>
          <w:lang w:val="en-US"/>
        </w:rPr>
        <w:t xml:space="preserve">concluded that the subsequent treatments in </w:t>
      </w:r>
      <w:r w:rsidRPr="005C5240">
        <w:rPr>
          <w:lang w:val="en-US"/>
        </w:rPr>
        <w:t>BEACON</w:t>
      </w:r>
      <w:r w:rsidR="00977B8E" w:rsidRPr="00892CFA">
        <w:rPr>
          <w:lang w:val="en-US"/>
        </w:rPr>
        <w:t xml:space="preserve"> CRC</w:t>
      </w:r>
      <w:r w:rsidRPr="00892CFA">
        <w:rPr>
          <w:lang w:val="en-US"/>
        </w:rPr>
        <w:t xml:space="preserve"> did not reflect NHS clinical practice, which made generalising the </w:t>
      </w:r>
      <w:r w:rsidR="00F47E4A">
        <w:rPr>
          <w:lang w:val="en-US"/>
        </w:rPr>
        <w:t>overall survival</w:t>
      </w:r>
      <w:r w:rsidRPr="00F47E4A">
        <w:rPr>
          <w:lang w:val="en-US"/>
        </w:rPr>
        <w:t xml:space="preserve"> </w:t>
      </w:r>
      <w:r w:rsidR="008955C5">
        <w:rPr>
          <w:lang w:val="en-US"/>
        </w:rPr>
        <w:t xml:space="preserve">results </w:t>
      </w:r>
      <w:r w:rsidRPr="00F47E4A">
        <w:rPr>
          <w:lang w:val="en-US"/>
        </w:rPr>
        <w:t>to NHS practice uncertain.</w:t>
      </w:r>
    </w:p>
    <w:p w14:paraId="41AABE6D" w14:textId="0AAC6E46" w:rsidR="00AB63E8" w:rsidRDefault="00DA172A" w:rsidP="00AB63E8">
      <w:pPr>
        <w:pStyle w:val="Heading3"/>
      </w:pPr>
      <w:r>
        <w:t>Analyses that adjust for the differences between the trial and clinical practice are needed</w:t>
      </w:r>
    </w:p>
    <w:p w14:paraId="6DB24FD5" w14:textId="10820583" w:rsidR="00502CC8" w:rsidRPr="00502CC8" w:rsidRDefault="00617982" w:rsidP="001F1179">
      <w:pPr>
        <w:pStyle w:val="Numberedlevel2text"/>
        <w:numPr>
          <w:ilvl w:val="1"/>
          <w:numId w:val="1"/>
        </w:numPr>
      </w:pPr>
      <w:r w:rsidRPr="00617982">
        <w:t xml:space="preserve">The committee noted that </w:t>
      </w:r>
      <w:r>
        <w:rPr>
          <w:lang w:val="en-GB"/>
        </w:rPr>
        <w:t xml:space="preserve">BEACON CRC </w:t>
      </w:r>
      <w:r w:rsidR="00254091">
        <w:rPr>
          <w:lang w:val="en-GB"/>
        </w:rPr>
        <w:t>d</w:t>
      </w:r>
      <w:r w:rsidR="00E36605">
        <w:rPr>
          <w:lang w:val="en-GB"/>
        </w:rPr>
        <w:t>iffered</w:t>
      </w:r>
      <w:r w:rsidR="00254091">
        <w:rPr>
          <w:lang w:val="en-GB"/>
        </w:rPr>
        <w:t xml:space="preserve"> from </w:t>
      </w:r>
      <w:r w:rsidR="006547E8">
        <w:rPr>
          <w:lang w:val="en-GB"/>
        </w:rPr>
        <w:t xml:space="preserve">current </w:t>
      </w:r>
      <w:r w:rsidR="00E43348">
        <w:rPr>
          <w:lang w:val="en-GB"/>
        </w:rPr>
        <w:t xml:space="preserve">NHS </w:t>
      </w:r>
      <w:r w:rsidR="00947765">
        <w:rPr>
          <w:lang w:val="en-GB"/>
        </w:rPr>
        <w:t xml:space="preserve">clinical </w:t>
      </w:r>
      <w:r w:rsidR="006547E8">
        <w:rPr>
          <w:lang w:val="en-GB"/>
        </w:rPr>
        <w:t>practice</w:t>
      </w:r>
      <w:r w:rsidR="00947765">
        <w:rPr>
          <w:lang w:val="en-GB"/>
        </w:rPr>
        <w:t xml:space="preserve"> because</w:t>
      </w:r>
      <w:r w:rsidR="00502CC8">
        <w:rPr>
          <w:lang w:val="en-GB"/>
        </w:rPr>
        <w:t>:</w:t>
      </w:r>
    </w:p>
    <w:p w14:paraId="63F142FC" w14:textId="1E59FAA3" w:rsidR="00502CC8" w:rsidRDefault="00617982" w:rsidP="00502CC8">
      <w:pPr>
        <w:pStyle w:val="Bulletindent1"/>
      </w:pPr>
      <w:r w:rsidRPr="00617982">
        <w:t>cetuximab</w:t>
      </w:r>
      <w:r w:rsidR="005169E5">
        <w:t xml:space="preserve"> </w:t>
      </w:r>
      <w:r w:rsidR="00947765">
        <w:t xml:space="preserve">was included </w:t>
      </w:r>
      <w:r w:rsidR="005169E5">
        <w:t>in the control arm of</w:t>
      </w:r>
      <w:r w:rsidRPr="00617982">
        <w:t xml:space="preserve"> BEACON CRC </w:t>
      </w:r>
      <w:r>
        <w:t>(see section</w:t>
      </w:r>
      <w:r w:rsidR="00E36605">
        <w:t> </w:t>
      </w:r>
      <w:r>
        <w:t>3.8)</w:t>
      </w:r>
    </w:p>
    <w:p w14:paraId="5BFE42E4" w14:textId="2A390C0F" w:rsidR="00502CC8" w:rsidRDefault="00947765" w:rsidP="00502CC8">
      <w:pPr>
        <w:pStyle w:val="Bulletindent1"/>
      </w:pPr>
      <w:r>
        <w:t>f</w:t>
      </w:r>
      <w:r w:rsidR="00991B59">
        <w:t xml:space="preserve">actors </w:t>
      </w:r>
      <w:r w:rsidR="00254091">
        <w:t>influenc</w:t>
      </w:r>
      <w:r w:rsidR="00E36605">
        <w:t>ing</w:t>
      </w:r>
      <w:r w:rsidR="00254091" w:rsidRPr="00502CC8">
        <w:t xml:space="preserve"> </w:t>
      </w:r>
      <w:r w:rsidR="00254091">
        <w:t xml:space="preserve">who </w:t>
      </w:r>
      <w:r w:rsidR="00E36605">
        <w:t>has</w:t>
      </w:r>
      <w:r w:rsidR="00254091">
        <w:t xml:space="preserve"> irinotecan </w:t>
      </w:r>
      <w:r w:rsidR="00E36605">
        <w:t>plus</w:t>
      </w:r>
      <w:r w:rsidR="00254091">
        <w:t xml:space="preserve"> cetuximab and who </w:t>
      </w:r>
      <w:r w:rsidR="00E36605">
        <w:t xml:space="preserve">has </w:t>
      </w:r>
      <w:r w:rsidR="00254091">
        <w:t>FOLFIRI</w:t>
      </w:r>
      <w:r w:rsidR="00C7433A">
        <w:t xml:space="preserve"> </w:t>
      </w:r>
      <w:r w:rsidR="00E36605">
        <w:t>plus cetuximab affect</w:t>
      </w:r>
      <w:r w:rsidR="00254091">
        <w:t xml:space="preserve"> clinical outcomes </w:t>
      </w:r>
      <w:r w:rsidR="00502CC8">
        <w:t>(see section</w:t>
      </w:r>
      <w:r w:rsidR="00E36605">
        <w:t> </w:t>
      </w:r>
      <w:r w:rsidR="00502CC8">
        <w:t>3.9)</w:t>
      </w:r>
    </w:p>
    <w:p w14:paraId="3D678C4C" w14:textId="02642963" w:rsidR="00502CC8" w:rsidRDefault="00947765" w:rsidP="00502CC8">
      <w:pPr>
        <w:pStyle w:val="Bulletindent1last"/>
      </w:pPr>
      <w:r>
        <w:t>s</w:t>
      </w:r>
      <w:r w:rsidR="00617982" w:rsidRPr="00617982">
        <w:t>ubsequent treatments in BEACON CRC d</w:t>
      </w:r>
      <w:r>
        <w:t>id</w:t>
      </w:r>
      <w:r w:rsidR="00617982" w:rsidRPr="00617982">
        <w:t xml:space="preserve"> not reflect NHS clinical practice but may extend life</w:t>
      </w:r>
      <w:r w:rsidR="00617982">
        <w:t xml:space="preserve"> (see section</w:t>
      </w:r>
      <w:r w:rsidR="006B004F">
        <w:t> </w:t>
      </w:r>
      <w:r w:rsidR="00617982">
        <w:t>3.10).</w:t>
      </w:r>
    </w:p>
    <w:p w14:paraId="587CAAA1" w14:textId="3C58AD70" w:rsidR="00AB63E8" w:rsidRPr="00D1517C" w:rsidRDefault="00617982" w:rsidP="0029267C">
      <w:pPr>
        <w:pStyle w:val="NICEnormalindented"/>
      </w:pPr>
      <w:r w:rsidRPr="00617982">
        <w:t xml:space="preserve">The committee concluded that BEACON CRC did not reflect </w:t>
      </w:r>
      <w:r w:rsidR="002275CD">
        <w:t>clinical practice in the NHS so a</w:t>
      </w:r>
      <w:r w:rsidR="002275CD" w:rsidRPr="00617982">
        <w:t>nalyses</w:t>
      </w:r>
      <w:r w:rsidR="002275CD">
        <w:t xml:space="preserve"> that attempt to adjust for these issues are needed</w:t>
      </w:r>
      <w:r w:rsidRPr="00617982">
        <w:t>,</w:t>
      </w:r>
      <w:r w:rsidR="00C7433A">
        <w:t xml:space="preserve"> but </w:t>
      </w:r>
      <w:r w:rsidR="006B004F">
        <w:t xml:space="preserve">it </w:t>
      </w:r>
      <w:r w:rsidR="00C7433A">
        <w:t xml:space="preserve">acknowledged there is limited evidence </w:t>
      </w:r>
      <w:r w:rsidR="006B004F">
        <w:t>for</w:t>
      </w:r>
      <w:r w:rsidR="00C7433A">
        <w:t xml:space="preserve"> p</w:t>
      </w:r>
      <w:r w:rsidR="001D03CB">
        <w:t>eople</w:t>
      </w:r>
      <w:r w:rsidR="00C7433A">
        <w:t xml:space="preserve"> with </w:t>
      </w:r>
      <w:r w:rsidR="00E43348">
        <w:t>BRAF V600</w:t>
      </w:r>
      <w:r w:rsidR="00172ECD">
        <w:t>E</w:t>
      </w:r>
      <w:r w:rsidR="00E43348">
        <w:t xml:space="preserve"> mutation-positive </w:t>
      </w:r>
      <w:r w:rsidR="004C555F">
        <w:t xml:space="preserve">metastatic </w:t>
      </w:r>
      <w:r w:rsidR="00C7433A">
        <w:t>colorectal cancer</w:t>
      </w:r>
      <w:r w:rsidR="00502CC8">
        <w:t>.</w:t>
      </w:r>
    </w:p>
    <w:p w14:paraId="6BFC4BA5" w14:textId="2210229E" w:rsidR="00713A7A" w:rsidRDefault="00B33114" w:rsidP="00830A33">
      <w:pPr>
        <w:pStyle w:val="Heading2"/>
      </w:pPr>
      <w:bookmarkStart w:id="15" w:name="_Hlk48152870"/>
      <w:r>
        <w:t>Indirect comparison</w:t>
      </w:r>
      <w:r w:rsidR="00713A7A">
        <w:t xml:space="preserve"> of encorafenib </w:t>
      </w:r>
      <w:r w:rsidR="00FA0733">
        <w:t>plus</w:t>
      </w:r>
      <w:r w:rsidR="00713A7A">
        <w:t xml:space="preserve"> cetuximab with FOLFIRI</w:t>
      </w:r>
    </w:p>
    <w:bookmarkEnd w:id="15"/>
    <w:p w14:paraId="48EEF912" w14:textId="7FA173CD" w:rsidR="00713A7A" w:rsidRDefault="00F37FAA" w:rsidP="00A115B3">
      <w:pPr>
        <w:pStyle w:val="Heading3"/>
      </w:pPr>
      <w:r>
        <w:t>Cetuximab and panitumumab are equally effective</w:t>
      </w:r>
    </w:p>
    <w:p w14:paraId="12D5F265" w14:textId="48DB6640" w:rsidR="00713A7A" w:rsidRDefault="00713A7A" w:rsidP="00713A7A">
      <w:pPr>
        <w:pStyle w:val="Numberedlevel2text"/>
        <w:numPr>
          <w:ilvl w:val="1"/>
          <w:numId w:val="1"/>
        </w:numPr>
      </w:pPr>
      <w:r>
        <w:rPr>
          <w:lang w:val="en-GB"/>
        </w:rPr>
        <w:t>The committee recalled that t</w:t>
      </w:r>
      <w:r>
        <w:t xml:space="preserve">here </w:t>
      </w:r>
      <w:r w:rsidR="00FA0733">
        <w:rPr>
          <w:lang w:val="en-GB"/>
        </w:rPr>
        <w:t>were</w:t>
      </w:r>
      <w:r>
        <w:t xml:space="preserve"> no data </w:t>
      </w:r>
      <w:r w:rsidR="00FA0733">
        <w:rPr>
          <w:lang w:val="en-GB"/>
        </w:rPr>
        <w:t xml:space="preserve">directly </w:t>
      </w:r>
      <w:r>
        <w:t xml:space="preserve">comparing </w:t>
      </w:r>
      <w:r>
        <w:rPr>
          <w:bCs w:val="0"/>
        </w:rPr>
        <w:t xml:space="preserve">encorafenib </w:t>
      </w:r>
      <w:r w:rsidR="00FA0733">
        <w:rPr>
          <w:bCs w:val="0"/>
          <w:lang w:val="en-GB"/>
        </w:rPr>
        <w:t>plus</w:t>
      </w:r>
      <w:r>
        <w:rPr>
          <w:bCs w:val="0"/>
        </w:rPr>
        <w:t xml:space="preserve"> cetuximab </w:t>
      </w:r>
      <w:r w:rsidR="00FA0733">
        <w:rPr>
          <w:bCs w:val="0"/>
          <w:lang w:val="en-GB"/>
        </w:rPr>
        <w:t>with</w:t>
      </w:r>
      <w:r>
        <w:t xml:space="preserve"> FOLFIRI</w:t>
      </w:r>
      <w:r>
        <w:rPr>
          <w:bCs w:val="0"/>
          <w:lang w:val="en-GB"/>
        </w:rPr>
        <w:t>,</w:t>
      </w:r>
      <w:r>
        <w:rPr>
          <w:bCs w:val="0"/>
        </w:rPr>
        <w:t xml:space="preserve"> trifluridine</w:t>
      </w:r>
      <w:r w:rsidR="00FA0733">
        <w:rPr>
          <w:bCs w:val="0"/>
          <w:lang w:val="en-GB"/>
        </w:rPr>
        <w:t>–</w:t>
      </w:r>
      <w:r>
        <w:rPr>
          <w:bCs w:val="0"/>
        </w:rPr>
        <w:t>tipiracil or best supportive care</w:t>
      </w:r>
      <w:r>
        <w:rPr>
          <w:bCs w:val="0"/>
          <w:lang w:val="en-GB"/>
        </w:rPr>
        <w:t>.</w:t>
      </w:r>
      <w:r>
        <w:t xml:space="preserve"> To estimate the relative efficacy of encorafenib </w:t>
      </w:r>
      <w:r w:rsidR="00FA0733">
        <w:rPr>
          <w:lang w:val="en-GB"/>
        </w:rPr>
        <w:t>plus</w:t>
      </w:r>
      <w:r w:rsidR="00DD1173">
        <w:t xml:space="preserve"> </w:t>
      </w:r>
      <w:r>
        <w:lastRenderedPageBreak/>
        <w:t xml:space="preserve">cetuximab compared with FOLFIRI, the company </w:t>
      </w:r>
      <w:r w:rsidR="00FA0733">
        <w:rPr>
          <w:lang w:val="en-GB"/>
        </w:rPr>
        <w:t>did</w:t>
      </w:r>
      <w:r>
        <w:t xml:space="preserve"> an indirect treatment comparison using data from BEACON CRC and data from a sub</w:t>
      </w:r>
      <w:r w:rsidR="00B21DFF">
        <w:rPr>
          <w:lang w:val="en-GB"/>
        </w:rPr>
        <w:t>group</w:t>
      </w:r>
      <w:r>
        <w:t xml:space="preserve"> of </w:t>
      </w:r>
      <w:r w:rsidR="00B21DFF">
        <w:rPr>
          <w:lang w:val="en-GB"/>
        </w:rPr>
        <w:t>p</w:t>
      </w:r>
      <w:r w:rsidR="001D03CB">
        <w:rPr>
          <w:lang w:val="en-GB"/>
        </w:rPr>
        <w:t>eople</w:t>
      </w:r>
      <w:r w:rsidR="00B21DFF">
        <w:rPr>
          <w:lang w:val="en-GB"/>
        </w:rPr>
        <w:t xml:space="preserve"> with </w:t>
      </w:r>
      <w:r>
        <w:t>BRAF</w:t>
      </w:r>
      <w:r w:rsidR="00B21DFF">
        <w:rPr>
          <w:lang w:val="en-GB"/>
        </w:rPr>
        <w:t>-</w:t>
      </w:r>
      <w:r>
        <w:t xml:space="preserve">positive </w:t>
      </w:r>
      <w:r w:rsidR="00B21DFF">
        <w:rPr>
          <w:lang w:val="en-GB"/>
        </w:rPr>
        <w:t>metastatic colorectal cancer</w:t>
      </w:r>
      <w:r>
        <w:t xml:space="preserve"> </w:t>
      </w:r>
      <w:r w:rsidR="00CA79A4">
        <w:rPr>
          <w:lang w:val="en-GB"/>
        </w:rPr>
        <w:t xml:space="preserve">from </w:t>
      </w:r>
      <w:r>
        <w:t>Peeters et al</w:t>
      </w:r>
      <w:r w:rsidR="00046A1D">
        <w:rPr>
          <w:lang w:val="en-GB"/>
        </w:rPr>
        <w:t>.</w:t>
      </w:r>
      <w:r>
        <w:t xml:space="preserve"> 2010</w:t>
      </w:r>
      <w:r w:rsidR="00FA0733">
        <w:rPr>
          <w:lang w:val="en-GB"/>
        </w:rPr>
        <w:t xml:space="preserve"> </w:t>
      </w:r>
      <w:r w:rsidR="00113AFE">
        <w:rPr>
          <w:lang w:val="en-GB"/>
        </w:rPr>
        <w:t>to</w:t>
      </w:r>
      <w:r w:rsidR="00FA0733">
        <w:rPr>
          <w:lang w:val="en-GB"/>
        </w:rPr>
        <w:t xml:space="preserve"> </w:t>
      </w:r>
      <w:r>
        <w:t>2015</w:t>
      </w:r>
      <w:r w:rsidR="00FA0733">
        <w:rPr>
          <w:lang w:val="en-GB"/>
        </w:rPr>
        <w:t>.</w:t>
      </w:r>
      <w:r w:rsidR="00046A1D">
        <w:rPr>
          <w:lang w:val="en-GB"/>
        </w:rPr>
        <w:t xml:space="preserve"> </w:t>
      </w:r>
      <w:r w:rsidR="00B21DFF">
        <w:rPr>
          <w:lang w:val="en-GB"/>
        </w:rPr>
        <w:t>Peeters et al.</w:t>
      </w:r>
      <w:r w:rsidR="00FA0733">
        <w:rPr>
          <w:lang w:val="en-GB"/>
        </w:rPr>
        <w:t xml:space="preserve"> was </w:t>
      </w:r>
      <w:r w:rsidR="00046A1D">
        <w:rPr>
          <w:lang w:val="en-GB"/>
        </w:rPr>
        <w:t xml:space="preserve">a </w:t>
      </w:r>
      <w:r w:rsidR="00531B39">
        <w:rPr>
          <w:lang w:val="en-GB"/>
        </w:rPr>
        <w:t xml:space="preserve">randomised controlled </w:t>
      </w:r>
      <w:r w:rsidR="00046A1D">
        <w:rPr>
          <w:lang w:val="en-GB"/>
        </w:rPr>
        <w:t>trial compar</w:t>
      </w:r>
      <w:r w:rsidR="00B21DFF">
        <w:rPr>
          <w:lang w:val="en-GB"/>
        </w:rPr>
        <w:t>ing</w:t>
      </w:r>
      <w:r w:rsidR="00046A1D">
        <w:rPr>
          <w:lang w:val="en-GB"/>
        </w:rPr>
        <w:t xml:space="preserve"> </w:t>
      </w:r>
      <w:r w:rsidR="005C5240">
        <w:rPr>
          <w:lang w:val="en-GB"/>
        </w:rPr>
        <w:t>FOLFIRI alone</w:t>
      </w:r>
      <w:r w:rsidR="00046A1D">
        <w:rPr>
          <w:lang w:val="en-GB"/>
        </w:rPr>
        <w:t xml:space="preserve"> </w:t>
      </w:r>
      <w:r w:rsidR="005C5240">
        <w:rPr>
          <w:lang w:val="en-GB"/>
        </w:rPr>
        <w:t>with FOLFIRI</w:t>
      </w:r>
      <w:r w:rsidR="001A7010">
        <w:rPr>
          <w:lang w:val="en-GB"/>
        </w:rPr>
        <w:t xml:space="preserve"> </w:t>
      </w:r>
      <w:r w:rsidR="00B21DFF">
        <w:rPr>
          <w:lang w:val="en-GB"/>
        </w:rPr>
        <w:t>plus</w:t>
      </w:r>
      <w:r w:rsidR="005C5240">
        <w:rPr>
          <w:lang w:val="en-GB"/>
        </w:rPr>
        <w:t xml:space="preserve"> panitum</w:t>
      </w:r>
      <w:r w:rsidR="00531B39">
        <w:rPr>
          <w:lang w:val="en-GB"/>
        </w:rPr>
        <w:t>um</w:t>
      </w:r>
      <w:r w:rsidR="005C5240">
        <w:rPr>
          <w:lang w:val="en-GB"/>
        </w:rPr>
        <w:t xml:space="preserve">ab </w:t>
      </w:r>
      <w:r w:rsidR="00046A1D">
        <w:rPr>
          <w:lang w:val="en-GB"/>
        </w:rPr>
        <w:t xml:space="preserve">in people </w:t>
      </w:r>
      <w:r w:rsidR="005D1AEF">
        <w:rPr>
          <w:lang w:val="en-GB"/>
        </w:rPr>
        <w:t xml:space="preserve">with </w:t>
      </w:r>
      <w:r w:rsidR="00531B39">
        <w:rPr>
          <w:lang w:val="en-GB"/>
        </w:rPr>
        <w:t>metastatic colorectal cancer</w:t>
      </w:r>
      <w:r w:rsidR="00046A1D">
        <w:rPr>
          <w:lang w:val="en-GB"/>
        </w:rPr>
        <w:t xml:space="preserve">. </w:t>
      </w:r>
      <w:r>
        <w:t xml:space="preserve">There </w:t>
      </w:r>
      <w:r w:rsidR="00B21DFF">
        <w:rPr>
          <w:lang w:val="en-GB"/>
        </w:rPr>
        <w:t>were</w:t>
      </w:r>
      <w:r>
        <w:t xml:space="preserve"> no common comparators between these </w:t>
      </w:r>
      <w:r w:rsidR="00B21DFF">
        <w:rPr>
          <w:lang w:val="en-GB"/>
        </w:rPr>
        <w:t>2 </w:t>
      </w:r>
      <w:r w:rsidR="00046A1D">
        <w:rPr>
          <w:lang w:val="en-GB"/>
        </w:rPr>
        <w:t>trials</w:t>
      </w:r>
      <w:r w:rsidR="007865F3">
        <w:rPr>
          <w:lang w:val="en-GB"/>
        </w:rPr>
        <w:t xml:space="preserve">, </w:t>
      </w:r>
      <w:r w:rsidR="005919F4">
        <w:rPr>
          <w:lang w:val="en-GB"/>
        </w:rPr>
        <w:t>so assumption</w:t>
      </w:r>
      <w:r w:rsidR="00BC5805">
        <w:rPr>
          <w:lang w:val="en-GB"/>
        </w:rPr>
        <w:t>s</w:t>
      </w:r>
      <w:r w:rsidR="005919F4">
        <w:rPr>
          <w:lang w:val="en-GB"/>
        </w:rPr>
        <w:t xml:space="preserve"> were needed. T</w:t>
      </w:r>
      <w:r w:rsidR="005D1AEF">
        <w:rPr>
          <w:lang w:val="en-GB"/>
        </w:rPr>
        <w:t>he control arm of BEACON</w:t>
      </w:r>
      <w:r w:rsidR="00531B39">
        <w:rPr>
          <w:lang w:val="en-GB"/>
        </w:rPr>
        <w:t xml:space="preserve"> CRC</w:t>
      </w:r>
      <w:r w:rsidR="005D1AEF">
        <w:rPr>
          <w:lang w:val="en-GB"/>
        </w:rPr>
        <w:t xml:space="preserve"> (</w:t>
      </w:r>
      <w:r w:rsidR="00B21DFF">
        <w:rPr>
          <w:lang w:val="en-GB"/>
        </w:rPr>
        <w:t xml:space="preserve">investigator’s </w:t>
      </w:r>
      <w:r w:rsidR="005D1AEF">
        <w:rPr>
          <w:lang w:val="en-GB"/>
        </w:rPr>
        <w:t>choice of either FOLFIRI or irinotecan</w:t>
      </w:r>
      <w:r w:rsidR="007865F3">
        <w:rPr>
          <w:lang w:val="en-GB"/>
        </w:rPr>
        <w:t>,</w:t>
      </w:r>
      <w:r w:rsidR="005D1AEF">
        <w:rPr>
          <w:lang w:val="en-GB"/>
        </w:rPr>
        <w:t xml:space="preserve"> both </w:t>
      </w:r>
      <w:r w:rsidR="00B21DFF">
        <w:rPr>
          <w:lang w:val="en-GB"/>
        </w:rPr>
        <w:t>plus</w:t>
      </w:r>
      <w:r w:rsidR="005D1AEF">
        <w:rPr>
          <w:lang w:val="en-GB"/>
        </w:rPr>
        <w:t xml:space="preserve"> cetuximab) would have to be considered equivalent to the treatment arm </w:t>
      </w:r>
      <w:r w:rsidR="00B21DFF">
        <w:rPr>
          <w:lang w:val="en-GB"/>
        </w:rPr>
        <w:t>in</w:t>
      </w:r>
      <w:r w:rsidR="005D1AEF">
        <w:rPr>
          <w:lang w:val="en-GB"/>
        </w:rPr>
        <w:t xml:space="preserve"> Peeters et al. (FOLFIRI </w:t>
      </w:r>
      <w:r w:rsidR="00B21DFF">
        <w:rPr>
          <w:lang w:val="en-GB"/>
        </w:rPr>
        <w:t>plus</w:t>
      </w:r>
      <w:r w:rsidR="005D1AEF">
        <w:rPr>
          <w:lang w:val="en-GB"/>
        </w:rPr>
        <w:t xml:space="preserve"> panit</w:t>
      </w:r>
      <w:r w:rsidR="00531B39">
        <w:rPr>
          <w:lang w:val="en-GB"/>
        </w:rPr>
        <w:t>umu</w:t>
      </w:r>
      <w:r w:rsidR="005D1AEF">
        <w:rPr>
          <w:lang w:val="en-GB"/>
        </w:rPr>
        <w:t xml:space="preserve">mab). </w:t>
      </w:r>
      <w:r>
        <w:t xml:space="preserve">The </w:t>
      </w:r>
      <w:r>
        <w:rPr>
          <w:lang w:val="en-GB"/>
        </w:rPr>
        <w:t>indirect treatment comparison</w:t>
      </w:r>
      <w:r>
        <w:t xml:space="preserve"> was possible </w:t>
      </w:r>
      <w:r w:rsidR="00046A1D">
        <w:t xml:space="preserve">only </w:t>
      </w:r>
      <w:r>
        <w:t>by assum</w:t>
      </w:r>
      <w:r w:rsidR="004C555F">
        <w:rPr>
          <w:lang w:val="en-GB"/>
        </w:rPr>
        <w:t>ing</w:t>
      </w:r>
      <w:r w:rsidR="00454F30">
        <w:rPr>
          <w:lang w:val="en-GB"/>
        </w:rPr>
        <w:t xml:space="preserve"> equal efficacy for</w:t>
      </w:r>
      <w:r>
        <w:t>:</w:t>
      </w:r>
    </w:p>
    <w:p w14:paraId="34C0D1C7" w14:textId="1104C570" w:rsidR="00713A7A" w:rsidRDefault="00713A7A" w:rsidP="00083AB8">
      <w:pPr>
        <w:pStyle w:val="Bulletindent1"/>
      </w:pPr>
      <w:r>
        <w:t xml:space="preserve">cetuximab and </w:t>
      </w:r>
      <w:r w:rsidRPr="00083AB8">
        <w:t>panitumumab</w:t>
      </w:r>
    </w:p>
    <w:p w14:paraId="643C84E6" w14:textId="16DB24F1" w:rsidR="00713A7A" w:rsidRDefault="00713A7A" w:rsidP="00C37807">
      <w:pPr>
        <w:pStyle w:val="Bulletindent1last"/>
      </w:pPr>
      <w:r>
        <w:t>FOLFIRI and irinotecan</w:t>
      </w:r>
      <w:r w:rsidR="00083AB8">
        <w:t>.</w:t>
      </w:r>
    </w:p>
    <w:p w14:paraId="00C361F2" w14:textId="42C99D95" w:rsidR="00713A7A" w:rsidRDefault="00713A7A" w:rsidP="00F81EF6">
      <w:pPr>
        <w:pStyle w:val="Numberedlevel2text"/>
        <w:numPr>
          <w:ilvl w:val="0"/>
          <w:numId w:val="0"/>
        </w:numPr>
        <w:ind w:left="1134"/>
        <w:rPr>
          <w:lang w:val="en-GB"/>
        </w:rPr>
      </w:pPr>
      <w:r>
        <w:rPr>
          <w:lang w:val="en-GB"/>
        </w:rPr>
        <w:t>The committee recalled the conclusion from</w:t>
      </w:r>
      <w:r w:rsidRPr="00CF19D9">
        <w:rPr>
          <w:lang w:val="en-GB"/>
        </w:rPr>
        <w:t xml:space="preserve"> </w:t>
      </w:r>
      <w:hyperlink r:id="rId17" w:history="1">
        <w:r w:rsidR="003D77F3">
          <w:rPr>
            <w:rStyle w:val="Hyperlink"/>
            <w:lang w:val="en-GB"/>
          </w:rPr>
          <w:t>NICE’s technology appraisal guidance on cetuximab and panitumumab</w:t>
        </w:r>
      </w:hyperlink>
      <w:r>
        <w:rPr>
          <w:lang w:val="en-GB"/>
        </w:rPr>
        <w:t xml:space="preserve"> that </w:t>
      </w:r>
      <w:r w:rsidRPr="00F81EF6">
        <w:rPr>
          <w:lang w:val="en-GB"/>
        </w:rPr>
        <w:t>cetuximab and panitumumab were likely to have similar effectiveness in treating RAS wild-type metastatic colorectal cancer</w:t>
      </w:r>
      <w:r w:rsidR="00083AB8">
        <w:rPr>
          <w:lang w:val="en-GB"/>
        </w:rPr>
        <w:t>.</w:t>
      </w:r>
      <w:r w:rsidR="007C394C">
        <w:rPr>
          <w:lang w:val="en-GB"/>
        </w:rPr>
        <w:t xml:space="preserve"> </w:t>
      </w:r>
      <w:r w:rsidR="00083AB8">
        <w:rPr>
          <w:lang w:val="en-GB"/>
        </w:rPr>
        <w:t>B</w:t>
      </w:r>
      <w:r w:rsidR="007C394C">
        <w:rPr>
          <w:lang w:val="en-GB"/>
        </w:rPr>
        <w:t xml:space="preserve">ut </w:t>
      </w:r>
      <w:r w:rsidR="00083AB8">
        <w:rPr>
          <w:lang w:val="en-GB"/>
        </w:rPr>
        <w:t xml:space="preserve">the committee </w:t>
      </w:r>
      <w:r w:rsidR="007C394C">
        <w:rPr>
          <w:lang w:val="en-GB"/>
        </w:rPr>
        <w:t xml:space="preserve">recognised </w:t>
      </w:r>
      <w:r w:rsidR="00083AB8">
        <w:rPr>
          <w:lang w:val="en-GB"/>
        </w:rPr>
        <w:t xml:space="preserve">that </w:t>
      </w:r>
      <w:r w:rsidR="007C394C">
        <w:rPr>
          <w:lang w:val="en-GB"/>
        </w:rPr>
        <w:t>the population in this appraisal has the BRAF</w:t>
      </w:r>
      <w:r w:rsidR="00083AB8">
        <w:rPr>
          <w:lang w:val="en-GB"/>
        </w:rPr>
        <w:t xml:space="preserve"> </w:t>
      </w:r>
      <w:r w:rsidR="007C394C">
        <w:rPr>
          <w:lang w:val="en-GB"/>
        </w:rPr>
        <w:t>mutation</w:t>
      </w:r>
      <w:r>
        <w:rPr>
          <w:lang w:val="en-GB"/>
        </w:rPr>
        <w:t xml:space="preserve">. The clinical experts and </w:t>
      </w:r>
      <w:r>
        <w:t>NHS England’s</w:t>
      </w:r>
      <w:r>
        <w:rPr>
          <w:lang w:val="en-GB"/>
        </w:rPr>
        <w:t xml:space="preserve"> </w:t>
      </w:r>
      <w:r>
        <w:t>clinical lead for the Cancer Drugs Fund</w:t>
      </w:r>
      <w:r>
        <w:rPr>
          <w:lang w:val="en-GB"/>
        </w:rPr>
        <w:t xml:space="preserve"> explained that cetuximab and panitumumab should be considered clinically equivalent in the </w:t>
      </w:r>
      <w:r w:rsidR="00083AB8">
        <w:rPr>
          <w:lang w:val="en-GB"/>
        </w:rPr>
        <w:t xml:space="preserve">population </w:t>
      </w:r>
      <w:r w:rsidR="00F37FAA">
        <w:rPr>
          <w:lang w:val="en-GB"/>
        </w:rPr>
        <w:t>w</w:t>
      </w:r>
      <w:r w:rsidR="00083AB8">
        <w:rPr>
          <w:lang w:val="en-GB"/>
        </w:rPr>
        <w:t>ith BRAF mutation-positive disease</w:t>
      </w:r>
      <w:r>
        <w:rPr>
          <w:lang w:val="en-GB"/>
        </w:rPr>
        <w:t>, not</w:t>
      </w:r>
      <w:r w:rsidR="007C394C">
        <w:rPr>
          <w:lang w:val="en-GB"/>
        </w:rPr>
        <w:t>ing</w:t>
      </w:r>
      <w:r>
        <w:rPr>
          <w:lang w:val="en-GB"/>
        </w:rPr>
        <w:t xml:space="preserve"> that there are differences in toxicit</w:t>
      </w:r>
      <w:r w:rsidR="00F37FAA">
        <w:rPr>
          <w:lang w:val="en-GB"/>
        </w:rPr>
        <w:t>y between the 2 drugs</w:t>
      </w:r>
      <w:r>
        <w:rPr>
          <w:lang w:val="en-GB"/>
        </w:rPr>
        <w:t>. The committee</w:t>
      </w:r>
      <w:r w:rsidR="005D1AEF">
        <w:rPr>
          <w:lang w:val="en-GB"/>
        </w:rPr>
        <w:t xml:space="preserve"> </w:t>
      </w:r>
      <w:r>
        <w:rPr>
          <w:lang w:val="en-GB"/>
        </w:rPr>
        <w:t xml:space="preserve">concluded that </w:t>
      </w:r>
      <w:r w:rsidR="00046A1D">
        <w:rPr>
          <w:lang w:val="en-GB"/>
        </w:rPr>
        <w:t xml:space="preserve">cetuximab and </w:t>
      </w:r>
      <w:r w:rsidR="00046A1D">
        <w:t>panitumumab</w:t>
      </w:r>
      <w:r w:rsidR="00046A1D">
        <w:rPr>
          <w:lang w:val="en-GB"/>
        </w:rPr>
        <w:t xml:space="preserve"> were equally effective</w:t>
      </w:r>
      <w:r>
        <w:rPr>
          <w:lang w:val="en-GB"/>
        </w:rPr>
        <w:t>.</w:t>
      </w:r>
    </w:p>
    <w:p w14:paraId="3376F745" w14:textId="736945CD" w:rsidR="00B33114" w:rsidRDefault="00426C37" w:rsidP="00A01BC3">
      <w:pPr>
        <w:pStyle w:val="Heading3"/>
      </w:pPr>
      <w:r>
        <w:t xml:space="preserve">It is unclear whether </w:t>
      </w:r>
      <w:r w:rsidR="00B33114">
        <w:t>FOLFIRI and irinotecan are equally effective</w:t>
      </w:r>
      <w:r w:rsidR="00353611">
        <w:t>,</w:t>
      </w:r>
      <w:r w:rsidR="00B33114">
        <w:t xml:space="preserve"> </w:t>
      </w:r>
      <w:r w:rsidR="004E366E">
        <w:t>so</w:t>
      </w:r>
      <w:r w:rsidR="00B33114">
        <w:t xml:space="preserve"> the </w:t>
      </w:r>
      <w:r>
        <w:t>results of the indirect comparison are uncertain</w:t>
      </w:r>
    </w:p>
    <w:p w14:paraId="77883284" w14:textId="0668E10E" w:rsidR="00713A7A" w:rsidRDefault="00713A7A" w:rsidP="00A01BC3">
      <w:pPr>
        <w:pStyle w:val="Numberedlevel2text"/>
      </w:pPr>
      <w:r>
        <w:rPr>
          <w:lang w:val="en-GB"/>
        </w:rPr>
        <w:t xml:space="preserve">The committee </w:t>
      </w:r>
      <w:r w:rsidR="001F6C92">
        <w:rPr>
          <w:lang w:val="en-GB"/>
        </w:rPr>
        <w:t>considered</w:t>
      </w:r>
      <w:r>
        <w:rPr>
          <w:lang w:val="en-GB"/>
        </w:rPr>
        <w:t xml:space="preserve"> </w:t>
      </w:r>
      <w:r w:rsidR="00B33114">
        <w:rPr>
          <w:lang w:val="en-GB"/>
        </w:rPr>
        <w:t>whether</w:t>
      </w:r>
      <w:r>
        <w:rPr>
          <w:lang w:val="en-GB"/>
        </w:rPr>
        <w:t xml:space="preserve"> FOLFIRI and irinotecan</w:t>
      </w:r>
      <w:r w:rsidR="00B33114">
        <w:rPr>
          <w:lang w:val="en-GB"/>
        </w:rPr>
        <w:t xml:space="preserve"> were equally effective.</w:t>
      </w:r>
      <w:r>
        <w:rPr>
          <w:lang w:val="en-GB"/>
        </w:rPr>
        <w:t xml:space="preserve"> </w:t>
      </w:r>
      <w:r w:rsidR="00B33114">
        <w:rPr>
          <w:lang w:val="en-GB"/>
        </w:rPr>
        <w:t>T</w:t>
      </w:r>
      <w:r>
        <w:rPr>
          <w:lang w:val="en-GB"/>
        </w:rPr>
        <w:t>he company cited data from 2</w:t>
      </w:r>
      <w:r w:rsidR="00B33114">
        <w:rPr>
          <w:lang w:val="en-GB"/>
        </w:rPr>
        <w:t> </w:t>
      </w:r>
      <w:r>
        <w:rPr>
          <w:lang w:val="en-GB"/>
        </w:rPr>
        <w:t xml:space="preserve">clinical trials to support </w:t>
      </w:r>
      <w:r w:rsidR="007C394C">
        <w:rPr>
          <w:lang w:val="en-GB"/>
        </w:rPr>
        <w:t>this</w:t>
      </w:r>
      <w:r>
        <w:rPr>
          <w:lang w:val="en-GB"/>
        </w:rPr>
        <w:t xml:space="preserve">. The ERG highlighted that </w:t>
      </w:r>
      <w:r w:rsidR="007F1E42">
        <w:rPr>
          <w:lang w:val="en-GB"/>
        </w:rPr>
        <w:t xml:space="preserve">the trials were </w:t>
      </w:r>
      <w:r w:rsidR="00743C36">
        <w:rPr>
          <w:lang w:val="en-GB"/>
        </w:rPr>
        <w:t>done</w:t>
      </w:r>
      <w:r w:rsidR="007F1E42">
        <w:rPr>
          <w:lang w:val="en-GB"/>
        </w:rPr>
        <w:t xml:space="preserve"> in patients with unknown </w:t>
      </w:r>
      <w:r>
        <w:rPr>
          <w:lang w:val="en-GB"/>
        </w:rPr>
        <w:t>BRAF</w:t>
      </w:r>
      <w:r w:rsidR="007F1E42">
        <w:rPr>
          <w:lang w:val="en-GB"/>
        </w:rPr>
        <w:t xml:space="preserve"> mutation </w:t>
      </w:r>
      <w:r w:rsidR="005919F4">
        <w:rPr>
          <w:lang w:val="en-GB"/>
        </w:rPr>
        <w:t>status</w:t>
      </w:r>
      <w:r>
        <w:rPr>
          <w:lang w:val="en-GB"/>
        </w:rPr>
        <w:t xml:space="preserve">, so applying </w:t>
      </w:r>
      <w:r w:rsidR="00000E7E">
        <w:rPr>
          <w:lang w:val="en-GB"/>
        </w:rPr>
        <w:t xml:space="preserve">the </w:t>
      </w:r>
      <w:r>
        <w:rPr>
          <w:lang w:val="en-GB"/>
        </w:rPr>
        <w:t xml:space="preserve">results to this population increased the </w:t>
      </w:r>
      <w:r>
        <w:rPr>
          <w:lang w:val="en-GB"/>
        </w:rPr>
        <w:lastRenderedPageBreak/>
        <w:t xml:space="preserve">uncertainty of the indirect treatment comparison. The </w:t>
      </w:r>
      <w:r w:rsidRPr="00F81EF6">
        <w:t xml:space="preserve">committee </w:t>
      </w:r>
      <w:r w:rsidR="00031A51">
        <w:rPr>
          <w:lang w:val="en-GB"/>
        </w:rPr>
        <w:t>was</w:t>
      </w:r>
      <w:r w:rsidR="00031A51" w:rsidRPr="00F81EF6">
        <w:t xml:space="preserve"> </w:t>
      </w:r>
      <w:r w:rsidRPr="00F81EF6">
        <w:t>concerned that assum</w:t>
      </w:r>
      <w:r w:rsidR="00656753">
        <w:rPr>
          <w:lang w:val="en-GB"/>
        </w:rPr>
        <w:t>ing</w:t>
      </w:r>
      <w:r w:rsidRPr="00F81EF6">
        <w:t xml:space="preserve"> equivalen</w:t>
      </w:r>
      <w:r w:rsidR="00656753">
        <w:rPr>
          <w:lang w:val="en-GB"/>
        </w:rPr>
        <w:t>t effectiveness</w:t>
      </w:r>
      <w:r w:rsidRPr="00F81EF6">
        <w:t xml:space="preserve"> for FOLFIRI and irinotecan was unproven</w:t>
      </w:r>
      <w:r>
        <w:rPr>
          <w:lang w:val="en-GB"/>
        </w:rPr>
        <w:t xml:space="preserve">. It considered </w:t>
      </w:r>
      <w:r w:rsidR="003D77F3">
        <w:rPr>
          <w:lang w:val="en-GB"/>
        </w:rPr>
        <w:t xml:space="preserve">overall survival </w:t>
      </w:r>
      <w:r>
        <w:rPr>
          <w:lang w:val="en-GB"/>
        </w:rPr>
        <w:t xml:space="preserve">data from the BEACON CRC control arm split by treatment received (either irinotecan </w:t>
      </w:r>
      <w:r w:rsidR="005532BA">
        <w:rPr>
          <w:lang w:val="en-GB"/>
        </w:rPr>
        <w:t>plus</w:t>
      </w:r>
      <w:r>
        <w:rPr>
          <w:lang w:val="en-GB"/>
        </w:rPr>
        <w:t xml:space="preserve"> cetuximab or FOLFIRI </w:t>
      </w:r>
      <w:r w:rsidR="005532BA">
        <w:rPr>
          <w:lang w:val="en-GB"/>
        </w:rPr>
        <w:t>plus</w:t>
      </w:r>
      <w:r>
        <w:rPr>
          <w:lang w:val="en-GB"/>
        </w:rPr>
        <w:t xml:space="preserve"> cetuximab). It </w:t>
      </w:r>
      <w:r w:rsidR="00CE390F">
        <w:rPr>
          <w:lang w:val="en-GB"/>
        </w:rPr>
        <w:t xml:space="preserve">noted </w:t>
      </w:r>
      <w:r>
        <w:rPr>
          <w:lang w:val="en-GB"/>
        </w:rPr>
        <w:t>there were p</w:t>
      </w:r>
      <w:r w:rsidRPr="00F81EF6">
        <w:t xml:space="preserve">otential differences in outcomes </w:t>
      </w:r>
      <w:r>
        <w:rPr>
          <w:lang w:val="en-GB"/>
        </w:rPr>
        <w:t>between these treatment arms</w:t>
      </w:r>
      <w:r w:rsidR="00892CFA">
        <w:rPr>
          <w:lang w:val="en-GB"/>
        </w:rPr>
        <w:t>,</w:t>
      </w:r>
      <w:r>
        <w:rPr>
          <w:lang w:val="en-GB"/>
        </w:rPr>
        <w:t xml:space="preserve"> but no formal statistical analysis had been </w:t>
      </w:r>
      <w:r w:rsidR="005532BA">
        <w:rPr>
          <w:lang w:val="en-GB"/>
        </w:rPr>
        <w:t>done</w:t>
      </w:r>
      <w:r>
        <w:rPr>
          <w:lang w:val="en-GB"/>
        </w:rPr>
        <w:t xml:space="preserve">. </w:t>
      </w:r>
      <w:r>
        <w:t xml:space="preserve">The </w:t>
      </w:r>
      <w:r>
        <w:rPr>
          <w:lang w:val="en-GB"/>
        </w:rPr>
        <w:t xml:space="preserve">committee </w:t>
      </w:r>
      <w:r w:rsidR="007C394C">
        <w:rPr>
          <w:lang w:val="en-GB"/>
        </w:rPr>
        <w:t xml:space="preserve">was aware of </w:t>
      </w:r>
      <w:r>
        <w:rPr>
          <w:lang w:val="en-GB"/>
        </w:rPr>
        <w:t xml:space="preserve">the </w:t>
      </w:r>
      <w:r>
        <w:t xml:space="preserve">lack of randomisation </w:t>
      </w:r>
      <w:r>
        <w:rPr>
          <w:lang w:val="en-GB"/>
        </w:rPr>
        <w:t xml:space="preserve">in the control arm </w:t>
      </w:r>
      <w:r>
        <w:t>and us</w:t>
      </w:r>
      <w:r w:rsidR="00CE390F">
        <w:rPr>
          <w:lang w:val="en-GB"/>
        </w:rPr>
        <w:t>ing the</w:t>
      </w:r>
      <w:r>
        <w:t xml:space="preserve"> </w:t>
      </w:r>
      <w:r w:rsidR="00CE390F">
        <w:rPr>
          <w:lang w:val="en-GB"/>
        </w:rPr>
        <w:t>investigator’s</w:t>
      </w:r>
      <w:r w:rsidR="00CE390F">
        <w:t xml:space="preserve"> </w:t>
      </w:r>
      <w:r>
        <w:t>choice for the comparator treatment</w:t>
      </w:r>
      <w:r w:rsidR="007C394C">
        <w:rPr>
          <w:lang w:val="en-GB"/>
        </w:rPr>
        <w:t>. It considered that there appeared to be</w:t>
      </w:r>
      <w:r w:rsidR="007C394C" w:rsidRPr="00F81EF6">
        <w:t xml:space="preserve"> differences in </w:t>
      </w:r>
      <w:r w:rsidR="007C394C">
        <w:rPr>
          <w:lang w:val="en-GB"/>
        </w:rPr>
        <w:t xml:space="preserve">overall survival between </w:t>
      </w:r>
      <w:r w:rsidR="00CE390F">
        <w:rPr>
          <w:lang w:val="en-GB"/>
        </w:rPr>
        <w:t xml:space="preserve">the </w:t>
      </w:r>
      <w:r w:rsidR="007C394C">
        <w:rPr>
          <w:lang w:val="en-GB"/>
        </w:rPr>
        <w:t>treatments,</w:t>
      </w:r>
      <w:r w:rsidR="007C394C" w:rsidRPr="00F81EF6">
        <w:t xml:space="preserve"> </w:t>
      </w:r>
      <w:r w:rsidR="007C394C">
        <w:rPr>
          <w:lang w:val="en-GB"/>
        </w:rPr>
        <w:t>but th</w:t>
      </w:r>
      <w:r w:rsidR="00F20625">
        <w:rPr>
          <w:lang w:val="en-GB"/>
        </w:rPr>
        <w:t>is</w:t>
      </w:r>
      <w:r w:rsidR="007C394C">
        <w:rPr>
          <w:lang w:val="en-GB"/>
        </w:rPr>
        <w:t xml:space="preserve"> may </w:t>
      </w:r>
      <w:r w:rsidR="00CE390F">
        <w:rPr>
          <w:lang w:val="en-GB"/>
        </w:rPr>
        <w:t>be because of</w:t>
      </w:r>
      <w:r w:rsidR="007C394C">
        <w:rPr>
          <w:lang w:val="en-GB"/>
        </w:rPr>
        <w:t xml:space="preserve"> confounding </w:t>
      </w:r>
      <w:r>
        <w:rPr>
          <w:lang w:val="en-GB"/>
        </w:rPr>
        <w:t>(see section</w:t>
      </w:r>
      <w:r w:rsidR="00CE390F">
        <w:rPr>
          <w:lang w:val="en-GB"/>
        </w:rPr>
        <w:t> </w:t>
      </w:r>
      <w:r>
        <w:rPr>
          <w:lang w:val="en-GB"/>
        </w:rPr>
        <w:t>3.</w:t>
      </w:r>
      <w:r w:rsidR="00D822B7">
        <w:rPr>
          <w:lang w:val="en-GB"/>
        </w:rPr>
        <w:t>9</w:t>
      </w:r>
      <w:r>
        <w:rPr>
          <w:lang w:val="en-GB"/>
        </w:rPr>
        <w:t>)</w:t>
      </w:r>
      <w:r>
        <w:t xml:space="preserve">. </w:t>
      </w:r>
      <w:r>
        <w:rPr>
          <w:lang w:val="en-GB"/>
        </w:rPr>
        <w:t xml:space="preserve">The committee concluded </w:t>
      </w:r>
      <w:r w:rsidR="00CE390F">
        <w:rPr>
          <w:lang w:val="en-GB"/>
        </w:rPr>
        <w:t xml:space="preserve">that </w:t>
      </w:r>
      <w:r>
        <w:rPr>
          <w:lang w:val="en-GB"/>
        </w:rPr>
        <w:t>f</w:t>
      </w:r>
      <w:r>
        <w:t xml:space="preserve">urther analyses </w:t>
      </w:r>
      <w:r w:rsidR="007C394C">
        <w:rPr>
          <w:lang w:val="en-GB"/>
        </w:rPr>
        <w:t xml:space="preserve">to justify similar </w:t>
      </w:r>
      <w:r w:rsidR="00F20625">
        <w:rPr>
          <w:lang w:val="en-GB"/>
        </w:rPr>
        <w:t xml:space="preserve">efficacy </w:t>
      </w:r>
      <w:r w:rsidR="007C394C">
        <w:rPr>
          <w:lang w:val="en-GB"/>
        </w:rPr>
        <w:t>for irinotecan and FOLFIRI in p</w:t>
      </w:r>
      <w:r w:rsidR="00F20625">
        <w:rPr>
          <w:lang w:val="en-GB"/>
        </w:rPr>
        <w:t>eople</w:t>
      </w:r>
      <w:r w:rsidR="007C394C">
        <w:rPr>
          <w:lang w:val="en-GB"/>
        </w:rPr>
        <w:t xml:space="preserve"> </w:t>
      </w:r>
      <w:r w:rsidR="00F20625">
        <w:rPr>
          <w:lang w:val="en-GB"/>
        </w:rPr>
        <w:t>with</w:t>
      </w:r>
      <w:r w:rsidR="007C394C">
        <w:rPr>
          <w:lang w:val="en-GB"/>
        </w:rPr>
        <w:t xml:space="preserve"> BRAF V600E muta</w:t>
      </w:r>
      <w:r w:rsidR="00F20625">
        <w:rPr>
          <w:lang w:val="en-GB"/>
        </w:rPr>
        <w:t>tion-positive disease</w:t>
      </w:r>
      <w:r>
        <w:rPr>
          <w:lang w:val="en-GB"/>
        </w:rPr>
        <w:t xml:space="preserve"> </w:t>
      </w:r>
      <w:r>
        <w:t>would help reduce the uncertainty of this assumption.</w:t>
      </w:r>
      <w:r w:rsidR="00892CFA">
        <w:rPr>
          <w:lang w:val="en-GB"/>
        </w:rPr>
        <w:t xml:space="preserve"> </w:t>
      </w:r>
      <w:r w:rsidR="00F20625">
        <w:rPr>
          <w:lang w:val="en-GB"/>
        </w:rPr>
        <w:t xml:space="preserve">This should include a log-rank test to compare survival and analyses </w:t>
      </w:r>
      <w:r w:rsidR="00F20625">
        <w:t>adjusted for potential confounders</w:t>
      </w:r>
      <w:r w:rsidR="00F20625">
        <w:rPr>
          <w:lang w:val="en-GB"/>
        </w:rPr>
        <w:t>.</w:t>
      </w:r>
      <w:r w:rsidR="00F20625" w:rsidRPr="00F81EF6">
        <w:t xml:space="preserve"> </w:t>
      </w:r>
      <w:r w:rsidRPr="00F81EF6">
        <w:t>The committee agreed that</w:t>
      </w:r>
      <w:r>
        <w:t xml:space="preserve"> the evidence for </w:t>
      </w:r>
      <w:r w:rsidR="002601F4">
        <w:rPr>
          <w:lang w:val="en-GB"/>
        </w:rPr>
        <w:t>equal effectiveness</w:t>
      </w:r>
      <w:r>
        <w:t xml:space="preserve"> of FOLFIRI and irinotecan was uncertain</w:t>
      </w:r>
      <w:r w:rsidR="002601F4">
        <w:rPr>
          <w:lang w:val="en-GB"/>
        </w:rPr>
        <w:t>, which made</w:t>
      </w:r>
      <w:r>
        <w:rPr>
          <w:lang w:val="en-GB"/>
        </w:rPr>
        <w:t xml:space="preserve"> the results </w:t>
      </w:r>
      <w:r w:rsidR="007C394C">
        <w:rPr>
          <w:lang w:val="en-GB"/>
        </w:rPr>
        <w:t>of the indirect treatment comparison</w:t>
      </w:r>
      <w:r w:rsidR="002601F4">
        <w:rPr>
          <w:lang w:val="en-GB"/>
        </w:rPr>
        <w:t xml:space="preserve"> uncertain</w:t>
      </w:r>
      <w:r>
        <w:rPr>
          <w:lang w:val="en-GB"/>
        </w:rPr>
        <w:t>.</w:t>
      </w:r>
    </w:p>
    <w:p w14:paraId="3F06E74B" w14:textId="67FABA39" w:rsidR="00713A7A" w:rsidRDefault="00713A7A" w:rsidP="00830A33">
      <w:pPr>
        <w:pStyle w:val="Heading3"/>
      </w:pPr>
      <w:r>
        <w:t xml:space="preserve">Data from BEACON CRC </w:t>
      </w:r>
      <w:r w:rsidR="00740818">
        <w:t xml:space="preserve">and the indirect treatment comparison </w:t>
      </w:r>
      <w:r>
        <w:t xml:space="preserve">should be considered </w:t>
      </w:r>
      <w:r w:rsidR="00892CFA">
        <w:t xml:space="preserve">to </w:t>
      </w:r>
      <w:r>
        <w:t>compar</w:t>
      </w:r>
      <w:r w:rsidR="00892CFA">
        <w:t>e</w:t>
      </w:r>
      <w:r>
        <w:t xml:space="preserve"> encorafenib </w:t>
      </w:r>
      <w:r w:rsidR="00426C37">
        <w:t>plus</w:t>
      </w:r>
      <w:r>
        <w:t xml:space="preserve"> cetuximab </w:t>
      </w:r>
      <w:r w:rsidR="00426C37">
        <w:t>with</w:t>
      </w:r>
      <w:r w:rsidR="00880896">
        <w:t xml:space="preserve"> </w:t>
      </w:r>
      <w:r>
        <w:t>FOLFIRI</w:t>
      </w:r>
    </w:p>
    <w:p w14:paraId="06E3ED1C" w14:textId="2F1DECAD" w:rsidR="00713A7A" w:rsidRPr="00C56A24" w:rsidRDefault="00713A7A" w:rsidP="00713A7A">
      <w:pPr>
        <w:pStyle w:val="Numberedlevel2text"/>
        <w:numPr>
          <w:ilvl w:val="1"/>
          <w:numId w:val="1"/>
        </w:numPr>
      </w:pPr>
      <w:r>
        <w:rPr>
          <w:lang w:val="en-GB"/>
        </w:rPr>
        <w:t xml:space="preserve">The committee recalled </w:t>
      </w:r>
      <w:r w:rsidR="005524EF">
        <w:rPr>
          <w:lang w:val="en-GB"/>
        </w:rPr>
        <w:t xml:space="preserve">that </w:t>
      </w:r>
      <w:r w:rsidR="00AB63E8">
        <w:rPr>
          <w:lang w:val="en-GB"/>
        </w:rPr>
        <w:t xml:space="preserve">the uncertainties associated with </w:t>
      </w:r>
      <w:r>
        <w:t xml:space="preserve">BEACON </w:t>
      </w:r>
      <w:r>
        <w:rPr>
          <w:lang w:val="en-GB"/>
        </w:rPr>
        <w:t xml:space="preserve">CRC meant the relative efficacy of encorafenib </w:t>
      </w:r>
      <w:r w:rsidR="005524EF">
        <w:rPr>
          <w:lang w:val="en-GB"/>
        </w:rPr>
        <w:t>plus</w:t>
      </w:r>
      <w:r>
        <w:rPr>
          <w:lang w:val="en-GB"/>
        </w:rPr>
        <w:t xml:space="preserve"> cetuximab compared with FOLFIRI could not be accurately estimated. However, </w:t>
      </w:r>
      <w:r w:rsidR="005524EF">
        <w:rPr>
          <w:lang w:val="en-GB"/>
        </w:rPr>
        <w:t>it</w:t>
      </w:r>
      <w:r>
        <w:t xml:space="preserve"> </w:t>
      </w:r>
      <w:r>
        <w:rPr>
          <w:lang w:val="en-GB"/>
        </w:rPr>
        <w:t xml:space="preserve">noted that the company’s indirect treatment comparison was </w:t>
      </w:r>
      <w:r w:rsidR="00AB63E8">
        <w:rPr>
          <w:lang w:val="en-GB"/>
        </w:rPr>
        <w:t xml:space="preserve">also </w:t>
      </w:r>
      <w:r>
        <w:rPr>
          <w:lang w:val="en-GB"/>
        </w:rPr>
        <w:t xml:space="preserve">highly uncertain. The ERG preferred to use the BEACON CRC data as a proxy for the clinical effectiveness of encorafenib with cetuximab compared with FOLFIRI. The committee considered that </w:t>
      </w:r>
      <w:r w:rsidR="005524EF">
        <w:rPr>
          <w:lang w:val="en-GB"/>
        </w:rPr>
        <w:t>without</w:t>
      </w:r>
      <w:r>
        <w:rPr>
          <w:lang w:val="en-GB"/>
        </w:rPr>
        <w:t xml:space="preserve"> an appropriate indirect treatment comparison, </w:t>
      </w:r>
      <w:r w:rsidR="003D77F3">
        <w:rPr>
          <w:lang w:val="en-GB"/>
        </w:rPr>
        <w:t xml:space="preserve">using </w:t>
      </w:r>
      <w:r>
        <w:rPr>
          <w:lang w:val="en-GB"/>
        </w:rPr>
        <w:t xml:space="preserve">randomised controlled trial evidence from BEACON CRC was preferable </w:t>
      </w:r>
      <w:r w:rsidR="005524EF">
        <w:rPr>
          <w:lang w:val="en-GB"/>
        </w:rPr>
        <w:t xml:space="preserve">because </w:t>
      </w:r>
      <w:r>
        <w:rPr>
          <w:lang w:val="en-GB"/>
        </w:rPr>
        <w:t xml:space="preserve">it </w:t>
      </w:r>
      <w:r w:rsidR="005524EF">
        <w:rPr>
          <w:lang w:val="en-GB"/>
        </w:rPr>
        <w:t>wa</w:t>
      </w:r>
      <w:r>
        <w:rPr>
          <w:lang w:val="en-GB"/>
        </w:rPr>
        <w:t xml:space="preserve">s </w:t>
      </w:r>
      <w:r w:rsidR="00892CFA">
        <w:rPr>
          <w:lang w:val="en-GB"/>
        </w:rPr>
        <w:t xml:space="preserve">less </w:t>
      </w:r>
      <w:r>
        <w:rPr>
          <w:lang w:val="en-GB"/>
        </w:rPr>
        <w:t>likely to be biased</w:t>
      </w:r>
      <w:r w:rsidR="005524EF">
        <w:rPr>
          <w:lang w:val="en-GB"/>
        </w:rPr>
        <w:t>. B</w:t>
      </w:r>
      <w:r>
        <w:rPr>
          <w:lang w:val="en-GB"/>
        </w:rPr>
        <w:t xml:space="preserve">ut </w:t>
      </w:r>
      <w:r w:rsidR="005524EF">
        <w:rPr>
          <w:lang w:val="en-GB"/>
        </w:rPr>
        <w:t xml:space="preserve">it </w:t>
      </w:r>
      <w:r>
        <w:rPr>
          <w:lang w:val="en-GB"/>
        </w:rPr>
        <w:t xml:space="preserve">noted </w:t>
      </w:r>
      <w:r w:rsidR="005524EF">
        <w:rPr>
          <w:lang w:val="en-GB"/>
        </w:rPr>
        <w:t xml:space="preserve">that </w:t>
      </w:r>
      <w:r>
        <w:t xml:space="preserve">both approaches </w:t>
      </w:r>
      <w:r>
        <w:rPr>
          <w:lang w:val="en-GB"/>
        </w:rPr>
        <w:t xml:space="preserve">were </w:t>
      </w:r>
      <w:r>
        <w:t>uncertain, and</w:t>
      </w:r>
      <w:r>
        <w:rPr>
          <w:lang w:val="en-GB"/>
        </w:rPr>
        <w:t xml:space="preserve"> </w:t>
      </w:r>
      <w:r w:rsidR="00892CFA">
        <w:rPr>
          <w:lang w:val="en-GB"/>
        </w:rPr>
        <w:t xml:space="preserve">concluded </w:t>
      </w:r>
      <w:r w:rsidR="00743C36">
        <w:rPr>
          <w:lang w:val="en-GB"/>
        </w:rPr>
        <w:t>that it would</w:t>
      </w:r>
      <w:r w:rsidR="00124284">
        <w:rPr>
          <w:lang w:val="en-GB"/>
        </w:rPr>
        <w:t xml:space="preserve"> take both into account in its decision making</w:t>
      </w:r>
      <w:r>
        <w:rPr>
          <w:lang w:val="en-GB"/>
        </w:rPr>
        <w:t>.</w:t>
      </w:r>
    </w:p>
    <w:p w14:paraId="710BFBDF" w14:textId="2CFBF13C" w:rsidR="00713A7A" w:rsidRPr="00A115B3" w:rsidRDefault="00713A7A" w:rsidP="00B24BF2">
      <w:pPr>
        <w:pStyle w:val="Heading2"/>
      </w:pPr>
      <w:r>
        <w:lastRenderedPageBreak/>
        <w:t xml:space="preserve">Clinical effectiveness of encorafenib </w:t>
      </w:r>
      <w:r w:rsidR="009765AC">
        <w:t>plus</w:t>
      </w:r>
      <w:r>
        <w:t xml:space="preserve"> cetuximab compared </w:t>
      </w:r>
      <w:r w:rsidR="009765AC">
        <w:t>with</w:t>
      </w:r>
      <w:r>
        <w:t xml:space="preserve"> trifluridine</w:t>
      </w:r>
      <w:r w:rsidR="009765AC">
        <w:t>–</w:t>
      </w:r>
      <w:r>
        <w:t>tipiracil</w:t>
      </w:r>
    </w:p>
    <w:p w14:paraId="73CA9CC2" w14:textId="4CF1B38D" w:rsidR="00713A7A" w:rsidRDefault="00740818" w:rsidP="00B0549A">
      <w:pPr>
        <w:pStyle w:val="Heading3"/>
      </w:pPr>
      <w:r>
        <w:t>It is appropriate to consider the RECOURSE data as part of the clinical evidence</w:t>
      </w:r>
    </w:p>
    <w:p w14:paraId="3EECBD55" w14:textId="3CA69DA4" w:rsidR="00713A7A" w:rsidRPr="00D364D9" w:rsidRDefault="00713A7A" w:rsidP="00713A7A">
      <w:pPr>
        <w:pStyle w:val="Numberedlevel2text"/>
        <w:numPr>
          <w:ilvl w:val="1"/>
          <w:numId w:val="1"/>
        </w:numPr>
      </w:pPr>
      <w:r>
        <w:rPr>
          <w:lang w:val="en-GB"/>
        </w:rPr>
        <w:t xml:space="preserve">There </w:t>
      </w:r>
      <w:r w:rsidR="003A5DFB">
        <w:rPr>
          <w:lang w:val="en-GB"/>
        </w:rPr>
        <w:t>wer</w:t>
      </w:r>
      <w:r>
        <w:rPr>
          <w:lang w:val="en-GB"/>
        </w:rPr>
        <w:t>e no studies for trifluridine</w:t>
      </w:r>
      <w:r w:rsidR="00985AD6">
        <w:rPr>
          <w:lang w:val="en-GB"/>
        </w:rPr>
        <w:t>–</w:t>
      </w:r>
      <w:r>
        <w:rPr>
          <w:lang w:val="en-GB"/>
        </w:rPr>
        <w:t>tipiracil with comparators</w:t>
      </w:r>
      <w:r w:rsidR="00985AD6">
        <w:rPr>
          <w:lang w:val="en-GB"/>
        </w:rPr>
        <w:t xml:space="preserve"> common</w:t>
      </w:r>
      <w:r>
        <w:rPr>
          <w:lang w:val="en-GB"/>
        </w:rPr>
        <w:t xml:space="preserve"> to the BEACON CRC trial. </w:t>
      </w:r>
      <w:r w:rsidRPr="003E7AD0">
        <w:rPr>
          <w:lang w:val="en-GB"/>
        </w:rPr>
        <w:t>The company</w:t>
      </w:r>
      <w:r w:rsidR="000A1451">
        <w:rPr>
          <w:lang w:val="en-GB"/>
        </w:rPr>
        <w:t xml:space="preserve"> and ERG</w:t>
      </w:r>
      <w:r>
        <w:rPr>
          <w:lang w:val="en-GB"/>
        </w:rPr>
        <w:t xml:space="preserve"> highlighted the </w:t>
      </w:r>
      <w:r w:rsidR="00985AD6">
        <w:rPr>
          <w:lang w:val="en-GB"/>
        </w:rPr>
        <w:t xml:space="preserve">lack </w:t>
      </w:r>
      <w:r>
        <w:rPr>
          <w:lang w:val="en-GB"/>
        </w:rPr>
        <w:t>of data for p</w:t>
      </w:r>
      <w:r w:rsidR="003A5DFB">
        <w:rPr>
          <w:lang w:val="en-GB"/>
        </w:rPr>
        <w:t>eople</w:t>
      </w:r>
      <w:r>
        <w:rPr>
          <w:lang w:val="en-GB"/>
        </w:rPr>
        <w:t xml:space="preserve"> with BRAF V600E mutation</w:t>
      </w:r>
      <w:r w:rsidR="00985AD6">
        <w:rPr>
          <w:lang w:val="en-GB"/>
        </w:rPr>
        <w:t>-</w:t>
      </w:r>
      <w:r>
        <w:rPr>
          <w:lang w:val="en-GB"/>
        </w:rPr>
        <w:t>positive colorectal cancer. The company identified the RECOURSE trial, a randomised controlled phase</w:t>
      </w:r>
      <w:r w:rsidR="00985AD6">
        <w:rPr>
          <w:lang w:val="en-GB"/>
        </w:rPr>
        <w:t> 3</w:t>
      </w:r>
      <w:r>
        <w:rPr>
          <w:lang w:val="en-GB"/>
        </w:rPr>
        <w:t xml:space="preserve"> trial </w:t>
      </w:r>
      <w:r w:rsidR="00D01DF9">
        <w:rPr>
          <w:lang w:val="en-GB"/>
        </w:rPr>
        <w:t>in people with m</w:t>
      </w:r>
      <w:r w:rsidR="00D01DF9" w:rsidRPr="00D01DF9">
        <w:rPr>
          <w:lang w:val="en-GB"/>
        </w:rPr>
        <w:t>etastatic colorectal cancer refractory or intolerant to standard therapies</w:t>
      </w:r>
      <w:r w:rsidR="00985AD6">
        <w:rPr>
          <w:lang w:val="en-GB"/>
        </w:rPr>
        <w:t>. It</w:t>
      </w:r>
      <w:r>
        <w:rPr>
          <w:lang w:val="en-GB"/>
        </w:rPr>
        <w:t xml:space="preserve"> compared trifluridine</w:t>
      </w:r>
      <w:r w:rsidR="00985AD6">
        <w:rPr>
          <w:lang w:val="en-GB"/>
        </w:rPr>
        <w:t>–</w:t>
      </w:r>
      <w:r>
        <w:rPr>
          <w:lang w:val="en-GB"/>
        </w:rPr>
        <w:t xml:space="preserve">tipiracil with </w:t>
      </w:r>
      <w:r w:rsidR="00397208">
        <w:rPr>
          <w:lang w:val="en-GB"/>
        </w:rPr>
        <w:t>placebo</w:t>
      </w:r>
      <w:r w:rsidR="0079444A">
        <w:rPr>
          <w:lang w:val="en-GB"/>
        </w:rPr>
        <w:t>,</w:t>
      </w:r>
      <w:r>
        <w:rPr>
          <w:lang w:val="en-GB"/>
        </w:rPr>
        <w:t xml:space="preserve"> but noted that the population included people </w:t>
      </w:r>
      <w:r w:rsidR="00985AD6">
        <w:rPr>
          <w:lang w:val="en-GB"/>
        </w:rPr>
        <w:t>whose</w:t>
      </w:r>
      <w:r>
        <w:rPr>
          <w:lang w:val="en-GB"/>
        </w:rPr>
        <w:t xml:space="preserve"> BRAF status was undefined.</w:t>
      </w:r>
      <w:r w:rsidRPr="003E7AD0">
        <w:rPr>
          <w:lang w:val="en-GB"/>
        </w:rPr>
        <w:t xml:space="preserve"> </w:t>
      </w:r>
      <w:r>
        <w:rPr>
          <w:lang w:val="en-GB"/>
        </w:rPr>
        <w:t xml:space="preserve">The company </w:t>
      </w:r>
      <w:r w:rsidR="00985AD6">
        <w:rPr>
          <w:lang w:val="en-GB"/>
        </w:rPr>
        <w:t>di</w:t>
      </w:r>
      <w:r w:rsidR="00985AD6" w:rsidRPr="003E7AD0">
        <w:rPr>
          <w:lang w:val="en-GB"/>
        </w:rPr>
        <w:t xml:space="preserve">d </w:t>
      </w:r>
      <w:r w:rsidRPr="003E7AD0">
        <w:rPr>
          <w:lang w:val="en-GB"/>
        </w:rPr>
        <w:t>a na</w:t>
      </w:r>
      <w:r w:rsidR="00985AD6">
        <w:rPr>
          <w:lang w:val="en-GB"/>
        </w:rPr>
        <w:t>i</w:t>
      </w:r>
      <w:r w:rsidRPr="003E7AD0">
        <w:rPr>
          <w:lang w:val="en-GB"/>
        </w:rPr>
        <w:t xml:space="preserve">ve comparison using data from the </w:t>
      </w:r>
      <w:r w:rsidR="0079444A">
        <w:rPr>
          <w:lang w:val="en-GB"/>
        </w:rPr>
        <w:t>trifluridine</w:t>
      </w:r>
      <w:r w:rsidR="006F02CE">
        <w:rPr>
          <w:lang w:val="en-GB"/>
        </w:rPr>
        <w:t>–</w:t>
      </w:r>
      <w:r w:rsidR="0079444A">
        <w:rPr>
          <w:lang w:val="en-GB"/>
        </w:rPr>
        <w:t xml:space="preserve">tipiracil </w:t>
      </w:r>
      <w:r w:rsidRPr="003E7AD0">
        <w:rPr>
          <w:lang w:val="en-GB"/>
        </w:rPr>
        <w:t xml:space="preserve">arm of RECOURSE </w:t>
      </w:r>
      <w:r w:rsidR="00C43BB7">
        <w:rPr>
          <w:lang w:val="en-GB"/>
        </w:rPr>
        <w:t>and from the encoraf</w:t>
      </w:r>
      <w:r w:rsidR="0073635F">
        <w:rPr>
          <w:lang w:val="en-GB"/>
        </w:rPr>
        <w:t>e</w:t>
      </w:r>
      <w:r w:rsidR="00C43BB7">
        <w:rPr>
          <w:lang w:val="en-GB"/>
        </w:rPr>
        <w:t xml:space="preserve">nib </w:t>
      </w:r>
      <w:r w:rsidR="006F02CE">
        <w:rPr>
          <w:lang w:val="en-GB"/>
        </w:rPr>
        <w:t>plus</w:t>
      </w:r>
      <w:r w:rsidR="00C43BB7">
        <w:rPr>
          <w:lang w:val="en-GB"/>
        </w:rPr>
        <w:t xml:space="preserve"> cetuximab arm of BEACON CRC</w:t>
      </w:r>
      <w:r>
        <w:rPr>
          <w:lang w:val="en-GB"/>
        </w:rPr>
        <w:t xml:space="preserve">. </w:t>
      </w:r>
      <w:r w:rsidR="001916DE">
        <w:rPr>
          <w:lang w:val="en-GB"/>
        </w:rPr>
        <w:t xml:space="preserve">The company did not have access to individual patient level data from RECOURSE, so instead simulated the data by digitalising the published survival curves. </w:t>
      </w:r>
      <w:r>
        <w:rPr>
          <w:lang w:val="en-GB"/>
        </w:rPr>
        <w:t>The committee understood the</w:t>
      </w:r>
      <w:r w:rsidR="00743569">
        <w:rPr>
          <w:lang w:val="en-GB"/>
        </w:rPr>
        <w:t xml:space="preserve"> lack</w:t>
      </w:r>
      <w:r>
        <w:rPr>
          <w:lang w:val="en-GB"/>
        </w:rPr>
        <w:t xml:space="preserve"> of data </w:t>
      </w:r>
      <w:r w:rsidR="00743569">
        <w:rPr>
          <w:lang w:val="en-GB"/>
        </w:rPr>
        <w:t>for</w:t>
      </w:r>
      <w:r>
        <w:rPr>
          <w:lang w:val="en-GB"/>
        </w:rPr>
        <w:t xml:space="preserve"> this population</w:t>
      </w:r>
      <w:r w:rsidR="00743569">
        <w:rPr>
          <w:lang w:val="en-GB"/>
        </w:rPr>
        <w:t>. A</w:t>
      </w:r>
      <w:r>
        <w:rPr>
          <w:lang w:val="en-GB"/>
        </w:rPr>
        <w:t>lthough RECOU</w:t>
      </w:r>
      <w:r w:rsidR="00743569">
        <w:rPr>
          <w:lang w:val="en-GB"/>
        </w:rPr>
        <w:t>R</w:t>
      </w:r>
      <w:r>
        <w:rPr>
          <w:lang w:val="en-GB"/>
        </w:rPr>
        <w:t xml:space="preserve">SE included a highly heterogenous population compared </w:t>
      </w:r>
      <w:r w:rsidR="002B7521">
        <w:rPr>
          <w:lang w:val="en-GB"/>
        </w:rPr>
        <w:t>with</w:t>
      </w:r>
      <w:r>
        <w:rPr>
          <w:lang w:val="en-GB"/>
        </w:rPr>
        <w:t xml:space="preserve"> the BEACON </w:t>
      </w:r>
      <w:r w:rsidR="000A1451">
        <w:rPr>
          <w:lang w:val="en-GB"/>
        </w:rPr>
        <w:t xml:space="preserve">CRC </w:t>
      </w:r>
      <w:r>
        <w:rPr>
          <w:lang w:val="en-GB"/>
        </w:rPr>
        <w:t>population</w:t>
      </w:r>
      <w:r w:rsidR="009F4C56">
        <w:rPr>
          <w:lang w:val="en-GB"/>
        </w:rPr>
        <w:t>,</w:t>
      </w:r>
      <w:r>
        <w:rPr>
          <w:lang w:val="en-GB"/>
        </w:rPr>
        <w:t xml:space="preserve"> the committee concluded it was appropriate to consider</w:t>
      </w:r>
      <w:r w:rsidR="000A1451">
        <w:rPr>
          <w:lang w:val="en-GB"/>
        </w:rPr>
        <w:t xml:space="preserve"> </w:t>
      </w:r>
      <w:r>
        <w:rPr>
          <w:lang w:val="en-GB"/>
        </w:rPr>
        <w:t>as part of the clinical evidence.</w:t>
      </w:r>
    </w:p>
    <w:p w14:paraId="1B282D4A" w14:textId="3C310B7E" w:rsidR="00713A7A" w:rsidRDefault="00713A7A" w:rsidP="00B0549A">
      <w:pPr>
        <w:pStyle w:val="Heading3"/>
      </w:pPr>
      <w:r>
        <w:t>The company’s na</w:t>
      </w:r>
      <w:r w:rsidR="002B7521">
        <w:t>i</w:t>
      </w:r>
      <w:r>
        <w:t>ve comparison is uncertain</w:t>
      </w:r>
    </w:p>
    <w:p w14:paraId="0B817971" w14:textId="53221550" w:rsidR="003D5AB6" w:rsidRDefault="00713A7A" w:rsidP="003B5E66">
      <w:pPr>
        <w:pStyle w:val="Numberedlevel2text"/>
        <w:numPr>
          <w:ilvl w:val="1"/>
          <w:numId w:val="1"/>
        </w:numPr>
      </w:pPr>
      <w:r>
        <w:t>Th</w:t>
      </w:r>
      <w:r>
        <w:rPr>
          <w:lang w:val="en-GB"/>
        </w:rPr>
        <w:t xml:space="preserve">e committee recalled </w:t>
      </w:r>
      <w:r w:rsidR="002B7521">
        <w:rPr>
          <w:lang w:val="en-GB"/>
        </w:rPr>
        <w:t>th</w:t>
      </w:r>
      <w:r w:rsidR="003A5DFB">
        <w:rPr>
          <w:lang w:val="en-GB"/>
        </w:rPr>
        <w:t>e</w:t>
      </w:r>
      <w:r>
        <w:t xml:space="preserve"> considerable heterogeneity </w:t>
      </w:r>
      <w:r w:rsidR="006A7EF8">
        <w:rPr>
          <w:lang w:val="en-GB"/>
        </w:rPr>
        <w:t xml:space="preserve">in potential prognostic factors </w:t>
      </w:r>
      <w:r>
        <w:t>between the study populations</w:t>
      </w:r>
      <w:r>
        <w:rPr>
          <w:lang w:val="en-GB"/>
        </w:rPr>
        <w:t xml:space="preserve"> (</w:t>
      </w:r>
      <w:r>
        <w:t>BEACON</w:t>
      </w:r>
      <w:r w:rsidR="001F1179">
        <w:rPr>
          <w:lang w:val="en-GB"/>
        </w:rPr>
        <w:t xml:space="preserve"> CRC</w:t>
      </w:r>
      <w:r>
        <w:t xml:space="preserve"> and RECOURSE</w:t>
      </w:r>
      <w:r>
        <w:rPr>
          <w:lang w:val="en-GB"/>
        </w:rPr>
        <w:t>) included in the company’s na</w:t>
      </w:r>
      <w:r w:rsidR="002B7521">
        <w:rPr>
          <w:lang w:val="en-GB"/>
        </w:rPr>
        <w:t>i</w:t>
      </w:r>
      <w:r>
        <w:rPr>
          <w:lang w:val="en-GB"/>
        </w:rPr>
        <w:t xml:space="preserve">ve comparison of encorafenib </w:t>
      </w:r>
      <w:r w:rsidR="002B7521">
        <w:rPr>
          <w:lang w:val="en-GB"/>
        </w:rPr>
        <w:t>plus</w:t>
      </w:r>
      <w:r>
        <w:rPr>
          <w:lang w:val="en-GB"/>
        </w:rPr>
        <w:t xml:space="preserve"> cetuximab with trifluridine</w:t>
      </w:r>
      <w:r w:rsidR="002B7521">
        <w:rPr>
          <w:lang w:val="en-GB"/>
        </w:rPr>
        <w:t>–</w:t>
      </w:r>
      <w:r>
        <w:rPr>
          <w:lang w:val="en-GB"/>
        </w:rPr>
        <w:t>tipiracil.</w:t>
      </w:r>
      <w:r>
        <w:t xml:space="preserve"> </w:t>
      </w:r>
      <w:r>
        <w:rPr>
          <w:lang w:val="en-GB"/>
        </w:rPr>
        <w:t>P</w:t>
      </w:r>
      <w:r w:rsidR="002B7521">
        <w:rPr>
          <w:lang w:val="en-GB"/>
        </w:rPr>
        <w:t>eople</w:t>
      </w:r>
      <w:r>
        <w:rPr>
          <w:lang w:val="en-GB"/>
        </w:rPr>
        <w:t xml:space="preserve"> in RECOURSE had 4 or more previous </w:t>
      </w:r>
      <w:r w:rsidR="00353611">
        <w:rPr>
          <w:lang w:val="en-GB"/>
        </w:rPr>
        <w:t xml:space="preserve">lines of </w:t>
      </w:r>
      <w:r>
        <w:rPr>
          <w:lang w:val="en-GB"/>
        </w:rPr>
        <w:t>t</w:t>
      </w:r>
      <w:r w:rsidR="002B7521">
        <w:rPr>
          <w:lang w:val="en-GB"/>
        </w:rPr>
        <w:t>reatment</w:t>
      </w:r>
      <w:r>
        <w:rPr>
          <w:lang w:val="en-GB"/>
        </w:rPr>
        <w:t xml:space="preserve"> compared with </w:t>
      </w:r>
      <w:r w:rsidR="00AD0051">
        <w:rPr>
          <w:lang w:val="en-GB"/>
        </w:rPr>
        <w:t>1</w:t>
      </w:r>
      <w:r w:rsidR="009F4C56">
        <w:rPr>
          <w:lang w:val="en-GB"/>
        </w:rPr>
        <w:t> </w:t>
      </w:r>
      <w:r w:rsidR="00AD0051">
        <w:rPr>
          <w:lang w:val="en-GB"/>
        </w:rPr>
        <w:t>or</w:t>
      </w:r>
      <w:r w:rsidR="009F4C56">
        <w:rPr>
          <w:lang w:val="en-GB"/>
        </w:rPr>
        <w:t> </w:t>
      </w:r>
      <w:r>
        <w:rPr>
          <w:lang w:val="en-GB"/>
        </w:rPr>
        <w:t>2 p</w:t>
      </w:r>
      <w:r w:rsidR="002B7521">
        <w:rPr>
          <w:lang w:val="en-GB"/>
        </w:rPr>
        <w:t>revious</w:t>
      </w:r>
      <w:r>
        <w:rPr>
          <w:lang w:val="en-GB"/>
        </w:rPr>
        <w:t xml:space="preserve"> </w:t>
      </w:r>
      <w:r w:rsidR="00353611">
        <w:rPr>
          <w:lang w:val="en-GB"/>
        </w:rPr>
        <w:t xml:space="preserve">lines of </w:t>
      </w:r>
      <w:r>
        <w:rPr>
          <w:lang w:val="en-GB"/>
        </w:rPr>
        <w:t>t</w:t>
      </w:r>
      <w:r w:rsidR="002B7521">
        <w:rPr>
          <w:lang w:val="en-GB"/>
        </w:rPr>
        <w:t>reatment</w:t>
      </w:r>
      <w:r>
        <w:rPr>
          <w:lang w:val="en-GB"/>
        </w:rPr>
        <w:t xml:space="preserve"> in BEACON</w:t>
      </w:r>
      <w:r w:rsidR="001F1179">
        <w:rPr>
          <w:lang w:val="en-GB"/>
        </w:rPr>
        <w:t xml:space="preserve"> CRC</w:t>
      </w:r>
      <w:r>
        <w:rPr>
          <w:lang w:val="en-GB"/>
        </w:rPr>
        <w:t xml:space="preserve">. </w:t>
      </w:r>
      <w:r w:rsidR="00B8166D">
        <w:rPr>
          <w:lang w:val="en-GB"/>
        </w:rPr>
        <w:t>After</w:t>
      </w:r>
      <w:r w:rsidR="002B7521">
        <w:rPr>
          <w:lang w:val="en-GB"/>
        </w:rPr>
        <w:t xml:space="preserve"> </w:t>
      </w:r>
      <w:r>
        <w:rPr>
          <w:lang w:val="en-GB"/>
        </w:rPr>
        <w:t>technical engagement the company presented data from RECOURSE, which suggest</w:t>
      </w:r>
      <w:r w:rsidR="002B7521">
        <w:rPr>
          <w:lang w:val="en-GB"/>
        </w:rPr>
        <w:t>ed</w:t>
      </w:r>
      <w:r>
        <w:rPr>
          <w:lang w:val="en-GB"/>
        </w:rPr>
        <w:t xml:space="preserve"> that outcomes </w:t>
      </w:r>
      <w:r w:rsidR="002B7521">
        <w:rPr>
          <w:lang w:val="en-GB"/>
        </w:rPr>
        <w:t>were</w:t>
      </w:r>
      <w:r>
        <w:rPr>
          <w:lang w:val="en-GB"/>
        </w:rPr>
        <w:t xml:space="preserve"> better for the population</w:t>
      </w:r>
      <w:r w:rsidR="002B7521">
        <w:rPr>
          <w:lang w:val="en-GB"/>
        </w:rPr>
        <w:t xml:space="preserve"> who had more lines of treatment</w:t>
      </w:r>
      <w:r>
        <w:rPr>
          <w:lang w:val="en-GB"/>
        </w:rPr>
        <w:t xml:space="preserve">. The company explained that this might be because those </w:t>
      </w:r>
      <w:r w:rsidR="00737ED7">
        <w:rPr>
          <w:lang w:val="en-GB"/>
        </w:rPr>
        <w:t>who</w:t>
      </w:r>
      <w:r>
        <w:rPr>
          <w:lang w:val="en-GB"/>
        </w:rPr>
        <w:t xml:space="preserve"> have </w:t>
      </w:r>
      <w:r w:rsidR="00F65A4D">
        <w:rPr>
          <w:lang w:val="en-GB"/>
        </w:rPr>
        <w:t>lived</w:t>
      </w:r>
      <w:r>
        <w:rPr>
          <w:lang w:val="en-GB"/>
        </w:rPr>
        <w:t xml:space="preserve"> long enough to </w:t>
      </w:r>
      <w:r w:rsidR="00737ED7">
        <w:rPr>
          <w:lang w:val="en-GB"/>
        </w:rPr>
        <w:lastRenderedPageBreak/>
        <w:t>have</w:t>
      </w:r>
      <w:r>
        <w:rPr>
          <w:lang w:val="en-GB"/>
        </w:rPr>
        <w:t xml:space="preserve"> more lines of t</w:t>
      </w:r>
      <w:r w:rsidR="00F65A4D">
        <w:rPr>
          <w:lang w:val="en-GB"/>
        </w:rPr>
        <w:t>reatment</w:t>
      </w:r>
      <w:r>
        <w:rPr>
          <w:lang w:val="en-GB"/>
        </w:rPr>
        <w:t xml:space="preserve"> may </w:t>
      </w:r>
      <w:r w:rsidR="00397208">
        <w:rPr>
          <w:lang w:val="en-GB"/>
        </w:rPr>
        <w:t>have better prognostic factors</w:t>
      </w:r>
      <w:r>
        <w:rPr>
          <w:lang w:val="en-GB"/>
        </w:rPr>
        <w:t xml:space="preserve"> than those </w:t>
      </w:r>
      <w:r w:rsidR="00737ED7">
        <w:rPr>
          <w:lang w:val="en-GB"/>
        </w:rPr>
        <w:t>who</w:t>
      </w:r>
      <w:r>
        <w:rPr>
          <w:lang w:val="en-GB"/>
        </w:rPr>
        <w:t xml:space="preserve"> have had </w:t>
      </w:r>
      <w:r w:rsidR="00AB4316">
        <w:rPr>
          <w:lang w:val="en-GB"/>
        </w:rPr>
        <w:t>fewer t</w:t>
      </w:r>
      <w:r w:rsidR="00737ED7">
        <w:rPr>
          <w:lang w:val="en-GB"/>
        </w:rPr>
        <w:t>reatment</w:t>
      </w:r>
      <w:r w:rsidR="00F65A4D">
        <w:rPr>
          <w:lang w:val="en-GB"/>
        </w:rPr>
        <w:t>s</w:t>
      </w:r>
      <w:r>
        <w:rPr>
          <w:lang w:val="en-GB"/>
        </w:rPr>
        <w:t>.</w:t>
      </w:r>
      <w:r w:rsidR="008070B2">
        <w:rPr>
          <w:lang w:val="en-GB"/>
        </w:rPr>
        <w:t xml:space="preserve"> The clinical experts and company </w:t>
      </w:r>
      <w:r w:rsidR="005922A7">
        <w:rPr>
          <w:lang w:val="en-GB"/>
        </w:rPr>
        <w:t xml:space="preserve">explained </w:t>
      </w:r>
      <w:r w:rsidR="008070B2">
        <w:rPr>
          <w:lang w:val="en-GB"/>
        </w:rPr>
        <w:t xml:space="preserve">that in </w:t>
      </w:r>
      <w:r w:rsidR="008070B2">
        <w:t>BEACON</w:t>
      </w:r>
      <w:r w:rsidR="008070B2">
        <w:rPr>
          <w:lang w:val="en-GB"/>
        </w:rPr>
        <w:t xml:space="preserve"> CRC, </w:t>
      </w:r>
      <w:r w:rsidR="003A5DFB">
        <w:rPr>
          <w:lang w:val="en-GB"/>
        </w:rPr>
        <w:t xml:space="preserve">the number of previous treatments did not change the </w:t>
      </w:r>
      <w:r w:rsidR="008070B2">
        <w:rPr>
          <w:lang w:val="en-GB"/>
        </w:rPr>
        <w:t>effect of e</w:t>
      </w:r>
      <w:r w:rsidR="00AD0051">
        <w:rPr>
          <w:lang w:val="en-GB"/>
        </w:rPr>
        <w:t>n</w:t>
      </w:r>
      <w:r w:rsidR="008070B2">
        <w:rPr>
          <w:lang w:val="en-GB"/>
        </w:rPr>
        <w:t>coraf</w:t>
      </w:r>
      <w:r w:rsidR="00AD0051">
        <w:rPr>
          <w:lang w:val="en-GB"/>
        </w:rPr>
        <w:t>e</w:t>
      </w:r>
      <w:r w:rsidR="008070B2">
        <w:rPr>
          <w:lang w:val="en-GB"/>
        </w:rPr>
        <w:t xml:space="preserve">nib </w:t>
      </w:r>
      <w:r w:rsidR="003947AB">
        <w:rPr>
          <w:lang w:val="en-GB"/>
        </w:rPr>
        <w:t>plus</w:t>
      </w:r>
      <w:r w:rsidR="008070B2">
        <w:rPr>
          <w:lang w:val="en-GB"/>
        </w:rPr>
        <w:t xml:space="preserve"> cetuximab. However, the committee noted that </w:t>
      </w:r>
      <w:r>
        <w:rPr>
          <w:lang w:val="en-GB"/>
        </w:rPr>
        <w:t xml:space="preserve">the population in RECOURSE had </w:t>
      </w:r>
      <w:r w:rsidR="008070B2">
        <w:rPr>
          <w:lang w:val="en-GB"/>
        </w:rPr>
        <w:t xml:space="preserve">not </w:t>
      </w:r>
      <w:r w:rsidR="003947AB">
        <w:rPr>
          <w:lang w:val="en-GB"/>
        </w:rPr>
        <w:t xml:space="preserve">had </w:t>
      </w:r>
      <w:r w:rsidR="008070B2">
        <w:rPr>
          <w:lang w:val="en-GB"/>
        </w:rPr>
        <w:t xml:space="preserve">testing for </w:t>
      </w:r>
      <w:r>
        <w:rPr>
          <w:lang w:val="en-GB"/>
        </w:rPr>
        <w:t xml:space="preserve">BRAF status. The company </w:t>
      </w:r>
      <w:r w:rsidR="008070B2">
        <w:rPr>
          <w:lang w:val="en-GB"/>
        </w:rPr>
        <w:t xml:space="preserve">assumed that </w:t>
      </w:r>
      <w:r w:rsidR="00C94795">
        <w:rPr>
          <w:lang w:val="en-GB"/>
        </w:rPr>
        <w:t>about</w:t>
      </w:r>
      <w:r w:rsidR="000114E3">
        <w:rPr>
          <w:lang w:val="en-GB"/>
        </w:rPr>
        <w:t xml:space="preserve"> 5% of t</w:t>
      </w:r>
      <w:r w:rsidR="008070B2">
        <w:rPr>
          <w:lang w:val="en-GB"/>
        </w:rPr>
        <w:t xml:space="preserve">he RECOURSE trial </w:t>
      </w:r>
      <w:r w:rsidR="000114E3">
        <w:rPr>
          <w:lang w:val="en-GB"/>
        </w:rPr>
        <w:t xml:space="preserve">population </w:t>
      </w:r>
      <w:r w:rsidR="003947AB">
        <w:rPr>
          <w:lang w:val="en-GB"/>
        </w:rPr>
        <w:t>had</w:t>
      </w:r>
      <w:r w:rsidR="008070B2">
        <w:rPr>
          <w:lang w:val="en-GB"/>
        </w:rPr>
        <w:t xml:space="preserve"> </w:t>
      </w:r>
      <w:r w:rsidR="008070B2">
        <w:t>BRAF V600E mutation-positive</w:t>
      </w:r>
      <w:r w:rsidR="003947AB">
        <w:rPr>
          <w:lang w:val="en-GB"/>
        </w:rPr>
        <w:t xml:space="preserve"> disease</w:t>
      </w:r>
      <w:r w:rsidR="002459F5">
        <w:rPr>
          <w:lang w:val="en-GB"/>
        </w:rPr>
        <w:t xml:space="preserve"> and noted</w:t>
      </w:r>
      <w:r w:rsidR="00137CEC">
        <w:rPr>
          <w:lang w:val="en-GB"/>
        </w:rPr>
        <w:t xml:space="preserve"> the higher mortality associated with </w:t>
      </w:r>
      <w:r w:rsidR="00137CEC">
        <w:t>BRAF V600E mutation-positive</w:t>
      </w:r>
      <w:r w:rsidR="00137CEC">
        <w:rPr>
          <w:lang w:val="en-GB"/>
        </w:rPr>
        <w:t xml:space="preserve"> </w:t>
      </w:r>
      <w:r w:rsidR="003947AB">
        <w:rPr>
          <w:lang w:val="en-GB"/>
        </w:rPr>
        <w:t xml:space="preserve">colorectal cancer </w:t>
      </w:r>
      <w:r w:rsidR="00137CEC">
        <w:rPr>
          <w:lang w:val="en-GB"/>
        </w:rPr>
        <w:t>compared with wild</w:t>
      </w:r>
      <w:r w:rsidR="0023310B">
        <w:rPr>
          <w:lang w:val="en-GB"/>
        </w:rPr>
        <w:t>-type</w:t>
      </w:r>
      <w:r w:rsidR="00137CEC">
        <w:rPr>
          <w:lang w:val="en-GB"/>
        </w:rPr>
        <w:t xml:space="preserve"> </w:t>
      </w:r>
      <w:r w:rsidR="003947AB">
        <w:rPr>
          <w:lang w:val="en-GB"/>
        </w:rPr>
        <w:t>colorectal cancer</w:t>
      </w:r>
      <w:r w:rsidR="002459F5">
        <w:rPr>
          <w:lang w:val="en-GB"/>
        </w:rPr>
        <w:t xml:space="preserve">. To adjust for this, it </w:t>
      </w:r>
      <w:r>
        <w:rPr>
          <w:lang w:val="en-GB"/>
        </w:rPr>
        <w:t>appl</w:t>
      </w:r>
      <w:r w:rsidR="002459F5">
        <w:rPr>
          <w:lang w:val="en-GB"/>
        </w:rPr>
        <w:t>ied</w:t>
      </w:r>
      <w:r>
        <w:rPr>
          <w:lang w:val="en-GB"/>
        </w:rPr>
        <w:t xml:space="preserve"> a hazard ratio </w:t>
      </w:r>
      <w:r w:rsidR="003947AB">
        <w:rPr>
          <w:lang w:val="en-GB"/>
        </w:rPr>
        <w:t xml:space="preserve">of 4.0 </w:t>
      </w:r>
      <w:r>
        <w:rPr>
          <w:lang w:val="en-GB"/>
        </w:rPr>
        <w:t>from Peeters et al</w:t>
      </w:r>
      <w:r w:rsidR="00005088">
        <w:rPr>
          <w:lang w:val="en-GB"/>
        </w:rPr>
        <w:t>.</w:t>
      </w:r>
      <w:r w:rsidR="002459F5">
        <w:rPr>
          <w:lang w:val="en-GB"/>
        </w:rPr>
        <w:t xml:space="preserve"> to survival outcomes</w:t>
      </w:r>
      <w:r w:rsidR="003947AB">
        <w:rPr>
          <w:lang w:val="en-GB"/>
        </w:rPr>
        <w:t>.</w:t>
      </w:r>
      <w:r w:rsidR="00137CEC">
        <w:rPr>
          <w:lang w:val="en-GB"/>
        </w:rPr>
        <w:t xml:space="preserve"> </w:t>
      </w:r>
      <w:r w:rsidR="003947AB">
        <w:rPr>
          <w:lang w:val="en-GB"/>
        </w:rPr>
        <w:t>T</w:t>
      </w:r>
      <w:r w:rsidR="00137CEC">
        <w:rPr>
          <w:lang w:val="en-GB"/>
        </w:rPr>
        <w:t>he company presented</w:t>
      </w:r>
      <w:r>
        <w:rPr>
          <w:lang w:val="en-GB"/>
        </w:rPr>
        <w:t xml:space="preserve"> </w:t>
      </w:r>
      <w:r w:rsidR="003947AB">
        <w:rPr>
          <w:lang w:val="en-GB"/>
        </w:rPr>
        <w:t xml:space="preserve">an </w:t>
      </w:r>
      <w:r>
        <w:rPr>
          <w:lang w:val="en-GB"/>
        </w:rPr>
        <w:t xml:space="preserve">alternative </w:t>
      </w:r>
      <w:r w:rsidR="003947AB">
        <w:rPr>
          <w:lang w:val="en-GB"/>
        </w:rPr>
        <w:t xml:space="preserve">hazard ratio of 2.2 </w:t>
      </w:r>
      <w:r w:rsidR="00137CEC">
        <w:rPr>
          <w:lang w:val="en-GB"/>
        </w:rPr>
        <w:t xml:space="preserve">from </w:t>
      </w:r>
      <w:r w:rsidR="003947AB">
        <w:rPr>
          <w:lang w:val="en-GB"/>
        </w:rPr>
        <w:t xml:space="preserve">a meta-analysis by </w:t>
      </w:r>
      <w:r>
        <w:rPr>
          <w:lang w:val="en-GB"/>
        </w:rPr>
        <w:t xml:space="preserve">Safaee </w:t>
      </w:r>
      <w:r w:rsidR="003947AB">
        <w:rPr>
          <w:lang w:val="en-GB"/>
        </w:rPr>
        <w:t>(</w:t>
      </w:r>
      <w:r>
        <w:rPr>
          <w:lang w:val="en-GB"/>
        </w:rPr>
        <w:t>2012</w:t>
      </w:r>
      <w:r w:rsidR="003947AB">
        <w:rPr>
          <w:lang w:val="en-GB"/>
        </w:rPr>
        <w:t>). T</w:t>
      </w:r>
      <w:r w:rsidR="00BB73F1">
        <w:rPr>
          <w:lang w:val="en-GB"/>
        </w:rPr>
        <w:t xml:space="preserve">he ERG presented estimates from </w:t>
      </w:r>
      <w:r>
        <w:rPr>
          <w:lang w:val="en-GB"/>
        </w:rPr>
        <w:t>MRC FOCUS</w:t>
      </w:r>
      <w:r w:rsidR="003B5E66">
        <w:rPr>
          <w:lang w:val="en-GB"/>
        </w:rPr>
        <w:t xml:space="preserve"> (</w:t>
      </w:r>
      <w:r>
        <w:rPr>
          <w:lang w:val="en-GB"/>
        </w:rPr>
        <w:t xml:space="preserve">a UK randomised trial </w:t>
      </w:r>
      <w:r w:rsidR="003B5E66">
        <w:rPr>
          <w:lang w:val="en-GB"/>
        </w:rPr>
        <w:t xml:space="preserve">of </w:t>
      </w:r>
      <w:r w:rsidR="003947AB">
        <w:rPr>
          <w:lang w:val="en-GB"/>
        </w:rPr>
        <w:t>3 </w:t>
      </w:r>
      <w:r w:rsidR="00842B7C">
        <w:rPr>
          <w:lang w:val="en-GB"/>
        </w:rPr>
        <w:t>treatment strategies</w:t>
      </w:r>
      <w:r w:rsidR="000114E3">
        <w:rPr>
          <w:lang w:val="en-GB"/>
        </w:rPr>
        <w:t>, including</w:t>
      </w:r>
      <w:r w:rsidR="00842B7C">
        <w:rPr>
          <w:lang w:val="en-GB"/>
        </w:rPr>
        <w:t xml:space="preserve"> </w:t>
      </w:r>
      <w:r w:rsidR="008742A9">
        <w:rPr>
          <w:lang w:val="en-GB"/>
        </w:rPr>
        <w:t>monotherapy</w:t>
      </w:r>
      <w:r w:rsidR="00842B7C">
        <w:rPr>
          <w:lang w:val="en-GB"/>
        </w:rPr>
        <w:t xml:space="preserve"> and combination t</w:t>
      </w:r>
      <w:r w:rsidR="00EE12E0">
        <w:rPr>
          <w:lang w:val="en-GB"/>
        </w:rPr>
        <w:t>reatment with</w:t>
      </w:r>
      <w:r w:rsidR="00BF1B1B">
        <w:rPr>
          <w:lang w:val="en-GB"/>
        </w:rPr>
        <w:t xml:space="preserve"> </w:t>
      </w:r>
      <w:r w:rsidR="00842B7C" w:rsidRPr="00842B7C">
        <w:rPr>
          <w:lang w:val="en-GB"/>
        </w:rPr>
        <w:t>fluorouracil</w:t>
      </w:r>
      <w:r w:rsidR="00842B7C">
        <w:rPr>
          <w:lang w:val="en-GB"/>
        </w:rPr>
        <w:t>, irinotecan and oxaliplatin,</w:t>
      </w:r>
      <w:r w:rsidR="00842B7C" w:rsidDel="00842B7C">
        <w:rPr>
          <w:lang w:val="en-GB"/>
        </w:rPr>
        <w:t xml:space="preserve"> </w:t>
      </w:r>
      <w:r w:rsidRPr="003B5E66">
        <w:rPr>
          <w:lang w:val="en-GB"/>
        </w:rPr>
        <w:t>hazard ratio 1.8</w:t>
      </w:r>
      <w:r w:rsidR="000114E3">
        <w:rPr>
          <w:lang w:val="en-GB"/>
        </w:rPr>
        <w:t>)</w:t>
      </w:r>
      <w:r w:rsidRPr="003B5E66">
        <w:rPr>
          <w:lang w:val="en-GB"/>
        </w:rPr>
        <w:t xml:space="preserve">. The committee agreed that </w:t>
      </w:r>
      <w:r w:rsidR="008070B2">
        <w:rPr>
          <w:lang w:val="en-GB"/>
        </w:rPr>
        <w:t xml:space="preserve">it was appropriate to </w:t>
      </w:r>
      <w:r w:rsidRPr="003B5E66">
        <w:rPr>
          <w:lang w:val="en-GB"/>
        </w:rPr>
        <w:t xml:space="preserve">adjust </w:t>
      </w:r>
      <w:r w:rsidR="008070B2">
        <w:rPr>
          <w:lang w:val="en-GB"/>
        </w:rPr>
        <w:t>for</w:t>
      </w:r>
      <w:r w:rsidRPr="003B5E66">
        <w:rPr>
          <w:lang w:val="en-GB"/>
        </w:rPr>
        <w:t xml:space="preserve"> </w:t>
      </w:r>
      <w:r>
        <w:t>histology</w:t>
      </w:r>
      <w:r w:rsidRPr="003B5E66">
        <w:rPr>
          <w:lang w:val="en-GB"/>
        </w:rPr>
        <w:t xml:space="preserve"> </w:t>
      </w:r>
      <w:r w:rsidR="008070B2">
        <w:rPr>
          <w:lang w:val="en-GB"/>
        </w:rPr>
        <w:t xml:space="preserve">and </w:t>
      </w:r>
      <w:r>
        <w:t>other confounders</w:t>
      </w:r>
      <w:r w:rsidR="000114E3">
        <w:rPr>
          <w:lang w:val="en-GB"/>
        </w:rPr>
        <w:t xml:space="preserve">, but noted </w:t>
      </w:r>
      <w:r w:rsidR="00BF1B1B">
        <w:rPr>
          <w:lang w:val="en-GB"/>
        </w:rPr>
        <w:t>t</w:t>
      </w:r>
      <w:r w:rsidRPr="003B5E66">
        <w:rPr>
          <w:lang w:val="en-GB"/>
        </w:rPr>
        <w:t>he hazard ratio</w:t>
      </w:r>
      <w:r w:rsidR="007F06C9">
        <w:rPr>
          <w:lang w:val="en-GB"/>
        </w:rPr>
        <w:t>s</w:t>
      </w:r>
      <w:r w:rsidRPr="003B5E66">
        <w:rPr>
          <w:lang w:val="en-GB"/>
        </w:rPr>
        <w:t xml:space="preserve"> varied widely in the meta-analysis by Safaee. It was therefore not clear which hazard ratio provided an appropriate adjustment. The committee concluded that the company’s na</w:t>
      </w:r>
      <w:r w:rsidR="003947AB">
        <w:rPr>
          <w:lang w:val="en-GB"/>
        </w:rPr>
        <w:t>i</w:t>
      </w:r>
      <w:r w:rsidRPr="003B5E66">
        <w:rPr>
          <w:lang w:val="en-GB"/>
        </w:rPr>
        <w:t xml:space="preserve">ve comparison </w:t>
      </w:r>
      <w:r w:rsidR="003947AB">
        <w:rPr>
          <w:lang w:val="en-GB"/>
        </w:rPr>
        <w:t>wa</w:t>
      </w:r>
      <w:r w:rsidRPr="003B5E66">
        <w:rPr>
          <w:lang w:val="en-GB"/>
        </w:rPr>
        <w:t>s uncertain.</w:t>
      </w:r>
    </w:p>
    <w:p w14:paraId="31E0D23E" w14:textId="256DCBC9" w:rsidR="00D364D9" w:rsidRDefault="00D364D9" w:rsidP="004826D9">
      <w:pPr>
        <w:pStyle w:val="Heading2"/>
      </w:pPr>
      <w:r>
        <w:t>The company’s economic model</w:t>
      </w:r>
    </w:p>
    <w:p w14:paraId="72690E83" w14:textId="5092781B" w:rsidR="001D29C3" w:rsidRDefault="001D29C3" w:rsidP="001D29C3">
      <w:pPr>
        <w:pStyle w:val="Heading3"/>
      </w:pPr>
      <w:r>
        <w:t>The company’s model is appropriate for decision making</w:t>
      </w:r>
    </w:p>
    <w:p w14:paraId="435EB924" w14:textId="100EFEF4" w:rsidR="001D29C3" w:rsidRDefault="001D29C3" w:rsidP="001D29C3">
      <w:pPr>
        <w:pStyle w:val="Numberedlevel2text"/>
        <w:numPr>
          <w:ilvl w:val="1"/>
          <w:numId w:val="1"/>
        </w:numPr>
      </w:pPr>
      <w:r>
        <w:t xml:space="preserve">The company </w:t>
      </w:r>
      <w:r>
        <w:rPr>
          <w:lang w:val="en-US"/>
        </w:rPr>
        <w:t>chose</w:t>
      </w:r>
      <w:r>
        <w:t xml:space="preserve"> a </w:t>
      </w:r>
      <w:r w:rsidRPr="008C67DB">
        <w:t>partitioned survival model</w:t>
      </w:r>
      <w:r>
        <w:t xml:space="preserve"> to estimate the cost</w:t>
      </w:r>
      <w:r>
        <w:rPr>
          <w:lang w:val="en-GB"/>
        </w:rPr>
        <w:t xml:space="preserve"> </w:t>
      </w:r>
      <w:r>
        <w:t xml:space="preserve">effectiveness of </w:t>
      </w:r>
      <w:r>
        <w:rPr>
          <w:lang w:val="en-GB"/>
        </w:rPr>
        <w:t>encorafenib with cetuximab</w:t>
      </w:r>
      <w:r>
        <w:t xml:space="preserve">. The model </w:t>
      </w:r>
      <w:r>
        <w:rPr>
          <w:lang w:val="en-US"/>
        </w:rPr>
        <w:t>included</w:t>
      </w:r>
      <w:r>
        <w:t xml:space="preserve"> 3</w:t>
      </w:r>
      <w:r>
        <w:rPr>
          <w:lang w:val="en-GB"/>
        </w:rPr>
        <w:t> </w:t>
      </w:r>
      <w:r>
        <w:t xml:space="preserve">health states: </w:t>
      </w:r>
      <w:r>
        <w:rPr>
          <w:szCs w:val="22"/>
        </w:rPr>
        <w:t>progression-free, progressed, and dead</w:t>
      </w:r>
      <w:r>
        <w:t xml:space="preserve">. The probability of being in a given health state </w:t>
      </w:r>
      <w:r>
        <w:rPr>
          <w:lang w:val="en-GB"/>
        </w:rPr>
        <w:t>was</w:t>
      </w:r>
      <w:r>
        <w:t xml:space="preserve"> defined by the area under the</w:t>
      </w:r>
      <w:r>
        <w:rPr>
          <w:lang w:val="en-GB"/>
        </w:rPr>
        <w:t xml:space="preserve"> curves for</w:t>
      </w:r>
      <w:r>
        <w:t xml:space="preserve"> progression-free </w:t>
      </w:r>
      <w:r>
        <w:rPr>
          <w:lang w:val="en-GB"/>
        </w:rPr>
        <w:t>survival</w:t>
      </w:r>
      <w:r w:rsidR="0066683A">
        <w:rPr>
          <w:lang w:val="en-GB"/>
        </w:rPr>
        <w:t>,</w:t>
      </w:r>
      <w:r>
        <w:rPr>
          <w:lang w:val="en-GB"/>
        </w:rPr>
        <w:t xml:space="preserve"> </w:t>
      </w:r>
      <w:r>
        <w:t>overall survival</w:t>
      </w:r>
      <w:r w:rsidR="0066683A">
        <w:rPr>
          <w:lang w:val="en-GB"/>
        </w:rPr>
        <w:t>,</w:t>
      </w:r>
      <w:r>
        <w:rPr>
          <w:lang w:val="en-GB"/>
        </w:rPr>
        <w:t xml:space="preserve"> </w:t>
      </w:r>
      <w:r w:rsidR="0066683A">
        <w:rPr>
          <w:lang w:val="en-GB"/>
        </w:rPr>
        <w:t xml:space="preserve">and </w:t>
      </w:r>
      <w:r>
        <w:rPr>
          <w:lang w:val="en-GB"/>
        </w:rPr>
        <w:t>their difference</w:t>
      </w:r>
      <w:r>
        <w:t>. The model cycle length was 1</w:t>
      </w:r>
      <w:r>
        <w:rPr>
          <w:lang w:val="en-GB"/>
        </w:rPr>
        <w:t> </w:t>
      </w:r>
      <w:r w:rsidR="003D5AB6">
        <w:rPr>
          <w:lang w:val="en-GB"/>
        </w:rPr>
        <w:t>month</w:t>
      </w:r>
      <w:r>
        <w:t xml:space="preserve"> </w:t>
      </w:r>
      <w:r>
        <w:rPr>
          <w:lang w:val="en-US"/>
        </w:rPr>
        <w:t>and the</w:t>
      </w:r>
      <w:r>
        <w:t xml:space="preserve"> time horizon </w:t>
      </w:r>
      <w:r>
        <w:rPr>
          <w:lang w:val="en-US"/>
        </w:rPr>
        <w:t>was</w:t>
      </w:r>
      <w:r>
        <w:t xml:space="preserve"> </w:t>
      </w:r>
      <w:r w:rsidR="003D5AB6">
        <w:rPr>
          <w:lang w:val="en-GB"/>
        </w:rPr>
        <w:t>1</w:t>
      </w:r>
      <w:r>
        <w:t>0</w:t>
      </w:r>
      <w:r>
        <w:rPr>
          <w:lang w:val="en-GB"/>
        </w:rPr>
        <w:t> </w:t>
      </w:r>
      <w:r>
        <w:t>years.</w:t>
      </w:r>
      <w:r w:rsidR="0066683A">
        <w:rPr>
          <w:lang w:val="en-GB"/>
        </w:rPr>
        <w:t xml:space="preserve"> </w:t>
      </w:r>
      <w:r>
        <w:t xml:space="preserve">The committee considered the company’s model </w:t>
      </w:r>
      <w:r>
        <w:rPr>
          <w:lang w:val="en-US"/>
        </w:rPr>
        <w:t>to be</w:t>
      </w:r>
      <w:r>
        <w:t xml:space="preserve"> appropriate for decision</w:t>
      </w:r>
      <w:r>
        <w:rPr>
          <w:lang w:val="en-GB"/>
        </w:rPr>
        <w:t xml:space="preserve"> </w:t>
      </w:r>
      <w:r>
        <w:t>making.</w:t>
      </w:r>
    </w:p>
    <w:p w14:paraId="4D8BB836" w14:textId="77777777" w:rsidR="003C0FFD" w:rsidRDefault="003C0FFD" w:rsidP="003C0FFD">
      <w:pPr>
        <w:pStyle w:val="Heading2"/>
      </w:pPr>
      <w:r>
        <w:lastRenderedPageBreak/>
        <w:t>Modelling overall survival</w:t>
      </w:r>
    </w:p>
    <w:p w14:paraId="0426C244" w14:textId="002FA116" w:rsidR="003C0FFD" w:rsidRPr="003F04B1" w:rsidRDefault="003C0FFD" w:rsidP="003C0FFD">
      <w:pPr>
        <w:pStyle w:val="Heading3"/>
      </w:pPr>
      <w:r>
        <w:t>The most recent data cut from BEACON CRC should be used to model survival</w:t>
      </w:r>
    </w:p>
    <w:p w14:paraId="5DF76B97" w14:textId="7F2376D7" w:rsidR="003C0FFD" w:rsidRPr="00DC71A9" w:rsidRDefault="003C0FFD" w:rsidP="00800B86">
      <w:pPr>
        <w:pStyle w:val="Numberedlevel2text"/>
      </w:pPr>
      <w:r>
        <w:rPr>
          <w:lang w:val="en-GB"/>
        </w:rPr>
        <w:t xml:space="preserve">The company provided an updated data cut </w:t>
      </w:r>
      <w:r w:rsidR="00586652">
        <w:rPr>
          <w:lang w:val="en-GB"/>
        </w:rPr>
        <w:t>(</w:t>
      </w:r>
      <w:r w:rsidR="00842B7C">
        <w:rPr>
          <w:lang w:val="en-GB"/>
        </w:rPr>
        <w:t>May 2020</w:t>
      </w:r>
      <w:r w:rsidR="00586652">
        <w:rPr>
          <w:lang w:val="en-GB"/>
        </w:rPr>
        <w:t xml:space="preserve">) </w:t>
      </w:r>
      <w:r>
        <w:rPr>
          <w:lang w:val="en-GB"/>
        </w:rPr>
        <w:t xml:space="preserve">from BEACON CRC </w:t>
      </w:r>
      <w:r w:rsidR="0035500B">
        <w:rPr>
          <w:lang w:val="en-GB"/>
        </w:rPr>
        <w:t>after</w:t>
      </w:r>
      <w:r>
        <w:rPr>
          <w:lang w:val="en-GB"/>
        </w:rPr>
        <w:t xml:space="preserve"> technical engagement. The data cut provided an additional 9</w:t>
      </w:r>
      <w:r w:rsidR="0035500B">
        <w:rPr>
          <w:lang w:val="en-GB"/>
        </w:rPr>
        <w:t> </w:t>
      </w:r>
      <w:r>
        <w:rPr>
          <w:lang w:val="en-GB"/>
        </w:rPr>
        <w:t xml:space="preserve">months of follow up after </w:t>
      </w:r>
      <w:r w:rsidR="0035500B">
        <w:rPr>
          <w:lang w:val="en-GB"/>
        </w:rPr>
        <w:t>the</w:t>
      </w:r>
      <w:r w:rsidR="001F1179">
        <w:rPr>
          <w:lang w:val="en-GB"/>
        </w:rPr>
        <w:t xml:space="preserve"> </w:t>
      </w:r>
      <w:r>
        <w:rPr>
          <w:lang w:val="en-GB"/>
        </w:rPr>
        <w:t>trial had met its primary endpoint</w:t>
      </w:r>
      <w:r w:rsidR="00040222">
        <w:rPr>
          <w:lang w:val="en-GB"/>
        </w:rPr>
        <w:t xml:space="preserve"> (</w:t>
      </w:r>
      <w:r w:rsidR="0035500B">
        <w:rPr>
          <w:lang w:val="en-GB"/>
        </w:rPr>
        <w:t xml:space="preserve">see </w:t>
      </w:r>
      <w:r w:rsidR="00040222">
        <w:rPr>
          <w:lang w:val="en-GB"/>
        </w:rPr>
        <w:t>section</w:t>
      </w:r>
      <w:r w:rsidR="0035500B">
        <w:rPr>
          <w:lang w:val="en-GB"/>
        </w:rPr>
        <w:t> </w:t>
      </w:r>
      <w:r w:rsidR="00842B7C">
        <w:rPr>
          <w:lang w:val="en-GB"/>
        </w:rPr>
        <w:t>3.7</w:t>
      </w:r>
      <w:r w:rsidR="00040222">
        <w:rPr>
          <w:lang w:val="en-GB"/>
        </w:rPr>
        <w:t>)</w:t>
      </w:r>
      <w:r>
        <w:rPr>
          <w:lang w:val="en-GB"/>
        </w:rPr>
        <w:t xml:space="preserve">. </w:t>
      </w:r>
      <w:r w:rsidR="00AE569A">
        <w:rPr>
          <w:lang w:val="en-GB"/>
        </w:rPr>
        <w:t xml:space="preserve">The </w:t>
      </w:r>
      <w:r>
        <w:rPr>
          <w:lang w:val="en-GB"/>
        </w:rPr>
        <w:t xml:space="preserve">ERG </w:t>
      </w:r>
      <w:r w:rsidR="00800B86">
        <w:rPr>
          <w:lang w:val="en-GB"/>
        </w:rPr>
        <w:t xml:space="preserve">highlighted that the data cut </w:t>
      </w:r>
      <w:r>
        <w:rPr>
          <w:lang w:val="en-GB"/>
        </w:rPr>
        <w:t xml:space="preserve">was unplanned and, at the time of submission, subject to further validation and data cleaning. </w:t>
      </w:r>
      <w:r w:rsidR="00800B86">
        <w:rPr>
          <w:lang w:val="en-GB"/>
        </w:rPr>
        <w:t>The ERG explained</w:t>
      </w:r>
      <w:r>
        <w:rPr>
          <w:lang w:val="en-GB"/>
        </w:rPr>
        <w:t xml:space="preserve"> </w:t>
      </w:r>
      <w:r w:rsidR="00800B86">
        <w:rPr>
          <w:lang w:val="en-GB"/>
        </w:rPr>
        <w:t>that the</w:t>
      </w:r>
      <w:r>
        <w:rPr>
          <w:lang w:val="en-GB"/>
        </w:rPr>
        <w:t xml:space="preserve"> data could be biased in favour of </w:t>
      </w:r>
      <w:r w:rsidR="00800B86">
        <w:rPr>
          <w:lang w:val="en-GB"/>
        </w:rPr>
        <w:t xml:space="preserve">encorafenib </w:t>
      </w:r>
      <w:r w:rsidR="0035500B">
        <w:rPr>
          <w:lang w:val="en-GB"/>
        </w:rPr>
        <w:t>plus</w:t>
      </w:r>
      <w:r w:rsidR="00800B86">
        <w:rPr>
          <w:lang w:val="en-GB"/>
        </w:rPr>
        <w:t xml:space="preserve"> cetuximab</w:t>
      </w:r>
      <w:r>
        <w:rPr>
          <w:lang w:val="en-GB"/>
        </w:rPr>
        <w:t xml:space="preserve">. </w:t>
      </w:r>
      <w:r w:rsidR="0035500B">
        <w:rPr>
          <w:lang w:val="en-GB"/>
        </w:rPr>
        <w:t>During the committee meeting t</w:t>
      </w:r>
      <w:r>
        <w:rPr>
          <w:lang w:val="en-GB"/>
        </w:rPr>
        <w:t xml:space="preserve">he </w:t>
      </w:r>
      <w:r w:rsidR="00800B86">
        <w:rPr>
          <w:lang w:val="en-GB"/>
        </w:rPr>
        <w:t xml:space="preserve">company </w:t>
      </w:r>
      <w:r w:rsidR="0035500B">
        <w:rPr>
          <w:lang w:val="en-GB"/>
        </w:rPr>
        <w:t>confirmed</w:t>
      </w:r>
      <w:r w:rsidR="00040222">
        <w:rPr>
          <w:lang w:val="en-GB"/>
        </w:rPr>
        <w:t xml:space="preserve"> </w:t>
      </w:r>
      <w:r w:rsidR="00800B86">
        <w:rPr>
          <w:lang w:val="en-GB"/>
        </w:rPr>
        <w:t xml:space="preserve">that the updated data had been finalised and </w:t>
      </w:r>
      <w:r w:rsidR="0035500B">
        <w:rPr>
          <w:lang w:val="en-GB"/>
        </w:rPr>
        <w:t xml:space="preserve">needed </w:t>
      </w:r>
      <w:r w:rsidR="00800B86">
        <w:rPr>
          <w:lang w:val="en-GB"/>
        </w:rPr>
        <w:t xml:space="preserve">no changes. The </w:t>
      </w:r>
      <w:r>
        <w:rPr>
          <w:lang w:val="en-GB"/>
        </w:rPr>
        <w:t>committee considered that</w:t>
      </w:r>
      <w:r w:rsidR="00800B86">
        <w:rPr>
          <w:lang w:val="en-GB"/>
        </w:rPr>
        <w:t xml:space="preserve"> additional data on survival outcomes helped when considering the long-term extrapolations and </w:t>
      </w:r>
      <w:r>
        <w:rPr>
          <w:lang w:val="en-GB"/>
        </w:rPr>
        <w:t>agreed that it would take the updated data cut into consideration in its decision making.</w:t>
      </w:r>
    </w:p>
    <w:p w14:paraId="77E7653B" w14:textId="43BB8A54" w:rsidR="003C0FFD" w:rsidRPr="003F04B1" w:rsidRDefault="003C0FFD" w:rsidP="003C0FFD">
      <w:pPr>
        <w:pStyle w:val="Heading2"/>
      </w:pPr>
      <w:r w:rsidRPr="00DC71A9">
        <w:t>Modelling overall survival</w:t>
      </w:r>
      <w:r>
        <w:t xml:space="preserve"> for encorafenib </w:t>
      </w:r>
      <w:r w:rsidR="0035500B">
        <w:t>plus</w:t>
      </w:r>
      <w:r>
        <w:t xml:space="preserve"> cetuximab compared with FOLFIRI</w:t>
      </w:r>
    </w:p>
    <w:p w14:paraId="03237F6C" w14:textId="516D3200" w:rsidR="003C0FFD" w:rsidRDefault="003C0FFD" w:rsidP="003C0FFD">
      <w:pPr>
        <w:pStyle w:val="Heading3"/>
      </w:pPr>
      <w:r>
        <w:t xml:space="preserve">A piecewise approach is preferred for modelling overall survival for encorafenib </w:t>
      </w:r>
      <w:r w:rsidR="008727EF">
        <w:t>plus</w:t>
      </w:r>
      <w:r>
        <w:t xml:space="preserve"> cetuximab</w:t>
      </w:r>
    </w:p>
    <w:p w14:paraId="03DC16CC" w14:textId="1E2F097A" w:rsidR="003C0FFD" w:rsidRPr="003F04B1" w:rsidRDefault="00066050" w:rsidP="003C0FFD">
      <w:pPr>
        <w:pStyle w:val="Numberedlevel2text"/>
      </w:pPr>
      <w:r>
        <w:rPr>
          <w:lang w:val="en-GB"/>
        </w:rPr>
        <w:t xml:space="preserve">Follow up for BEACON </w:t>
      </w:r>
      <w:r w:rsidR="001F1179">
        <w:rPr>
          <w:lang w:val="en-GB"/>
        </w:rPr>
        <w:t xml:space="preserve">CRC </w:t>
      </w:r>
      <w:r>
        <w:rPr>
          <w:lang w:val="en-GB"/>
        </w:rPr>
        <w:t>was short in relation to the modelled time horizon</w:t>
      </w:r>
      <w:r w:rsidR="008727EF">
        <w:rPr>
          <w:lang w:val="en-GB"/>
        </w:rPr>
        <w:t>.</w:t>
      </w:r>
      <w:r>
        <w:rPr>
          <w:lang w:val="en-GB"/>
        </w:rPr>
        <w:t xml:space="preserve"> </w:t>
      </w:r>
      <w:r w:rsidR="008727EF">
        <w:rPr>
          <w:lang w:val="en-GB"/>
        </w:rPr>
        <w:t>S</w:t>
      </w:r>
      <w:r>
        <w:rPr>
          <w:lang w:val="en-GB"/>
        </w:rPr>
        <w:t>o t</w:t>
      </w:r>
      <w:r>
        <w:t xml:space="preserve">he company </w:t>
      </w:r>
      <w:r>
        <w:rPr>
          <w:lang w:val="en-US"/>
        </w:rPr>
        <w:t xml:space="preserve">extrapolated the trial </w:t>
      </w:r>
      <w:r w:rsidR="00C55502">
        <w:rPr>
          <w:lang w:val="en-US"/>
        </w:rPr>
        <w:t xml:space="preserve">data for the </w:t>
      </w:r>
      <w:r>
        <w:t xml:space="preserve">encorafenib </w:t>
      </w:r>
      <w:r w:rsidR="008727EF">
        <w:rPr>
          <w:lang w:val="en-GB"/>
        </w:rPr>
        <w:t>plus</w:t>
      </w:r>
      <w:r w:rsidR="008727EF">
        <w:t xml:space="preserve"> </w:t>
      </w:r>
      <w:r>
        <w:t xml:space="preserve">cetuximab </w:t>
      </w:r>
      <w:r>
        <w:rPr>
          <w:lang w:val="en-GB"/>
        </w:rPr>
        <w:t>arm</w:t>
      </w:r>
      <w:r w:rsidR="008727EF">
        <w:rPr>
          <w:lang w:val="en-GB"/>
        </w:rPr>
        <w:t>,</w:t>
      </w:r>
      <w:r>
        <w:rPr>
          <w:lang w:val="en-GB"/>
        </w:rPr>
        <w:t xml:space="preserve"> </w:t>
      </w:r>
      <w:r>
        <w:rPr>
          <w:lang w:val="en-US"/>
        </w:rPr>
        <w:t>choosing a log-logistic distribution</w:t>
      </w:r>
      <w:r>
        <w:t xml:space="preserve"> in its base case</w:t>
      </w:r>
      <w:r>
        <w:rPr>
          <w:lang w:val="en-GB"/>
        </w:rPr>
        <w:t xml:space="preserve">. </w:t>
      </w:r>
      <w:r>
        <w:t xml:space="preserve">The ERG noted that the </w:t>
      </w:r>
      <w:r>
        <w:rPr>
          <w:lang w:val="en-US"/>
        </w:rPr>
        <w:t>log-logistic</w:t>
      </w:r>
      <w:r>
        <w:t xml:space="preserve"> </w:t>
      </w:r>
      <w:r>
        <w:rPr>
          <w:lang w:val="en-US"/>
        </w:rPr>
        <w:t>distribution</w:t>
      </w:r>
      <w:r>
        <w:t xml:space="preserve"> provided the best </w:t>
      </w:r>
      <w:r>
        <w:rPr>
          <w:lang w:val="en-GB"/>
        </w:rPr>
        <w:t xml:space="preserve">statistical </w:t>
      </w:r>
      <w:r>
        <w:t xml:space="preserve">fit to the trial data, </w:t>
      </w:r>
      <w:r>
        <w:rPr>
          <w:lang w:val="en-GB"/>
        </w:rPr>
        <w:t>but</w:t>
      </w:r>
      <w:r>
        <w:t xml:space="preserve"> other </w:t>
      </w:r>
      <w:r>
        <w:rPr>
          <w:lang w:val="en-GB"/>
        </w:rPr>
        <w:t>distributions</w:t>
      </w:r>
      <w:r>
        <w:t xml:space="preserve"> </w:t>
      </w:r>
      <w:r>
        <w:rPr>
          <w:lang w:val="en-US"/>
        </w:rPr>
        <w:t xml:space="preserve">had </w:t>
      </w:r>
      <w:r>
        <w:t xml:space="preserve">similar </w:t>
      </w:r>
      <w:r>
        <w:rPr>
          <w:lang w:val="en-US"/>
        </w:rPr>
        <w:t xml:space="preserve">statistical </w:t>
      </w:r>
      <w:r>
        <w:t>fit</w:t>
      </w:r>
      <w:r>
        <w:rPr>
          <w:lang w:val="en-GB"/>
        </w:rPr>
        <w:t>s</w:t>
      </w:r>
      <w:r w:rsidR="00335995">
        <w:rPr>
          <w:lang w:val="en-GB"/>
        </w:rPr>
        <w:t xml:space="preserve"> and</w:t>
      </w:r>
      <w:r w:rsidR="00925D58">
        <w:rPr>
          <w:lang w:val="en-GB"/>
        </w:rPr>
        <w:t xml:space="preserve"> none of the distributions fitted the data well</w:t>
      </w:r>
      <w:r w:rsidR="00335995">
        <w:rPr>
          <w:lang w:val="en-GB"/>
        </w:rPr>
        <w:t>. I</w:t>
      </w:r>
      <w:r w:rsidR="009B52E9">
        <w:rPr>
          <w:lang w:val="en-GB"/>
        </w:rPr>
        <w:t xml:space="preserve">t </w:t>
      </w:r>
      <w:r>
        <w:rPr>
          <w:lang w:val="en-GB"/>
        </w:rPr>
        <w:t xml:space="preserve">highlighted that </w:t>
      </w:r>
      <w:r w:rsidR="009B52E9">
        <w:rPr>
          <w:lang w:val="en-GB"/>
        </w:rPr>
        <w:t>t</w:t>
      </w:r>
      <w:r w:rsidR="00925D58">
        <w:rPr>
          <w:lang w:val="en-GB"/>
        </w:rPr>
        <w:t xml:space="preserve">he </w:t>
      </w:r>
      <w:r w:rsidR="00C55502">
        <w:rPr>
          <w:lang w:val="en-GB"/>
        </w:rPr>
        <w:t xml:space="preserve">log-logistic </w:t>
      </w:r>
      <w:r w:rsidR="00925D58">
        <w:rPr>
          <w:lang w:val="en-GB"/>
        </w:rPr>
        <w:t xml:space="preserve">hazard function </w:t>
      </w:r>
      <w:r w:rsidR="00C55502">
        <w:rPr>
          <w:lang w:val="en-GB"/>
        </w:rPr>
        <w:t>was the most optimistic extrapolation</w:t>
      </w:r>
      <w:r>
        <w:t>.</w:t>
      </w:r>
      <w:r>
        <w:rPr>
          <w:lang w:val="en-GB"/>
        </w:rPr>
        <w:t xml:space="preserve"> The committee observed </w:t>
      </w:r>
      <w:r w:rsidR="008C0C5D">
        <w:rPr>
          <w:lang w:val="en-GB"/>
        </w:rPr>
        <w:t xml:space="preserve">that </w:t>
      </w:r>
      <w:r>
        <w:rPr>
          <w:lang w:val="en-GB"/>
        </w:rPr>
        <w:t>the</w:t>
      </w:r>
      <w:r w:rsidR="003C0FFD">
        <w:rPr>
          <w:lang w:val="en-GB"/>
        </w:rPr>
        <w:t xml:space="preserve"> hazard function for the BEACON CRC overall survival data showed a change in trajectory</w:t>
      </w:r>
      <w:r w:rsidR="002459F5">
        <w:rPr>
          <w:lang w:val="en-GB"/>
        </w:rPr>
        <w:t xml:space="preserve"> </w:t>
      </w:r>
      <w:r w:rsidR="009B5D34">
        <w:rPr>
          <w:lang w:val="en-GB"/>
        </w:rPr>
        <w:t>(slope of the line)</w:t>
      </w:r>
      <w:r w:rsidR="003C0FFD">
        <w:rPr>
          <w:lang w:val="en-GB"/>
        </w:rPr>
        <w:t xml:space="preserve"> for the hazard rate at </w:t>
      </w:r>
      <w:r w:rsidR="005356BF">
        <w:rPr>
          <w:lang w:val="en-GB"/>
        </w:rPr>
        <w:t>2.8</w:t>
      </w:r>
      <w:r w:rsidR="008727EF">
        <w:rPr>
          <w:lang w:val="en-GB"/>
        </w:rPr>
        <w:t> </w:t>
      </w:r>
      <w:r w:rsidR="003C0FFD">
        <w:rPr>
          <w:lang w:val="en-GB"/>
        </w:rPr>
        <w:t>months</w:t>
      </w:r>
      <w:r w:rsidR="00C55502">
        <w:rPr>
          <w:lang w:val="en-GB"/>
        </w:rPr>
        <w:t xml:space="preserve">. The </w:t>
      </w:r>
      <w:r w:rsidRPr="00066050">
        <w:rPr>
          <w:lang w:val="en-GB"/>
        </w:rPr>
        <w:t xml:space="preserve">clinical </w:t>
      </w:r>
      <w:r w:rsidR="00C55502">
        <w:rPr>
          <w:lang w:val="en-GB"/>
        </w:rPr>
        <w:t xml:space="preserve">and patient </w:t>
      </w:r>
      <w:r w:rsidRPr="00066050">
        <w:rPr>
          <w:lang w:val="en-GB"/>
        </w:rPr>
        <w:t xml:space="preserve">experts </w:t>
      </w:r>
      <w:r w:rsidR="008727EF">
        <w:rPr>
          <w:lang w:val="en-GB"/>
        </w:rPr>
        <w:t xml:space="preserve">explained </w:t>
      </w:r>
      <w:r w:rsidR="002C7B49">
        <w:rPr>
          <w:lang w:val="en-GB"/>
        </w:rPr>
        <w:t>that this may be because</w:t>
      </w:r>
      <w:r w:rsidRPr="00066050">
        <w:rPr>
          <w:lang w:val="en-GB"/>
        </w:rPr>
        <w:t xml:space="preserve"> </w:t>
      </w:r>
      <w:r w:rsidR="00B5507C">
        <w:rPr>
          <w:lang w:val="en-GB"/>
        </w:rPr>
        <w:t xml:space="preserve">disease </w:t>
      </w:r>
      <w:r w:rsidRPr="00066050">
        <w:rPr>
          <w:lang w:val="en-GB"/>
        </w:rPr>
        <w:t>respon</w:t>
      </w:r>
      <w:r w:rsidR="00B5507C">
        <w:rPr>
          <w:lang w:val="en-GB"/>
        </w:rPr>
        <w:t>d</w:t>
      </w:r>
      <w:r w:rsidRPr="00066050">
        <w:rPr>
          <w:lang w:val="en-GB"/>
        </w:rPr>
        <w:t xml:space="preserve">s </w:t>
      </w:r>
      <w:r w:rsidR="002C7B49">
        <w:rPr>
          <w:lang w:val="en-GB"/>
        </w:rPr>
        <w:t xml:space="preserve">quickly </w:t>
      </w:r>
      <w:r w:rsidRPr="00066050">
        <w:rPr>
          <w:lang w:val="en-GB"/>
        </w:rPr>
        <w:t>in p</w:t>
      </w:r>
      <w:r>
        <w:rPr>
          <w:lang w:val="en-GB"/>
        </w:rPr>
        <w:t>eople</w:t>
      </w:r>
      <w:r w:rsidRPr="00066050">
        <w:rPr>
          <w:lang w:val="en-GB"/>
        </w:rPr>
        <w:t xml:space="preserve"> who </w:t>
      </w:r>
      <w:r>
        <w:rPr>
          <w:lang w:val="en-GB"/>
        </w:rPr>
        <w:t>have</w:t>
      </w:r>
      <w:r w:rsidRPr="00066050">
        <w:rPr>
          <w:lang w:val="en-GB"/>
        </w:rPr>
        <w:t xml:space="preserve"> encorafenib </w:t>
      </w:r>
      <w:r w:rsidR="008727EF">
        <w:rPr>
          <w:lang w:val="en-GB"/>
        </w:rPr>
        <w:t>plus</w:t>
      </w:r>
      <w:r w:rsidR="00241084">
        <w:rPr>
          <w:lang w:val="en-GB"/>
        </w:rPr>
        <w:t xml:space="preserve"> </w:t>
      </w:r>
      <w:r w:rsidRPr="00066050">
        <w:rPr>
          <w:lang w:val="en-GB"/>
        </w:rPr>
        <w:t>cetuximab</w:t>
      </w:r>
      <w:r>
        <w:rPr>
          <w:lang w:val="en-GB"/>
        </w:rPr>
        <w:t>.</w:t>
      </w:r>
      <w:r w:rsidR="003C0FFD">
        <w:rPr>
          <w:lang w:val="en-GB"/>
        </w:rPr>
        <w:t xml:space="preserve"> </w:t>
      </w:r>
      <w:r w:rsidR="009B52E9">
        <w:rPr>
          <w:lang w:val="en-GB"/>
        </w:rPr>
        <w:t xml:space="preserve">The clinical experts </w:t>
      </w:r>
      <w:r w:rsidR="00DA0276">
        <w:rPr>
          <w:lang w:val="en-GB"/>
        </w:rPr>
        <w:t xml:space="preserve">said </w:t>
      </w:r>
      <w:r w:rsidR="009B52E9">
        <w:rPr>
          <w:lang w:val="en-GB"/>
        </w:rPr>
        <w:t xml:space="preserve">that tumour marker </w:t>
      </w:r>
      <w:r w:rsidR="009B52E9">
        <w:rPr>
          <w:lang w:val="en-GB"/>
        </w:rPr>
        <w:lastRenderedPageBreak/>
        <w:t>responses could be seen from as early as 2</w:t>
      </w:r>
      <w:r w:rsidR="008727EF">
        <w:rPr>
          <w:lang w:val="en-GB"/>
        </w:rPr>
        <w:t> </w:t>
      </w:r>
      <w:r w:rsidR="009B52E9">
        <w:rPr>
          <w:lang w:val="en-GB"/>
        </w:rPr>
        <w:t>weeks after treatment with e</w:t>
      </w:r>
      <w:r w:rsidR="00335995">
        <w:rPr>
          <w:lang w:val="en-GB"/>
        </w:rPr>
        <w:t>nc</w:t>
      </w:r>
      <w:r w:rsidR="009B52E9">
        <w:rPr>
          <w:lang w:val="en-GB"/>
        </w:rPr>
        <w:t>oraf</w:t>
      </w:r>
      <w:r w:rsidR="00335995">
        <w:rPr>
          <w:lang w:val="en-GB"/>
        </w:rPr>
        <w:t>e</w:t>
      </w:r>
      <w:r w:rsidR="009B52E9">
        <w:rPr>
          <w:lang w:val="en-GB"/>
        </w:rPr>
        <w:t xml:space="preserve">nib </w:t>
      </w:r>
      <w:r w:rsidR="008727EF">
        <w:rPr>
          <w:lang w:val="en-GB"/>
        </w:rPr>
        <w:t>plus</w:t>
      </w:r>
      <w:r w:rsidR="00335995">
        <w:rPr>
          <w:lang w:val="en-GB"/>
        </w:rPr>
        <w:t xml:space="preserve"> </w:t>
      </w:r>
      <w:r w:rsidR="009B52E9">
        <w:rPr>
          <w:lang w:val="en-GB"/>
        </w:rPr>
        <w:t xml:space="preserve">cetuximab. </w:t>
      </w:r>
      <w:r>
        <w:rPr>
          <w:lang w:val="en-GB"/>
        </w:rPr>
        <w:t>The committee w</w:t>
      </w:r>
      <w:r w:rsidR="008727EF">
        <w:rPr>
          <w:lang w:val="en-GB"/>
        </w:rPr>
        <w:t>as</w:t>
      </w:r>
      <w:r>
        <w:rPr>
          <w:lang w:val="en-GB"/>
        </w:rPr>
        <w:t xml:space="preserve"> aware </w:t>
      </w:r>
      <w:r w:rsidR="008727EF">
        <w:rPr>
          <w:lang w:val="en-GB"/>
        </w:rPr>
        <w:t xml:space="preserve">that </w:t>
      </w:r>
      <w:r>
        <w:rPr>
          <w:lang w:val="en-GB"/>
        </w:rPr>
        <w:t>the</w:t>
      </w:r>
      <w:r w:rsidR="003C0FFD">
        <w:rPr>
          <w:lang w:val="en-GB"/>
        </w:rPr>
        <w:t xml:space="preserve"> ERG preferred to fit the extrapolat</w:t>
      </w:r>
      <w:r>
        <w:rPr>
          <w:lang w:val="en-GB"/>
        </w:rPr>
        <w:t>ed</w:t>
      </w:r>
      <w:r w:rsidR="003C0FFD">
        <w:rPr>
          <w:lang w:val="en-GB"/>
        </w:rPr>
        <w:t xml:space="preserve"> curve from </w:t>
      </w:r>
      <w:r>
        <w:rPr>
          <w:lang w:val="en-GB"/>
        </w:rPr>
        <w:t>2.8</w:t>
      </w:r>
      <w:r w:rsidR="008727EF">
        <w:rPr>
          <w:lang w:val="en-GB"/>
        </w:rPr>
        <w:t> </w:t>
      </w:r>
      <w:r w:rsidR="003C0FFD">
        <w:rPr>
          <w:lang w:val="en-GB"/>
        </w:rPr>
        <w:t>months onwards</w:t>
      </w:r>
      <w:r>
        <w:rPr>
          <w:lang w:val="en-GB"/>
        </w:rPr>
        <w:t>, using the Kaplan</w:t>
      </w:r>
      <w:r w:rsidR="0020504D">
        <w:rPr>
          <w:lang w:val="en-GB"/>
        </w:rPr>
        <w:t>–</w:t>
      </w:r>
      <w:r w:rsidR="00335995">
        <w:rPr>
          <w:lang w:val="en-GB"/>
        </w:rPr>
        <w:t>Meier</w:t>
      </w:r>
      <w:r>
        <w:rPr>
          <w:lang w:val="en-GB"/>
        </w:rPr>
        <w:t xml:space="preserve"> data up to this point</w:t>
      </w:r>
      <w:r w:rsidR="009B52E9">
        <w:rPr>
          <w:lang w:val="en-GB"/>
        </w:rPr>
        <w:t>, rather than replacing the data with a model</w:t>
      </w:r>
      <w:r w:rsidR="003C0FFD">
        <w:rPr>
          <w:lang w:val="en-GB"/>
        </w:rPr>
        <w:t xml:space="preserve">. The committee concluded that it was appropriate to model overall survival for encorafenib </w:t>
      </w:r>
      <w:r w:rsidR="008727EF">
        <w:rPr>
          <w:lang w:val="en-GB"/>
        </w:rPr>
        <w:t>plus</w:t>
      </w:r>
      <w:r w:rsidR="00DD1173">
        <w:rPr>
          <w:lang w:val="en-GB"/>
        </w:rPr>
        <w:t xml:space="preserve"> </w:t>
      </w:r>
      <w:r w:rsidR="003C0FFD">
        <w:rPr>
          <w:lang w:val="en-GB"/>
        </w:rPr>
        <w:t>cetuximab using a piecewise approach.</w:t>
      </w:r>
    </w:p>
    <w:p w14:paraId="2D634B4E" w14:textId="4255C270" w:rsidR="003C0FFD" w:rsidRPr="00307990" w:rsidRDefault="003C0FFD" w:rsidP="003C0FFD">
      <w:pPr>
        <w:pStyle w:val="Heading3"/>
      </w:pPr>
      <w:r>
        <w:t xml:space="preserve">Further exploration of modelling overall survival for encorafenib </w:t>
      </w:r>
      <w:r w:rsidR="00B5507C">
        <w:t>plus</w:t>
      </w:r>
      <w:r>
        <w:t xml:space="preserve"> cetuximab is needed</w:t>
      </w:r>
    </w:p>
    <w:p w14:paraId="554CCCD6" w14:textId="6FF98232" w:rsidR="003C0FFD" w:rsidRPr="00210518" w:rsidRDefault="00066050" w:rsidP="003C0FFD">
      <w:pPr>
        <w:pStyle w:val="Numberedlevel2text"/>
      </w:pPr>
      <w:r>
        <w:rPr>
          <w:lang w:val="en-GB"/>
        </w:rPr>
        <w:t xml:space="preserve">Having concluded </w:t>
      </w:r>
      <w:r w:rsidR="00401341">
        <w:rPr>
          <w:lang w:val="en-GB"/>
        </w:rPr>
        <w:t xml:space="preserve">that </w:t>
      </w:r>
      <w:r>
        <w:rPr>
          <w:lang w:val="en-GB"/>
        </w:rPr>
        <w:t>a piecewise approach was the most appropriate method to model overall survival in the e</w:t>
      </w:r>
      <w:r w:rsidR="00241084">
        <w:rPr>
          <w:lang w:val="en-GB"/>
        </w:rPr>
        <w:t>n</w:t>
      </w:r>
      <w:r>
        <w:rPr>
          <w:lang w:val="en-GB"/>
        </w:rPr>
        <w:t xml:space="preserve">corafenib </w:t>
      </w:r>
      <w:r w:rsidR="00401341">
        <w:rPr>
          <w:lang w:val="en-GB"/>
        </w:rPr>
        <w:t>plus</w:t>
      </w:r>
      <w:r>
        <w:rPr>
          <w:lang w:val="en-GB"/>
        </w:rPr>
        <w:t xml:space="preserve"> cetuximab arm</w:t>
      </w:r>
      <w:r w:rsidR="00413DB8">
        <w:rPr>
          <w:lang w:val="en-GB"/>
        </w:rPr>
        <w:t>, the</w:t>
      </w:r>
      <w:r>
        <w:rPr>
          <w:lang w:val="en-GB"/>
        </w:rPr>
        <w:t xml:space="preserve"> committee considered the alternative models used by the company and the</w:t>
      </w:r>
      <w:r w:rsidR="003C0FFD">
        <w:rPr>
          <w:lang w:val="en-GB"/>
        </w:rPr>
        <w:t xml:space="preserve"> ERG</w:t>
      </w:r>
      <w:r>
        <w:rPr>
          <w:lang w:val="en-GB"/>
        </w:rPr>
        <w:t xml:space="preserve">. The ERG chose the </w:t>
      </w:r>
      <w:r w:rsidR="003C0FFD">
        <w:rPr>
          <w:lang w:val="en-GB"/>
        </w:rPr>
        <w:t xml:space="preserve">exponential </w:t>
      </w:r>
      <w:r>
        <w:rPr>
          <w:lang w:val="en-GB"/>
        </w:rPr>
        <w:t>distribution</w:t>
      </w:r>
      <w:r w:rsidR="003C0FFD">
        <w:rPr>
          <w:lang w:val="en-GB"/>
        </w:rPr>
        <w:t xml:space="preserve"> from 2.8</w:t>
      </w:r>
      <w:r w:rsidR="00401341">
        <w:rPr>
          <w:lang w:val="en-GB"/>
        </w:rPr>
        <w:t> </w:t>
      </w:r>
      <w:r w:rsidR="003C0FFD">
        <w:rPr>
          <w:lang w:val="en-GB"/>
        </w:rPr>
        <w:t>months</w:t>
      </w:r>
      <w:r>
        <w:rPr>
          <w:lang w:val="en-GB"/>
        </w:rPr>
        <w:t xml:space="preserve"> </w:t>
      </w:r>
      <w:r w:rsidR="00413DB8">
        <w:rPr>
          <w:lang w:val="en-GB"/>
        </w:rPr>
        <w:t>onward</w:t>
      </w:r>
      <w:r w:rsidR="00401341">
        <w:rPr>
          <w:lang w:val="en-GB"/>
        </w:rPr>
        <w:t>s</w:t>
      </w:r>
      <w:r w:rsidR="00413DB8">
        <w:rPr>
          <w:lang w:val="en-GB"/>
        </w:rPr>
        <w:t xml:space="preserve">, </w:t>
      </w:r>
      <w:r>
        <w:rPr>
          <w:lang w:val="en-GB"/>
        </w:rPr>
        <w:t xml:space="preserve">but </w:t>
      </w:r>
      <w:r w:rsidR="00401341">
        <w:rPr>
          <w:lang w:val="en-GB"/>
        </w:rPr>
        <w:t xml:space="preserve">it </w:t>
      </w:r>
      <w:r>
        <w:rPr>
          <w:lang w:val="en-GB"/>
        </w:rPr>
        <w:t>w</w:t>
      </w:r>
      <w:r w:rsidR="00413DB8">
        <w:rPr>
          <w:lang w:val="en-GB"/>
        </w:rPr>
        <w:t>as</w:t>
      </w:r>
      <w:r>
        <w:rPr>
          <w:lang w:val="en-GB"/>
        </w:rPr>
        <w:t xml:space="preserve"> unable to provide updated analyses using the latest data cut</w:t>
      </w:r>
      <w:r w:rsidR="00413DB8">
        <w:rPr>
          <w:lang w:val="en-GB"/>
        </w:rPr>
        <w:t xml:space="preserve"> (</w:t>
      </w:r>
      <w:r w:rsidR="000F6004">
        <w:rPr>
          <w:lang w:val="en-GB"/>
        </w:rPr>
        <w:t>May 2020</w:t>
      </w:r>
      <w:r w:rsidR="00413DB8">
        <w:rPr>
          <w:lang w:val="en-GB"/>
        </w:rPr>
        <w:t>)</w:t>
      </w:r>
      <w:r>
        <w:rPr>
          <w:lang w:val="en-GB"/>
        </w:rPr>
        <w:t xml:space="preserve">. </w:t>
      </w:r>
      <w:r w:rsidR="00766805">
        <w:rPr>
          <w:lang w:val="en-GB"/>
        </w:rPr>
        <w:t>The committee was aware that models are fit</w:t>
      </w:r>
      <w:r w:rsidR="00401341">
        <w:rPr>
          <w:lang w:val="en-GB"/>
        </w:rPr>
        <w:t>ted</w:t>
      </w:r>
      <w:r w:rsidR="00766805">
        <w:rPr>
          <w:lang w:val="en-GB"/>
        </w:rPr>
        <w:t xml:space="preserve"> to observed data, and that de</w:t>
      </w:r>
      <w:r w:rsidR="00401341">
        <w:rPr>
          <w:lang w:val="en-GB"/>
        </w:rPr>
        <w:t>ciding</w:t>
      </w:r>
      <w:r w:rsidR="00766805">
        <w:rPr>
          <w:lang w:val="en-GB"/>
        </w:rPr>
        <w:t xml:space="preserve"> whether extrapolations are plausible </w:t>
      </w:r>
      <w:r w:rsidR="00401341">
        <w:rPr>
          <w:lang w:val="en-GB"/>
        </w:rPr>
        <w:t xml:space="preserve">needs </w:t>
      </w:r>
      <w:r w:rsidR="00766805">
        <w:rPr>
          <w:lang w:val="en-GB"/>
        </w:rPr>
        <w:t xml:space="preserve">clinical input. </w:t>
      </w:r>
      <w:r>
        <w:rPr>
          <w:lang w:val="en-GB"/>
        </w:rPr>
        <w:t xml:space="preserve">The </w:t>
      </w:r>
      <w:r w:rsidR="003C0FFD">
        <w:rPr>
          <w:lang w:val="en-GB"/>
        </w:rPr>
        <w:t>clinical experts explained that th</w:t>
      </w:r>
      <w:r w:rsidR="00766805">
        <w:rPr>
          <w:lang w:val="en-GB"/>
        </w:rPr>
        <w:t xml:space="preserve">e exponential </w:t>
      </w:r>
      <w:r w:rsidR="003C0FFD">
        <w:rPr>
          <w:lang w:val="en-GB"/>
        </w:rPr>
        <w:t xml:space="preserve">approach </w:t>
      </w:r>
      <w:r>
        <w:rPr>
          <w:lang w:val="en-GB"/>
        </w:rPr>
        <w:t>seemed</w:t>
      </w:r>
      <w:r w:rsidR="003C0FFD">
        <w:rPr>
          <w:lang w:val="en-GB"/>
        </w:rPr>
        <w:t xml:space="preserve"> pessimistic</w:t>
      </w:r>
      <w:r w:rsidR="00413DB8">
        <w:rPr>
          <w:lang w:val="en-GB"/>
        </w:rPr>
        <w:t xml:space="preserve"> because </w:t>
      </w:r>
      <w:r w:rsidR="0032214B">
        <w:rPr>
          <w:lang w:val="en-GB"/>
        </w:rPr>
        <w:t>it predicted that fewer</w:t>
      </w:r>
      <w:r w:rsidR="00413DB8">
        <w:rPr>
          <w:lang w:val="en-GB"/>
        </w:rPr>
        <w:t xml:space="preserve"> p</w:t>
      </w:r>
      <w:r w:rsidR="00D568B7">
        <w:rPr>
          <w:lang w:val="en-GB"/>
        </w:rPr>
        <w:t>eople</w:t>
      </w:r>
      <w:r w:rsidR="00413DB8">
        <w:rPr>
          <w:lang w:val="en-GB"/>
        </w:rPr>
        <w:t xml:space="preserve"> </w:t>
      </w:r>
      <w:r w:rsidR="00401341">
        <w:rPr>
          <w:lang w:val="en-GB"/>
        </w:rPr>
        <w:t xml:space="preserve">than expected </w:t>
      </w:r>
      <w:r w:rsidR="00413DB8">
        <w:rPr>
          <w:lang w:val="en-GB"/>
        </w:rPr>
        <w:t>would be</w:t>
      </w:r>
      <w:r w:rsidR="0032214B">
        <w:rPr>
          <w:lang w:val="en-GB"/>
        </w:rPr>
        <w:t xml:space="preserve"> alive </w:t>
      </w:r>
      <w:r w:rsidR="00766805">
        <w:rPr>
          <w:lang w:val="en-GB"/>
        </w:rPr>
        <w:t>after 5</w:t>
      </w:r>
      <w:r w:rsidR="00401341">
        <w:rPr>
          <w:lang w:val="en-GB"/>
        </w:rPr>
        <w:t> </w:t>
      </w:r>
      <w:r w:rsidR="00766805">
        <w:rPr>
          <w:lang w:val="en-GB"/>
        </w:rPr>
        <w:t>years</w:t>
      </w:r>
      <w:r w:rsidR="003C0FFD">
        <w:rPr>
          <w:lang w:val="en-GB"/>
        </w:rPr>
        <w:t xml:space="preserve">. </w:t>
      </w:r>
      <w:r w:rsidR="00DD01AA">
        <w:rPr>
          <w:lang w:val="en-GB"/>
        </w:rPr>
        <w:t>After</w:t>
      </w:r>
      <w:r>
        <w:rPr>
          <w:lang w:val="en-GB"/>
        </w:rPr>
        <w:t xml:space="preserve"> technical engagement the company provided 2</w:t>
      </w:r>
      <w:r w:rsidR="00DD01AA">
        <w:rPr>
          <w:lang w:val="en-GB"/>
        </w:rPr>
        <w:t> </w:t>
      </w:r>
      <w:r>
        <w:rPr>
          <w:lang w:val="en-GB"/>
        </w:rPr>
        <w:t>scenario analyses using piecewise curves</w:t>
      </w:r>
      <w:r w:rsidR="002C7B49">
        <w:rPr>
          <w:lang w:val="en-GB"/>
        </w:rPr>
        <w:t>,</w:t>
      </w:r>
      <w:r>
        <w:rPr>
          <w:lang w:val="en-GB"/>
        </w:rPr>
        <w:t xml:space="preserve"> </w:t>
      </w:r>
      <w:r w:rsidR="00C96600">
        <w:rPr>
          <w:lang w:val="en-GB"/>
        </w:rPr>
        <w:t>applying</w:t>
      </w:r>
      <w:r w:rsidR="00766805">
        <w:rPr>
          <w:lang w:val="en-GB"/>
        </w:rPr>
        <w:t xml:space="preserve"> </w:t>
      </w:r>
      <w:r>
        <w:rPr>
          <w:lang w:val="en-GB"/>
        </w:rPr>
        <w:t>the log-logistic and the ERG</w:t>
      </w:r>
      <w:r w:rsidR="00766805">
        <w:rPr>
          <w:lang w:val="en-GB"/>
        </w:rPr>
        <w:t>-</w:t>
      </w:r>
      <w:r>
        <w:rPr>
          <w:lang w:val="en-GB"/>
        </w:rPr>
        <w:t>preferred exponential distribution</w:t>
      </w:r>
      <w:r w:rsidR="00766805">
        <w:rPr>
          <w:lang w:val="en-GB"/>
        </w:rPr>
        <w:t>s</w:t>
      </w:r>
      <w:r w:rsidR="00F722D9">
        <w:rPr>
          <w:lang w:val="en-GB"/>
        </w:rPr>
        <w:t xml:space="preserve"> </w:t>
      </w:r>
      <w:r w:rsidR="00C96600">
        <w:rPr>
          <w:lang w:val="en-GB"/>
        </w:rPr>
        <w:t xml:space="preserve">to </w:t>
      </w:r>
      <w:r w:rsidR="00766805">
        <w:rPr>
          <w:lang w:val="en-GB"/>
        </w:rPr>
        <w:t>the</w:t>
      </w:r>
      <w:r w:rsidR="00F722D9">
        <w:rPr>
          <w:lang w:val="en-GB"/>
        </w:rPr>
        <w:t xml:space="preserve"> updated May 2020 data cut. The committee noted that </w:t>
      </w:r>
      <w:r w:rsidR="00766805">
        <w:rPr>
          <w:lang w:val="en-GB"/>
        </w:rPr>
        <w:t xml:space="preserve">it </w:t>
      </w:r>
      <w:r w:rsidR="00F722D9">
        <w:rPr>
          <w:lang w:val="en-GB"/>
        </w:rPr>
        <w:t xml:space="preserve">had not been provided with </w:t>
      </w:r>
      <w:r w:rsidR="00FF151E">
        <w:rPr>
          <w:lang w:val="en-GB"/>
        </w:rPr>
        <w:t xml:space="preserve">results for other parametric curves. It would </w:t>
      </w:r>
      <w:r w:rsidR="00766805">
        <w:rPr>
          <w:lang w:val="en-GB"/>
        </w:rPr>
        <w:t xml:space="preserve">have </w:t>
      </w:r>
      <w:r w:rsidR="00FF151E">
        <w:rPr>
          <w:lang w:val="en-GB"/>
        </w:rPr>
        <w:t>prefer</w:t>
      </w:r>
      <w:r w:rsidR="00766805">
        <w:rPr>
          <w:lang w:val="en-GB"/>
        </w:rPr>
        <w:t>red</w:t>
      </w:r>
      <w:r w:rsidR="00FF151E">
        <w:rPr>
          <w:lang w:val="en-GB"/>
        </w:rPr>
        <w:t xml:space="preserve"> to </w:t>
      </w:r>
      <w:r w:rsidR="00766805">
        <w:rPr>
          <w:lang w:val="en-GB"/>
        </w:rPr>
        <w:t xml:space="preserve">have </w:t>
      </w:r>
      <w:r w:rsidR="00FF151E">
        <w:rPr>
          <w:lang w:val="en-GB"/>
        </w:rPr>
        <w:t>see</w:t>
      </w:r>
      <w:r w:rsidR="00766805">
        <w:rPr>
          <w:lang w:val="en-GB"/>
        </w:rPr>
        <w:t>n</w:t>
      </w:r>
      <w:r w:rsidR="00FF151E">
        <w:rPr>
          <w:lang w:val="en-GB"/>
        </w:rPr>
        <w:t xml:space="preserve"> </w:t>
      </w:r>
      <w:r w:rsidR="00F722D9">
        <w:rPr>
          <w:lang w:val="en-GB"/>
        </w:rPr>
        <w:t xml:space="preserve">survival outcomes </w:t>
      </w:r>
      <w:r w:rsidR="00766805">
        <w:rPr>
          <w:lang w:val="en-GB"/>
        </w:rPr>
        <w:t>displayed</w:t>
      </w:r>
      <w:r w:rsidR="00F722D9">
        <w:rPr>
          <w:lang w:val="en-GB"/>
        </w:rPr>
        <w:t xml:space="preserve"> visual</w:t>
      </w:r>
      <w:r w:rsidR="00766805">
        <w:rPr>
          <w:lang w:val="en-GB"/>
        </w:rPr>
        <w:t xml:space="preserve">ly for </w:t>
      </w:r>
      <w:r w:rsidR="000F6004">
        <w:rPr>
          <w:lang w:val="en-GB"/>
        </w:rPr>
        <w:t xml:space="preserve">a </w:t>
      </w:r>
      <w:r w:rsidR="00766805">
        <w:rPr>
          <w:lang w:val="en-GB"/>
        </w:rPr>
        <w:t>variety of</w:t>
      </w:r>
      <w:r w:rsidR="00F722D9">
        <w:rPr>
          <w:lang w:val="en-GB"/>
        </w:rPr>
        <w:t xml:space="preserve"> the extrapolations </w:t>
      </w:r>
      <w:r w:rsidR="00766805">
        <w:rPr>
          <w:lang w:val="en-GB"/>
        </w:rPr>
        <w:t>and the</w:t>
      </w:r>
      <w:r w:rsidR="00F722D9">
        <w:rPr>
          <w:lang w:val="en-GB"/>
        </w:rPr>
        <w:t xml:space="preserve"> results of the statistical fit </w:t>
      </w:r>
      <w:r w:rsidR="00DD01AA">
        <w:rPr>
          <w:lang w:val="en-GB"/>
        </w:rPr>
        <w:t>for</w:t>
      </w:r>
      <w:r w:rsidR="00F722D9">
        <w:rPr>
          <w:lang w:val="en-GB"/>
        </w:rPr>
        <w:t xml:space="preserve"> the piecewise curves. </w:t>
      </w:r>
      <w:r w:rsidR="003C0FFD">
        <w:rPr>
          <w:lang w:val="en-GB"/>
        </w:rPr>
        <w:t xml:space="preserve">The committee concluded </w:t>
      </w:r>
      <w:r w:rsidR="00F722D9">
        <w:rPr>
          <w:lang w:val="en-GB"/>
        </w:rPr>
        <w:t xml:space="preserve">that </w:t>
      </w:r>
      <w:r w:rsidR="00FF151E">
        <w:rPr>
          <w:lang w:val="en-GB"/>
        </w:rPr>
        <w:t xml:space="preserve">it </w:t>
      </w:r>
      <w:r w:rsidR="003C0FFD">
        <w:rPr>
          <w:lang w:val="en-GB"/>
        </w:rPr>
        <w:t xml:space="preserve">would </w:t>
      </w:r>
      <w:r w:rsidR="00DD01AA">
        <w:rPr>
          <w:lang w:val="en-GB"/>
        </w:rPr>
        <w:t xml:space="preserve">have </w:t>
      </w:r>
      <w:r w:rsidR="003C0FFD">
        <w:rPr>
          <w:lang w:val="en-GB"/>
        </w:rPr>
        <w:t>prefer</w:t>
      </w:r>
      <w:r w:rsidR="00DD01AA">
        <w:rPr>
          <w:lang w:val="en-GB"/>
        </w:rPr>
        <w:t>red</w:t>
      </w:r>
      <w:r w:rsidR="003C0FFD">
        <w:rPr>
          <w:lang w:val="en-GB"/>
        </w:rPr>
        <w:t xml:space="preserve"> to see </w:t>
      </w:r>
      <w:r w:rsidR="00F722D9">
        <w:rPr>
          <w:lang w:val="en-GB"/>
        </w:rPr>
        <w:t xml:space="preserve">further exploration of </w:t>
      </w:r>
      <w:r w:rsidR="003C0FFD">
        <w:rPr>
          <w:lang w:val="en-GB"/>
        </w:rPr>
        <w:t>piecewise approaches, using the May 2020 data cut and a variety of curve extrapolations.</w:t>
      </w:r>
    </w:p>
    <w:p w14:paraId="7E5B12B4" w14:textId="32E29C8A" w:rsidR="003C0FFD" w:rsidRDefault="002C7B49" w:rsidP="003C0FFD">
      <w:pPr>
        <w:pStyle w:val="Heading3"/>
      </w:pPr>
      <w:r>
        <w:t>The ERG’s preferred approach is pessimistic and further exploration is needed to m</w:t>
      </w:r>
      <w:r w:rsidR="003C0FFD">
        <w:t>odel overall survival for FOLFIRI</w:t>
      </w:r>
    </w:p>
    <w:p w14:paraId="06E98D90" w14:textId="43D0C93D" w:rsidR="003C0FFD" w:rsidRPr="00EB7154" w:rsidRDefault="003C0FFD" w:rsidP="007E0D0B">
      <w:pPr>
        <w:pStyle w:val="Numberedlevel2text"/>
      </w:pPr>
      <w:r>
        <w:rPr>
          <w:lang w:val="en-GB"/>
        </w:rPr>
        <w:t>The c</w:t>
      </w:r>
      <w:r w:rsidRPr="00210518">
        <w:t>ommittee</w:t>
      </w:r>
      <w:r>
        <w:rPr>
          <w:lang w:val="en-GB"/>
        </w:rPr>
        <w:t xml:space="preserve"> recalled its earlier conclusion that</w:t>
      </w:r>
      <w:r w:rsidR="00F722D9">
        <w:rPr>
          <w:lang w:val="en-GB"/>
        </w:rPr>
        <w:t xml:space="preserve"> </w:t>
      </w:r>
      <w:r w:rsidR="00F722D9">
        <w:t>both approaches</w:t>
      </w:r>
      <w:r w:rsidR="00F722D9">
        <w:rPr>
          <w:lang w:val="en-GB"/>
        </w:rPr>
        <w:t xml:space="preserve"> to determine the relative effect of e</w:t>
      </w:r>
      <w:r w:rsidR="00FF151E">
        <w:rPr>
          <w:lang w:val="en-GB"/>
        </w:rPr>
        <w:t>n</w:t>
      </w:r>
      <w:r w:rsidR="00F722D9">
        <w:rPr>
          <w:lang w:val="en-GB"/>
        </w:rPr>
        <w:t xml:space="preserve">corafenib </w:t>
      </w:r>
      <w:r w:rsidR="00CB69E6">
        <w:rPr>
          <w:lang w:val="en-GB"/>
        </w:rPr>
        <w:t>plus</w:t>
      </w:r>
      <w:r w:rsidR="00F722D9">
        <w:rPr>
          <w:lang w:val="en-GB"/>
        </w:rPr>
        <w:t xml:space="preserve"> cetuximab compared with </w:t>
      </w:r>
      <w:r w:rsidR="00F722D9">
        <w:rPr>
          <w:lang w:val="en-GB"/>
        </w:rPr>
        <w:lastRenderedPageBreak/>
        <w:t>FOL</w:t>
      </w:r>
      <w:r w:rsidR="00CB69E6">
        <w:rPr>
          <w:lang w:val="en-GB"/>
        </w:rPr>
        <w:t>F</w:t>
      </w:r>
      <w:r w:rsidR="00F722D9">
        <w:rPr>
          <w:lang w:val="en-GB"/>
        </w:rPr>
        <w:t>IRI were</w:t>
      </w:r>
      <w:r w:rsidR="00F722D9">
        <w:t xml:space="preserve"> associated with uncertainties</w:t>
      </w:r>
      <w:r w:rsidR="00F722D9">
        <w:rPr>
          <w:lang w:val="en-GB"/>
        </w:rPr>
        <w:t xml:space="preserve">. It recalled its conclusion </w:t>
      </w:r>
      <w:r w:rsidR="00F722D9">
        <w:t xml:space="preserve">that the </w:t>
      </w:r>
      <w:r w:rsidR="00AA1D98">
        <w:rPr>
          <w:lang w:val="en-GB"/>
        </w:rPr>
        <w:t xml:space="preserve">effect of treatment on clinical outcomes from the </w:t>
      </w:r>
      <w:r w:rsidR="00F722D9">
        <w:t>randomised trial w</w:t>
      </w:r>
      <w:r w:rsidR="00CB69E6">
        <w:rPr>
          <w:lang w:val="en-GB"/>
        </w:rPr>
        <w:t>as</w:t>
      </w:r>
      <w:r w:rsidR="00F722D9">
        <w:t xml:space="preserve"> less likely to be biased</w:t>
      </w:r>
      <w:r w:rsidR="00CB69E6">
        <w:rPr>
          <w:lang w:val="en-GB"/>
        </w:rPr>
        <w:t>. B</w:t>
      </w:r>
      <w:r w:rsidR="00F722D9">
        <w:t>ut</w:t>
      </w:r>
      <w:r w:rsidR="00766805">
        <w:rPr>
          <w:lang w:val="en-GB"/>
        </w:rPr>
        <w:t xml:space="preserve">, because </w:t>
      </w:r>
      <w:r w:rsidR="00AA1D98">
        <w:rPr>
          <w:lang w:val="en-GB"/>
        </w:rPr>
        <w:t>the trial</w:t>
      </w:r>
      <w:r w:rsidR="00766805">
        <w:rPr>
          <w:lang w:val="en-GB"/>
        </w:rPr>
        <w:t xml:space="preserve"> did not include a comparator that reflected NHS practice, </w:t>
      </w:r>
      <w:r w:rsidR="00F722D9">
        <w:rPr>
          <w:lang w:val="en-GB"/>
        </w:rPr>
        <w:t xml:space="preserve">it would </w:t>
      </w:r>
      <w:r w:rsidR="00F722D9">
        <w:t xml:space="preserve">take into account </w:t>
      </w:r>
      <w:r w:rsidR="00F722D9">
        <w:rPr>
          <w:lang w:val="en-GB"/>
        </w:rPr>
        <w:t xml:space="preserve">the </w:t>
      </w:r>
      <w:r w:rsidR="00FF151E">
        <w:rPr>
          <w:lang w:val="en-GB"/>
        </w:rPr>
        <w:t>indirect treatment comparison</w:t>
      </w:r>
      <w:r w:rsidR="00F722D9">
        <w:t xml:space="preserve"> in its decision making</w:t>
      </w:r>
      <w:r w:rsidR="00F722D9">
        <w:rPr>
          <w:lang w:val="en-GB"/>
        </w:rPr>
        <w:t xml:space="preserve">. The </w:t>
      </w:r>
      <w:r w:rsidR="007E0D0B" w:rsidRPr="007E0D0B">
        <w:rPr>
          <w:lang w:val="en-GB"/>
        </w:rPr>
        <w:t>company</w:t>
      </w:r>
      <w:r w:rsidR="007E0D0B">
        <w:rPr>
          <w:lang w:val="en-GB"/>
        </w:rPr>
        <w:t xml:space="preserve"> base case </w:t>
      </w:r>
      <w:r w:rsidR="007E0D0B" w:rsidRPr="007E0D0B">
        <w:rPr>
          <w:lang w:val="en-GB"/>
        </w:rPr>
        <w:t xml:space="preserve">applied the hazard ratio 2.56 </w:t>
      </w:r>
      <w:r w:rsidR="00C77C2D">
        <w:rPr>
          <w:lang w:val="en-GB"/>
        </w:rPr>
        <w:t>(</w:t>
      </w:r>
      <w:r w:rsidR="007E0D0B" w:rsidRPr="007E0D0B">
        <w:rPr>
          <w:lang w:val="en-GB"/>
        </w:rPr>
        <w:t xml:space="preserve">95% </w:t>
      </w:r>
      <w:r w:rsidR="00FF151E">
        <w:rPr>
          <w:lang w:val="en-GB"/>
        </w:rPr>
        <w:t>confidence interval</w:t>
      </w:r>
      <w:r w:rsidR="007E0D0B" w:rsidRPr="007E0D0B">
        <w:rPr>
          <w:lang w:val="en-GB"/>
        </w:rPr>
        <w:t xml:space="preserve"> 1.23 </w:t>
      </w:r>
      <w:r w:rsidR="00FF151E">
        <w:rPr>
          <w:lang w:val="en-GB"/>
        </w:rPr>
        <w:t>to</w:t>
      </w:r>
      <w:r w:rsidR="007E0D0B" w:rsidRPr="007E0D0B">
        <w:rPr>
          <w:lang w:val="en-GB"/>
        </w:rPr>
        <w:t xml:space="preserve"> 5.26) from the indirect treatment comparison to the encorafenib </w:t>
      </w:r>
      <w:r w:rsidR="00CB69E6">
        <w:rPr>
          <w:lang w:val="en-GB"/>
        </w:rPr>
        <w:t>plus</w:t>
      </w:r>
      <w:r w:rsidR="007E0D0B" w:rsidRPr="007E0D0B">
        <w:rPr>
          <w:lang w:val="en-GB"/>
        </w:rPr>
        <w:t xml:space="preserve"> cetuximab survival curve</w:t>
      </w:r>
      <w:r w:rsidR="00C96600">
        <w:rPr>
          <w:lang w:val="en-GB"/>
        </w:rPr>
        <w:t>s</w:t>
      </w:r>
      <w:r w:rsidR="007E0D0B" w:rsidRPr="007E0D0B">
        <w:rPr>
          <w:lang w:val="en-GB"/>
        </w:rPr>
        <w:t xml:space="preserve"> to generate survival curves for FOLFIRI.</w:t>
      </w:r>
      <w:r w:rsidR="007E0D0B">
        <w:rPr>
          <w:lang w:val="en-GB"/>
        </w:rPr>
        <w:t xml:space="preserve"> The company also provided a scenario analysis using </w:t>
      </w:r>
      <w:r w:rsidR="007E0D0B" w:rsidRPr="007E0D0B">
        <w:rPr>
          <w:lang w:val="en-GB"/>
        </w:rPr>
        <w:t xml:space="preserve">parameterised curves </w:t>
      </w:r>
      <w:r w:rsidR="00C05BA9">
        <w:rPr>
          <w:lang w:val="en-GB"/>
        </w:rPr>
        <w:t>for</w:t>
      </w:r>
      <w:r w:rsidR="007E0D0B" w:rsidRPr="007E0D0B">
        <w:rPr>
          <w:lang w:val="en-GB"/>
        </w:rPr>
        <w:t xml:space="preserve"> the Kaplan</w:t>
      </w:r>
      <w:r w:rsidR="00CB69E6">
        <w:rPr>
          <w:lang w:val="en-GB"/>
        </w:rPr>
        <w:t>–</w:t>
      </w:r>
      <w:r w:rsidR="007E0D0B" w:rsidRPr="007E0D0B">
        <w:rPr>
          <w:lang w:val="en-GB"/>
        </w:rPr>
        <w:t>Meier data from the control arm of BEACON CRC.</w:t>
      </w:r>
      <w:r w:rsidR="007E0D0B">
        <w:rPr>
          <w:lang w:val="en-GB"/>
        </w:rPr>
        <w:t xml:space="preserve"> The committee considered both approaches</w:t>
      </w:r>
      <w:r w:rsidR="00CB69E6">
        <w:rPr>
          <w:lang w:val="en-GB"/>
        </w:rPr>
        <w:t>,</w:t>
      </w:r>
      <w:r w:rsidR="007E0D0B">
        <w:rPr>
          <w:lang w:val="en-GB"/>
        </w:rPr>
        <w:t xml:space="preserve"> along with the ERG’s preference of fitting a piecewise curve (see section</w:t>
      </w:r>
      <w:r w:rsidR="00CB69E6">
        <w:rPr>
          <w:lang w:val="en-GB"/>
        </w:rPr>
        <w:t> </w:t>
      </w:r>
      <w:r w:rsidR="007E0D0B">
        <w:rPr>
          <w:lang w:val="en-GB"/>
        </w:rPr>
        <w:t>3.1</w:t>
      </w:r>
      <w:r w:rsidR="00F65F61">
        <w:rPr>
          <w:lang w:val="en-GB"/>
        </w:rPr>
        <w:t>9</w:t>
      </w:r>
      <w:r w:rsidR="00D822B7">
        <w:rPr>
          <w:lang w:val="en-GB"/>
        </w:rPr>
        <w:t>)</w:t>
      </w:r>
      <w:r w:rsidR="007E0D0B">
        <w:rPr>
          <w:lang w:val="en-GB"/>
        </w:rPr>
        <w:t xml:space="preserve"> to the control arm of BEACON CRC. The clinical experts explained that </w:t>
      </w:r>
      <w:r w:rsidR="00F722D9" w:rsidRPr="007E0D0B">
        <w:rPr>
          <w:lang w:val="en-GB"/>
        </w:rPr>
        <w:t xml:space="preserve">survival </w:t>
      </w:r>
      <w:r w:rsidR="00CB69E6">
        <w:rPr>
          <w:lang w:val="en-GB"/>
        </w:rPr>
        <w:t>for</w:t>
      </w:r>
      <w:r w:rsidR="00F722D9" w:rsidRPr="007E0D0B">
        <w:rPr>
          <w:lang w:val="en-GB"/>
        </w:rPr>
        <w:t xml:space="preserve"> </w:t>
      </w:r>
      <w:r w:rsidR="009B5D34">
        <w:rPr>
          <w:lang w:val="en-GB"/>
        </w:rPr>
        <w:t>FOLFIRI</w:t>
      </w:r>
      <w:r w:rsidR="00F722D9" w:rsidRPr="007E0D0B">
        <w:rPr>
          <w:lang w:val="en-GB"/>
        </w:rPr>
        <w:t xml:space="preserve"> is less than 10% at 3</w:t>
      </w:r>
      <w:r w:rsidR="00CB69E6">
        <w:rPr>
          <w:lang w:val="en-GB"/>
        </w:rPr>
        <w:t> </w:t>
      </w:r>
      <w:r w:rsidR="00F722D9" w:rsidRPr="007E0D0B">
        <w:rPr>
          <w:lang w:val="en-GB"/>
        </w:rPr>
        <w:t>years</w:t>
      </w:r>
      <w:r w:rsidR="007E0D0B">
        <w:rPr>
          <w:lang w:val="en-GB"/>
        </w:rPr>
        <w:t xml:space="preserve"> and</w:t>
      </w:r>
      <w:r w:rsidR="00F722D9" w:rsidRPr="007E0D0B">
        <w:rPr>
          <w:lang w:val="en-GB"/>
        </w:rPr>
        <w:t xml:space="preserve"> 5% at 5</w:t>
      </w:r>
      <w:r w:rsidR="00CB69E6">
        <w:rPr>
          <w:lang w:val="en-GB"/>
        </w:rPr>
        <w:t> </w:t>
      </w:r>
      <w:r w:rsidR="00F722D9" w:rsidRPr="007E0D0B">
        <w:rPr>
          <w:lang w:val="en-GB"/>
        </w:rPr>
        <w:t xml:space="preserve">years. </w:t>
      </w:r>
      <w:r w:rsidR="007E0D0B">
        <w:rPr>
          <w:lang w:val="en-GB"/>
        </w:rPr>
        <w:t>The committee concluded that the ERG’s preferred approach of using a piecewise curve and applying an exponential distribution seemed pessimistic.</w:t>
      </w:r>
      <w:r w:rsidRPr="007E0D0B">
        <w:rPr>
          <w:lang w:val="en-GB"/>
        </w:rPr>
        <w:t xml:space="preserve"> </w:t>
      </w:r>
      <w:r w:rsidR="00FF151E">
        <w:rPr>
          <w:lang w:val="en-GB"/>
        </w:rPr>
        <w:t>It</w:t>
      </w:r>
      <w:r w:rsidRPr="007E0D0B">
        <w:rPr>
          <w:lang w:val="en-GB"/>
        </w:rPr>
        <w:t xml:space="preserve"> agreed that further exploration of piecewise curves was </w:t>
      </w:r>
      <w:r w:rsidR="00CB69E6">
        <w:rPr>
          <w:lang w:val="en-GB"/>
        </w:rPr>
        <w:t>need</w:t>
      </w:r>
      <w:r w:rsidR="00CB69E6" w:rsidRPr="007E0D0B">
        <w:rPr>
          <w:lang w:val="en-GB"/>
        </w:rPr>
        <w:t xml:space="preserve">ed </w:t>
      </w:r>
      <w:r w:rsidR="00623CC5">
        <w:rPr>
          <w:lang w:val="en-GB"/>
        </w:rPr>
        <w:t>to</w:t>
      </w:r>
      <w:r w:rsidRPr="007E0D0B">
        <w:rPr>
          <w:lang w:val="en-GB"/>
        </w:rPr>
        <w:t xml:space="preserve"> extrapolat</w:t>
      </w:r>
      <w:r w:rsidR="00623CC5">
        <w:rPr>
          <w:lang w:val="en-GB"/>
        </w:rPr>
        <w:t xml:space="preserve">e </w:t>
      </w:r>
      <w:r w:rsidRPr="007E0D0B">
        <w:rPr>
          <w:lang w:val="en-GB"/>
        </w:rPr>
        <w:t>overall survival for FOLFIRI.</w:t>
      </w:r>
    </w:p>
    <w:p w14:paraId="4EDEA11C" w14:textId="77777777" w:rsidR="00B67DF2" w:rsidRDefault="00B67DF2" w:rsidP="00B67DF2">
      <w:pPr>
        <w:pStyle w:val="Heading2"/>
      </w:pPr>
      <w:r>
        <w:t>Modelling progression-free survival</w:t>
      </w:r>
    </w:p>
    <w:p w14:paraId="4DD78F3B" w14:textId="0A8BB877" w:rsidR="00B67DF2" w:rsidRDefault="00B67DF2" w:rsidP="00B67DF2">
      <w:pPr>
        <w:pStyle w:val="Heading3"/>
      </w:pPr>
      <w:r w:rsidRPr="0084460F">
        <w:t>Kaplan</w:t>
      </w:r>
      <w:r w:rsidR="0023310B">
        <w:t>–</w:t>
      </w:r>
      <w:r w:rsidRPr="0084460F">
        <w:t>Meier data should be used to model progression-free survival</w:t>
      </w:r>
    </w:p>
    <w:p w14:paraId="28CFF652" w14:textId="3BC51309" w:rsidR="00B67DF2" w:rsidRPr="00210518" w:rsidRDefault="00C55502" w:rsidP="00B67DF2">
      <w:pPr>
        <w:pStyle w:val="Numberedlevel2text"/>
      </w:pPr>
      <w:r>
        <w:rPr>
          <w:lang w:val="en-GB"/>
        </w:rPr>
        <w:t xml:space="preserve">The company chose a jointly fitted parametric curve </w:t>
      </w:r>
      <w:r w:rsidR="00623CC5">
        <w:rPr>
          <w:lang w:val="en-GB"/>
        </w:rPr>
        <w:t>to</w:t>
      </w:r>
      <w:r>
        <w:rPr>
          <w:lang w:val="en-GB"/>
        </w:rPr>
        <w:t xml:space="preserve"> extrapola</w:t>
      </w:r>
      <w:r w:rsidR="00623CC5">
        <w:rPr>
          <w:lang w:val="en-GB"/>
        </w:rPr>
        <w:t>te</w:t>
      </w:r>
      <w:r>
        <w:rPr>
          <w:lang w:val="en-GB"/>
        </w:rPr>
        <w:t xml:space="preserve"> progression</w:t>
      </w:r>
      <w:r w:rsidR="00CB69E6">
        <w:rPr>
          <w:lang w:val="en-GB"/>
        </w:rPr>
        <w:t>-</w:t>
      </w:r>
      <w:r>
        <w:rPr>
          <w:lang w:val="en-GB"/>
        </w:rPr>
        <w:t xml:space="preserve">free survival for encorafenib </w:t>
      </w:r>
      <w:r w:rsidR="00CB69E6">
        <w:rPr>
          <w:lang w:val="en-GB"/>
        </w:rPr>
        <w:t>plus</w:t>
      </w:r>
      <w:r>
        <w:rPr>
          <w:lang w:val="en-GB"/>
        </w:rPr>
        <w:t xml:space="preserve"> cetuximab</w:t>
      </w:r>
      <w:r w:rsidR="00CB69E6">
        <w:rPr>
          <w:lang w:val="en-GB"/>
        </w:rPr>
        <w:t>. It</w:t>
      </w:r>
      <w:r>
        <w:rPr>
          <w:lang w:val="en-GB"/>
        </w:rPr>
        <w:t xml:space="preserve"> applied the hazard ratio from the indirect treatment comparison to estimate the FOLFIRI survival outcomes (see section</w:t>
      </w:r>
      <w:r w:rsidR="00CB69E6">
        <w:rPr>
          <w:lang w:val="en-GB"/>
        </w:rPr>
        <w:t> </w:t>
      </w:r>
      <w:r>
        <w:rPr>
          <w:lang w:val="en-GB"/>
        </w:rPr>
        <w:t>3.</w:t>
      </w:r>
      <w:r w:rsidR="00D822B7">
        <w:rPr>
          <w:lang w:val="en-GB"/>
        </w:rPr>
        <w:t>1</w:t>
      </w:r>
      <w:r w:rsidR="00F65F61">
        <w:rPr>
          <w:lang w:val="en-GB"/>
        </w:rPr>
        <w:t>6</w:t>
      </w:r>
      <w:r>
        <w:rPr>
          <w:lang w:val="en-GB"/>
        </w:rPr>
        <w:t>). The committee noted that n</w:t>
      </w:r>
      <w:r w:rsidR="00B67DF2">
        <w:t>one of the parametric models offered a good fit to the progression</w:t>
      </w:r>
      <w:r w:rsidR="00CB69E6">
        <w:rPr>
          <w:lang w:val="en-GB"/>
        </w:rPr>
        <w:t>-</w:t>
      </w:r>
      <w:r w:rsidR="00B67DF2">
        <w:t xml:space="preserve">free survival data in BEACON CRC. </w:t>
      </w:r>
      <w:r>
        <w:rPr>
          <w:lang w:val="en-GB"/>
        </w:rPr>
        <w:t>The ERG presented alternative analyses using the raw Kaplan</w:t>
      </w:r>
      <w:r w:rsidR="006339BD">
        <w:rPr>
          <w:lang w:val="en-GB"/>
        </w:rPr>
        <w:t>–</w:t>
      </w:r>
      <w:r>
        <w:rPr>
          <w:lang w:val="en-GB"/>
        </w:rPr>
        <w:t xml:space="preserve">Meier data </w:t>
      </w:r>
      <w:r w:rsidR="006339BD">
        <w:rPr>
          <w:lang w:val="en-GB"/>
        </w:rPr>
        <w:t xml:space="preserve">because </w:t>
      </w:r>
      <w:r>
        <w:rPr>
          <w:lang w:val="en-GB"/>
        </w:rPr>
        <w:t xml:space="preserve">this was relatively mature. </w:t>
      </w:r>
      <w:r w:rsidR="00B67DF2">
        <w:t xml:space="preserve">The committee considered that it would be preferable to fit a curve to the data, </w:t>
      </w:r>
      <w:r w:rsidR="00FE2D8C">
        <w:rPr>
          <w:lang w:val="en-GB"/>
        </w:rPr>
        <w:t>but</w:t>
      </w:r>
      <w:r w:rsidR="00B67DF2">
        <w:t xml:space="preserve"> </w:t>
      </w:r>
      <w:r w:rsidR="006339BD">
        <w:rPr>
          <w:lang w:val="en-GB"/>
        </w:rPr>
        <w:t>because</w:t>
      </w:r>
      <w:r w:rsidR="006339BD">
        <w:t xml:space="preserve"> </w:t>
      </w:r>
      <w:r w:rsidR="00B67DF2">
        <w:t>this was not possible</w:t>
      </w:r>
      <w:r w:rsidR="006339BD">
        <w:rPr>
          <w:lang w:val="en-GB"/>
        </w:rPr>
        <w:t>,</w:t>
      </w:r>
      <w:r w:rsidR="00B67DF2">
        <w:t xml:space="preserve"> using the Kaplan</w:t>
      </w:r>
      <w:r w:rsidR="006339BD">
        <w:rPr>
          <w:lang w:val="en-GB"/>
        </w:rPr>
        <w:t>–</w:t>
      </w:r>
      <w:r w:rsidR="00B67DF2">
        <w:t xml:space="preserve">Meier data was reasonable. It also noted that changes in how progression-free survival was modelled did </w:t>
      </w:r>
      <w:r w:rsidR="007D7A3E">
        <w:rPr>
          <w:lang w:val="en-GB"/>
        </w:rPr>
        <w:t xml:space="preserve">not </w:t>
      </w:r>
      <w:r w:rsidR="00623CC5">
        <w:rPr>
          <w:lang w:val="en-GB"/>
        </w:rPr>
        <w:t>greatly</w:t>
      </w:r>
      <w:r w:rsidR="00B67DF2">
        <w:t xml:space="preserve"> </w:t>
      </w:r>
      <w:r w:rsidR="006339BD">
        <w:rPr>
          <w:lang w:val="en-GB"/>
        </w:rPr>
        <w:t>affect</w:t>
      </w:r>
      <w:r w:rsidR="00B67DF2">
        <w:t xml:space="preserve"> the cost</w:t>
      </w:r>
      <w:r w:rsidR="006339BD">
        <w:rPr>
          <w:lang w:val="en-GB"/>
        </w:rPr>
        <w:t>-</w:t>
      </w:r>
      <w:r w:rsidR="00B67DF2">
        <w:t xml:space="preserve">effectiveness results. The </w:t>
      </w:r>
      <w:r w:rsidR="00B67DF2">
        <w:lastRenderedPageBreak/>
        <w:t xml:space="preserve">committee concluded that </w:t>
      </w:r>
      <w:r w:rsidR="006339BD">
        <w:rPr>
          <w:lang w:val="en-GB"/>
        </w:rPr>
        <w:t xml:space="preserve">the </w:t>
      </w:r>
      <w:r w:rsidR="00B67DF2">
        <w:t>Kaplan</w:t>
      </w:r>
      <w:r w:rsidR="006339BD">
        <w:rPr>
          <w:lang w:val="en-GB"/>
        </w:rPr>
        <w:t>–</w:t>
      </w:r>
      <w:r w:rsidR="00B67DF2">
        <w:t>Meier data should be used to model progression</w:t>
      </w:r>
      <w:r w:rsidR="006339BD">
        <w:rPr>
          <w:lang w:val="en-GB"/>
        </w:rPr>
        <w:t>-</w:t>
      </w:r>
      <w:r w:rsidR="00B67DF2">
        <w:t>free survival.</w:t>
      </w:r>
    </w:p>
    <w:p w14:paraId="48E87EB1" w14:textId="77A5E320" w:rsidR="003C0FFD" w:rsidRDefault="003C0FFD" w:rsidP="003C0FFD">
      <w:pPr>
        <w:pStyle w:val="Heading2"/>
      </w:pPr>
      <w:r>
        <w:t xml:space="preserve">Modelling survival for encorafenib </w:t>
      </w:r>
      <w:r w:rsidR="006339BD">
        <w:t xml:space="preserve">plus </w:t>
      </w:r>
      <w:r>
        <w:t>cetuximab compared with trifluridine</w:t>
      </w:r>
      <w:r w:rsidR="006339BD">
        <w:t>–</w:t>
      </w:r>
      <w:r>
        <w:t>tipiracil</w:t>
      </w:r>
    </w:p>
    <w:p w14:paraId="1A511AAE" w14:textId="6BBCDAA5" w:rsidR="003C0FFD" w:rsidRDefault="00245AD7" w:rsidP="003C0FFD">
      <w:pPr>
        <w:pStyle w:val="Heading3"/>
      </w:pPr>
      <w:r>
        <w:t>The cost effectiveness of encorafenib plus cetuximab compared with trifluridine–tipiracil would be very uncertain</w:t>
      </w:r>
    </w:p>
    <w:p w14:paraId="6103100D" w14:textId="37398C0D" w:rsidR="003C0FFD" w:rsidRPr="00E32C5C" w:rsidRDefault="00B4770B" w:rsidP="00EB7154">
      <w:pPr>
        <w:pStyle w:val="Numberedlevel2text"/>
      </w:pPr>
      <w:r>
        <w:rPr>
          <w:lang w:val="en-GB"/>
        </w:rPr>
        <w:t>Trifluridine</w:t>
      </w:r>
      <w:r w:rsidR="003D5A17">
        <w:rPr>
          <w:lang w:val="en-GB"/>
        </w:rPr>
        <w:t>–</w:t>
      </w:r>
      <w:r>
        <w:rPr>
          <w:lang w:val="en-GB"/>
        </w:rPr>
        <w:t xml:space="preserve">tipiracil is a relevant comparator </w:t>
      </w:r>
      <w:r w:rsidR="003D5A17">
        <w:rPr>
          <w:lang w:val="en-GB"/>
        </w:rPr>
        <w:t xml:space="preserve">at </w:t>
      </w:r>
      <w:r>
        <w:rPr>
          <w:lang w:val="en-GB"/>
        </w:rPr>
        <w:t>second and third line (see section</w:t>
      </w:r>
      <w:r w:rsidR="003D5A17">
        <w:rPr>
          <w:lang w:val="en-GB"/>
        </w:rPr>
        <w:t>s </w:t>
      </w:r>
      <w:r>
        <w:rPr>
          <w:lang w:val="en-GB"/>
        </w:rPr>
        <w:t>3.4 and 3.6)</w:t>
      </w:r>
      <w:r w:rsidR="003D5A17">
        <w:rPr>
          <w:lang w:val="en-GB"/>
        </w:rPr>
        <w:t xml:space="preserve">. </w:t>
      </w:r>
      <w:r>
        <w:rPr>
          <w:lang w:val="en-GB"/>
        </w:rPr>
        <w:t xml:space="preserve">BEACON CRC showed no difference in treatment effect for encorafenib </w:t>
      </w:r>
      <w:r w:rsidR="003D5A17">
        <w:rPr>
          <w:lang w:val="en-GB"/>
        </w:rPr>
        <w:t xml:space="preserve">plus </w:t>
      </w:r>
      <w:r>
        <w:rPr>
          <w:lang w:val="en-GB"/>
        </w:rPr>
        <w:t>cetuximab in p</w:t>
      </w:r>
      <w:r w:rsidR="003D5A17">
        <w:rPr>
          <w:lang w:val="en-GB"/>
        </w:rPr>
        <w:t>eople who ha</w:t>
      </w:r>
      <w:r>
        <w:rPr>
          <w:lang w:val="en-GB"/>
        </w:rPr>
        <w:t>d 1</w:t>
      </w:r>
      <w:r w:rsidR="00B16890">
        <w:rPr>
          <w:lang w:val="en-GB"/>
        </w:rPr>
        <w:t> </w:t>
      </w:r>
      <w:r>
        <w:rPr>
          <w:lang w:val="en-GB"/>
        </w:rPr>
        <w:t>or</w:t>
      </w:r>
      <w:r w:rsidR="00B16890">
        <w:rPr>
          <w:lang w:val="en-GB"/>
        </w:rPr>
        <w:t> </w:t>
      </w:r>
      <w:r>
        <w:rPr>
          <w:lang w:val="en-GB"/>
        </w:rPr>
        <w:t>2 pr</w:t>
      </w:r>
      <w:r w:rsidR="003D5A17">
        <w:rPr>
          <w:lang w:val="en-GB"/>
        </w:rPr>
        <w:t>evious</w:t>
      </w:r>
      <w:r>
        <w:rPr>
          <w:lang w:val="en-GB"/>
        </w:rPr>
        <w:t xml:space="preserve"> </w:t>
      </w:r>
      <w:r w:rsidR="00AE18DE">
        <w:rPr>
          <w:lang w:val="en-GB"/>
        </w:rPr>
        <w:t xml:space="preserve">lines of </w:t>
      </w:r>
      <w:r>
        <w:rPr>
          <w:lang w:val="en-GB"/>
        </w:rPr>
        <w:t>t</w:t>
      </w:r>
      <w:r w:rsidR="003D5A17">
        <w:rPr>
          <w:lang w:val="en-GB"/>
        </w:rPr>
        <w:t>reatment</w:t>
      </w:r>
      <w:r>
        <w:rPr>
          <w:lang w:val="en-GB"/>
        </w:rPr>
        <w:t xml:space="preserve">. Therefore, </w:t>
      </w:r>
      <w:r w:rsidR="00AC1C3C">
        <w:rPr>
          <w:lang w:val="en-GB"/>
        </w:rPr>
        <w:t xml:space="preserve">the committee considered it </w:t>
      </w:r>
      <w:r>
        <w:rPr>
          <w:lang w:val="en-GB"/>
        </w:rPr>
        <w:t>reasonable to assume the same treatment effect for encorafenib</w:t>
      </w:r>
      <w:r w:rsidR="00C55502" w:rsidRPr="00C55502">
        <w:rPr>
          <w:lang w:val="en-GB"/>
        </w:rPr>
        <w:t xml:space="preserve"> </w:t>
      </w:r>
      <w:r w:rsidR="003D5A17">
        <w:rPr>
          <w:lang w:val="en-GB"/>
        </w:rPr>
        <w:t>plus</w:t>
      </w:r>
      <w:r w:rsidR="00C55502">
        <w:rPr>
          <w:lang w:val="en-GB"/>
        </w:rPr>
        <w:t xml:space="preserve"> cetuximab</w:t>
      </w:r>
      <w:r>
        <w:rPr>
          <w:lang w:val="en-GB"/>
        </w:rPr>
        <w:t xml:space="preserve"> </w:t>
      </w:r>
      <w:r w:rsidR="003D5A17">
        <w:rPr>
          <w:lang w:val="en-GB"/>
        </w:rPr>
        <w:t xml:space="preserve">at </w:t>
      </w:r>
      <w:r>
        <w:rPr>
          <w:lang w:val="en-GB"/>
        </w:rPr>
        <w:t>second and third line</w:t>
      </w:r>
      <w:r w:rsidR="00EB7154">
        <w:rPr>
          <w:lang w:val="en-GB"/>
        </w:rPr>
        <w:t>.</w:t>
      </w:r>
      <w:r>
        <w:rPr>
          <w:lang w:val="en-GB"/>
        </w:rPr>
        <w:t xml:space="preserve"> </w:t>
      </w:r>
      <w:r w:rsidR="003C0FFD">
        <w:t xml:space="preserve">All </w:t>
      </w:r>
      <w:r w:rsidR="003D5A17">
        <w:rPr>
          <w:lang w:val="en-GB"/>
        </w:rPr>
        <w:t xml:space="preserve">the </w:t>
      </w:r>
      <w:r w:rsidR="003C0FFD">
        <w:t>results of the company’s na</w:t>
      </w:r>
      <w:r w:rsidR="003947AB">
        <w:rPr>
          <w:lang w:val="en-GB"/>
        </w:rPr>
        <w:t>i</w:t>
      </w:r>
      <w:r w:rsidR="003C0FFD">
        <w:t xml:space="preserve">ve comparison </w:t>
      </w:r>
      <w:r w:rsidR="003D5A17">
        <w:rPr>
          <w:lang w:val="en-GB"/>
        </w:rPr>
        <w:t>were</w:t>
      </w:r>
      <w:r w:rsidR="003C0FFD">
        <w:t xml:space="preserve"> very uncertain (see section</w:t>
      </w:r>
      <w:r w:rsidR="003D5A17">
        <w:rPr>
          <w:lang w:val="en-GB"/>
        </w:rPr>
        <w:t> </w:t>
      </w:r>
      <w:r w:rsidR="003C0FFD">
        <w:t>3.1</w:t>
      </w:r>
      <w:r w:rsidR="00F65F61">
        <w:rPr>
          <w:lang w:val="en-GB"/>
        </w:rPr>
        <w:t>6</w:t>
      </w:r>
      <w:r w:rsidR="003C0FFD">
        <w:t>).</w:t>
      </w:r>
      <w:r w:rsidR="003C0FFD">
        <w:rPr>
          <w:lang w:val="en-GB"/>
        </w:rPr>
        <w:t xml:space="preserve"> The committee </w:t>
      </w:r>
      <w:r w:rsidR="00C55502">
        <w:rPr>
          <w:lang w:val="en-GB"/>
        </w:rPr>
        <w:t xml:space="preserve">recalled </w:t>
      </w:r>
      <w:r w:rsidR="003C0FFD">
        <w:rPr>
          <w:lang w:val="en-GB"/>
        </w:rPr>
        <w:t xml:space="preserve">that it would </w:t>
      </w:r>
      <w:r w:rsidR="007E0D0B">
        <w:rPr>
          <w:lang w:val="en-GB"/>
        </w:rPr>
        <w:t>consider</w:t>
      </w:r>
      <w:r w:rsidR="003C0FFD">
        <w:rPr>
          <w:lang w:val="en-GB"/>
        </w:rPr>
        <w:t xml:space="preserve"> cost-effectiveness analyses that used a range of hazard ratios to adjust for differences in the populations between BEACON CRC and RECOURSE</w:t>
      </w:r>
      <w:r>
        <w:rPr>
          <w:lang w:val="en-GB"/>
        </w:rPr>
        <w:t>, based on its earlier conclusion that the hazard ratios vary widely (see section</w:t>
      </w:r>
      <w:r w:rsidR="003D5A17">
        <w:rPr>
          <w:lang w:val="en-GB"/>
        </w:rPr>
        <w:t> </w:t>
      </w:r>
      <w:r>
        <w:rPr>
          <w:lang w:val="en-GB"/>
        </w:rPr>
        <w:t>3.1</w:t>
      </w:r>
      <w:r w:rsidR="00F65F61">
        <w:rPr>
          <w:lang w:val="en-GB"/>
        </w:rPr>
        <w:t>6</w:t>
      </w:r>
      <w:r>
        <w:rPr>
          <w:lang w:val="en-GB"/>
        </w:rPr>
        <w:t>)</w:t>
      </w:r>
      <w:r w:rsidR="003C0FFD">
        <w:rPr>
          <w:lang w:val="en-GB"/>
        </w:rPr>
        <w:t xml:space="preserve">. It concluded that </w:t>
      </w:r>
      <w:r w:rsidR="009B5D34">
        <w:rPr>
          <w:lang w:val="en-GB"/>
        </w:rPr>
        <w:t xml:space="preserve">the RECOURSE overall survival curves should be adjusted to account for differences in BRAF mutation status, but that </w:t>
      </w:r>
      <w:r w:rsidR="003C0FFD">
        <w:rPr>
          <w:lang w:val="en-GB"/>
        </w:rPr>
        <w:t xml:space="preserve">the cost-effectiveness results for encorafenib </w:t>
      </w:r>
      <w:r w:rsidR="003D5A17">
        <w:rPr>
          <w:lang w:val="en-GB"/>
        </w:rPr>
        <w:t>plus</w:t>
      </w:r>
      <w:r w:rsidR="003C0FFD">
        <w:rPr>
          <w:lang w:val="en-GB"/>
        </w:rPr>
        <w:t xml:space="preserve"> cetuximab compared with trifluridine</w:t>
      </w:r>
      <w:r w:rsidR="003D5A17">
        <w:rPr>
          <w:lang w:val="en-GB"/>
        </w:rPr>
        <w:t>–</w:t>
      </w:r>
      <w:r w:rsidR="003C0FFD">
        <w:rPr>
          <w:lang w:val="en-GB"/>
        </w:rPr>
        <w:t xml:space="preserve">tipiracil would be very </w:t>
      </w:r>
      <w:r w:rsidR="009B5D34">
        <w:rPr>
          <w:lang w:val="en-GB"/>
        </w:rPr>
        <w:t>uncertain.</w:t>
      </w:r>
    </w:p>
    <w:p w14:paraId="0805F92B" w14:textId="43D41AD5" w:rsidR="009B5D34" w:rsidRDefault="009B5D34" w:rsidP="00BC5805">
      <w:pPr>
        <w:pStyle w:val="Heading2"/>
      </w:pPr>
      <w:r>
        <w:t>Subsequent treatments</w:t>
      </w:r>
    </w:p>
    <w:p w14:paraId="7E590461" w14:textId="30BE1A5C" w:rsidR="003D5AB6" w:rsidRDefault="003D5AB6" w:rsidP="003D5AB6">
      <w:pPr>
        <w:pStyle w:val="Heading3"/>
      </w:pPr>
      <w:r>
        <w:t xml:space="preserve">Adjusting trial data for subsequent treatments not available in </w:t>
      </w:r>
      <w:r w:rsidR="007451B5">
        <w:t xml:space="preserve">NHS </w:t>
      </w:r>
      <w:r>
        <w:t>practice is appropriate</w:t>
      </w:r>
    </w:p>
    <w:p w14:paraId="3809F38D" w14:textId="3786781D" w:rsidR="003D5AB6" w:rsidRPr="00CB1C5F" w:rsidRDefault="003D5AB6" w:rsidP="00B67DF2">
      <w:pPr>
        <w:pStyle w:val="Numberedlevel2text"/>
      </w:pPr>
      <w:r>
        <w:rPr>
          <w:lang w:val="en-US"/>
        </w:rPr>
        <w:t xml:space="preserve">The committee recalled that people in BEACON </w:t>
      </w:r>
      <w:r w:rsidR="00C55502">
        <w:rPr>
          <w:lang w:val="en-US"/>
        </w:rPr>
        <w:t xml:space="preserve">CRC </w:t>
      </w:r>
      <w:r>
        <w:rPr>
          <w:lang w:val="en-US"/>
        </w:rPr>
        <w:t xml:space="preserve">had subsequent treatments that would not be available in NHS clinical practice and </w:t>
      </w:r>
      <w:r w:rsidR="00753C31">
        <w:rPr>
          <w:lang w:val="en-US"/>
        </w:rPr>
        <w:t>which</w:t>
      </w:r>
      <w:r>
        <w:rPr>
          <w:lang w:val="en-US"/>
        </w:rPr>
        <w:t xml:space="preserve"> might prolong </w:t>
      </w:r>
      <w:r w:rsidR="00753C31">
        <w:rPr>
          <w:lang w:val="en-US"/>
        </w:rPr>
        <w:t xml:space="preserve">life </w:t>
      </w:r>
      <w:r>
        <w:rPr>
          <w:lang w:val="en-US"/>
        </w:rPr>
        <w:t>(see section 3.</w:t>
      </w:r>
      <w:r w:rsidR="00B67DF2">
        <w:rPr>
          <w:lang w:val="en-US"/>
        </w:rPr>
        <w:t>10</w:t>
      </w:r>
      <w:r>
        <w:rPr>
          <w:lang w:val="en-US"/>
        </w:rPr>
        <w:t>).</w:t>
      </w:r>
      <w:r w:rsidR="007451B5">
        <w:rPr>
          <w:lang w:val="en-US"/>
        </w:rPr>
        <w:t xml:space="preserve"> </w:t>
      </w:r>
      <w:r>
        <w:rPr>
          <w:lang w:val="en-US"/>
        </w:rPr>
        <w:t xml:space="preserve">It was also aware that in the analysis </w:t>
      </w:r>
      <w:r w:rsidR="001912E2">
        <w:rPr>
          <w:lang w:val="en-US"/>
        </w:rPr>
        <w:t xml:space="preserve">these treatments </w:t>
      </w:r>
      <w:r>
        <w:rPr>
          <w:lang w:val="en-US"/>
        </w:rPr>
        <w:t xml:space="preserve">affected costs in both treatment arms. </w:t>
      </w:r>
      <w:r>
        <w:t>The company</w:t>
      </w:r>
      <w:r>
        <w:rPr>
          <w:lang w:val="en-US"/>
        </w:rPr>
        <w:t xml:space="preserve"> did not </w:t>
      </w:r>
      <w:r w:rsidR="00634596">
        <w:rPr>
          <w:lang w:val="en-US"/>
        </w:rPr>
        <w:t xml:space="preserve">attempt to adjust for the additional benefit or costs of </w:t>
      </w:r>
      <w:r w:rsidR="00753C31">
        <w:rPr>
          <w:lang w:val="en-US"/>
        </w:rPr>
        <w:t xml:space="preserve">these </w:t>
      </w:r>
      <w:r w:rsidR="00634596">
        <w:rPr>
          <w:lang w:val="en-US"/>
        </w:rPr>
        <w:t>treatments</w:t>
      </w:r>
      <w:r>
        <w:t xml:space="preserve">. </w:t>
      </w:r>
      <w:r>
        <w:rPr>
          <w:lang w:val="en-US"/>
        </w:rPr>
        <w:t xml:space="preserve">The committee considered it </w:t>
      </w:r>
      <w:r w:rsidR="00634596">
        <w:rPr>
          <w:lang w:val="en-US"/>
        </w:rPr>
        <w:t xml:space="preserve">would be </w:t>
      </w:r>
      <w:r>
        <w:rPr>
          <w:lang w:val="en-US"/>
        </w:rPr>
        <w:t xml:space="preserve">reasonable to adjust for </w:t>
      </w:r>
      <w:r>
        <w:rPr>
          <w:lang w:val="en-US"/>
        </w:rPr>
        <w:lastRenderedPageBreak/>
        <w:t>subsequent treatments not available in the NHS and which may prolong life</w:t>
      </w:r>
      <w:r w:rsidRPr="005A5DAF">
        <w:rPr>
          <w:lang w:val="en-US"/>
        </w:rPr>
        <w:t>.</w:t>
      </w:r>
    </w:p>
    <w:p w14:paraId="37C84D63" w14:textId="77777777" w:rsidR="00634596" w:rsidRDefault="00634596" w:rsidP="00634596">
      <w:pPr>
        <w:pStyle w:val="Heading2"/>
      </w:pPr>
      <w:r>
        <w:t>Waning of treatment effect</w:t>
      </w:r>
    </w:p>
    <w:p w14:paraId="1A4D9A45" w14:textId="3CBAAEE0" w:rsidR="00634596" w:rsidRDefault="008A52B3" w:rsidP="00634596">
      <w:pPr>
        <w:pStyle w:val="Heading3"/>
      </w:pPr>
      <w:r>
        <w:t xml:space="preserve">It is </w:t>
      </w:r>
      <w:r w:rsidR="00FD5958">
        <w:t>appropriate</w:t>
      </w:r>
      <w:r>
        <w:t xml:space="preserve"> that the</w:t>
      </w:r>
      <w:r w:rsidR="00634596">
        <w:t xml:space="preserve"> model </w:t>
      </w:r>
      <w:r>
        <w:t xml:space="preserve">does not </w:t>
      </w:r>
      <w:r w:rsidR="00634596">
        <w:t>include waning of the treatment effect</w:t>
      </w:r>
    </w:p>
    <w:p w14:paraId="4D2A7409" w14:textId="57AB66A6" w:rsidR="00634596" w:rsidRPr="00634596" w:rsidRDefault="00634596" w:rsidP="00B4770B">
      <w:pPr>
        <w:pStyle w:val="Numberedlevel2text"/>
      </w:pPr>
      <w:r>
        <w:t>The company</w:t>
      </w:r>
      <w:r>
        <w:rPr>
          <w:lang w:val="en-GB"/>
        </w:rPr>
        <w:t xml:space="preserve">’s </w:t>
      </w:r>
      <w:r>
        <w:t>model assumed that the relative survival benefit of</w:t>
      </w:r>
      <w:r>
        <w:rPr>
          <w:lang w:val="en-US"/>
        </w:rPr>
        <w:t xml:space="preserve"> </w:t>
      </w:r>
      <w:r>
        <w:rPr>
          <w:lang w:val="en-GB"/>
        </w:rPr>
        <w:t xml:space="preserve">encorafenib </w:t>
      </w:r>
      <w:r w:rsidR="00EE6099">
        <w:rPr>
          <w:lang w:val="en-GB"/>
        </w:rPr>
        <w:t>plus</w:t>
      </w:r>
      <w:r>
        <w:rPr>
          <w:lang w:val="en-GB"/>
        </w:rPr>
        <w:t xml:space="preserve"> cetuximab</w:t>
      </w:r>
      <w:r>
        <w:t>, compared with</w:t>
      </w:r>
      <w:r>
        <w:rPr>
          <w:lang w:val="en-GB"/>
        </w:rPr>
        <w:t xml:space="preserve"> </w:t>
      </w:r>
      <w:r>
        <w:rPr>
          <w:lang w:val="en-US"/>
        </w:rPr>
        <w:t>current treatment</w:t>
      </w:r>
      <w:r>
        <w:t>, was maintained at the same level for the rest of a p</w:t>
      </w:r>
      <w:r>
        <w:rPr>
          <w:lang w:val="en-GB"/>
        </w:rPr>
        <w:t>erson</w:t>
      </w:r>
      <w:r>
        <w:t>'s life</w:t>
      </w:r>
      <w:r w:rsidR="008A52B3">
        <w:rPr>
          <w:lang w:val="en-GB"/>
        </w:rPr>
        <w:t xml:space="preserve"> if they remained in the pre-progression </w:t>
      </w:r>
      <w:r w:rsidR="00EE6099">
        <w:rPr>
          <w:lang w:val="en-GB"/>
        </w:rPr>
        <w:t xml:space="preserve">health </w:t>
      </w:r>
      <w:r w:rsidR="008A52B3">
        <w:rPr>
          <w:lang w:val="en-GB"/>
        </w:rPr>
        <w:t>state</w:t>
      </w:r>
      <w:r>
        <w:t xml:space="preserve">. The committee was aware that </w:t>
      </w:r>
      <w:r>
        <w:rPr>
          <w:lang w:val="en-US"/>
        </w:rPr>
        <w:t>neither</w:t>
      </w:r>
      <w:r>
        <w:t xml:space="preserve"> the company </w:t>
      </w:r>
      <w:r>
        <w:rPr>
          <w:lang w:val="en-GB"/>
        </w:rPr>
        <w:t>n</w:t>
      </w:r>
      <w:r>
        <w:rPr>
          <w:lang w:val="en-US"/>
        </w:rPr>
        <w:t>or the</w:t>
      </w:r>
      <w:r>
        <w:t xml:space="preserve"> ERG had modelled scenarios in which the treatment benefit in the extrapolated phase diminishe</w:t>
      </w:r>
      <w:r>
        <w:rPr>
          <w:lang w:val="en-GB"/>
        </w:rPr>
        <w:t>s</w:t>
      </w:r>
      <w:r>
        <w:t xml:space="preserve"> in the long term</w:t>
      </w:r>
      <w:r>
        <w:rPr>
          <w:lang w:val="en-US"/>
        </w:rPr>
        <w:t xml:space="preserve">. </w:t>
      </w:r>
      <w:r>
        <w:t xml:space="preserve">The </w:t>
      </w:r>
      <w:r>
        <w:rPr>
          <w:lang w:val="en-US"/>
        </w:rPr>
        <w:t xml:space="preserve">clinical experts explained that </w:t>
      </w:r>
      <w:r w:rsidR="004F6E02">
        <w:rPr>
          <w:lang w:val="en-US"/>
        </w:rPr>
        <w:t xml:space="preserve">the benefit of </w:t>
      </w:r>
      <w:r w:rsidR="004F6E02">
        <w:rPr>
          <w:lang w:val="en-GB"/>
        </w:rPr>
        <w:t xml:space="preserve">encorafenib </w:t>
      </w:r>
      <w:r w:rsidR="00EE6099">
        <w:rPr>
          <w:lang w:val="en-GB"/>
        </w:rPr>
        <w:t>plus</w:t>
      </w:r>
      <w:r w:rsidR="004F6E02">
        <w:rPr>
          <w:lang w:val="en-GB"/>
        </w:rPr>
        <w:t xml:space="preserve"> cetuximab</w:t>
      </w:r>
      <w:r w:rsidR="004F6E02">
        <w:rPr>
          <w:lang w:val="en-US"/>
        </w:rPr>
        <w:t xml:space="preserve"> </w:t>
      </w:r>
      <w:r w:rsidR="008A52B3">
        <w:rPr>
          <w:lang w:val="en-US"/>
        </w:rPr>
        <w:t xml:space="preserve">is likely to </w:t>
      </w:r>
      <w:r>
        <w:rPr>
          <w:lang w:val="en-US"/>
        </w:rPr>
        <w:t>continue</w:t>
      </w:r>
      <w:r w:rsidR="008A52B3">
        <w:rPr>
          <w:lang w:val="en-US"/>
        </w:rPr>
        <w:t xml:space="preserve"> while the p</w:t>
      </w:r>
      <w:r w:rsidR="00EE6099">
        <w:rPr>
          <w:lang w:val="en-US"/>
        </w:rPr>
        <w:t>erson</w:t>
      </w:r>
      <w:r w:rsidR="008A52B3">
        <w:rPr>
          <w:lang w:val="en-US"/>
        </w:rPr>
        <w:t xml:space="preserve"> is </w:t>
      </w:r>
      <w:r w:rsidR="00EE6099">
        <w:rPr>
          <w:lang w:val="en-US"/>
        </w:rPr>
        <w:t>having</w:t>
      </w:r>
      <w:r w:rsidR="008A52B3">
        <w:rPr>
          <w:lang w:val="en-US"/>
        </w:rPr>
        <w:t xml:space="preserve"> treatment and noted there is no stopping rule for the treatment</w:t>
      </w:r>
      <w:r>
        <w:rPr>
          <w:lang w:val="en-US"/>
        </w:rPr>
        <w:t xml:space="preserve">. The committee accepted the clinical experts’ comments </w:t>
      </w:r>
      <w:r w:rsidR="008A52B3">
        <w:rPr>
          <w:lang w:val="en-US"/>
        </w:rPr>
        <w:t xml:space="preserve">and </w:t>
      </w:r>
      <w:r>
        <w:rPr>
          <w:lang w:val="en-US"/>
        </w:rPr>
        <w:t xml:space="preserve">concluded that the company’s model </w:t>
      </w:r>
      <w:r w:rsidR="007451B5">
        <w:rPr>
          <w:lang w:val="en-US"/>
        </w:rPr>
        <w:t xml:space="preserve">need </w:t>
      </w:r>
      <w:r w:rsidR="008A52B3">
        <w:rPr>
          <w:lang w:val="en-US"/>
        </w:rPr>
        <w:t xml:space="preserve">not </w:t>
      </w:r>
      <w:r>
        <w:rPr>
          <w:lang w:val="en-US"/>
        </w:rPr>
        <w:t>include waning of the relative treatment effect.</w:t>
      </w:r>
    </w:p>
    <w:p w14:paraId="0A2612F6" w14:textId="77777777" w:rsidR="00634596" w:rsidRDefault="00634596" w:rsidP="00634596">
      <w:pPr>
        <w:pStyle w:val="Heading2"/>
      </w:pPr>
      <w:r>
        <w:t>Utility values in the economic model</w:t>
      </w:r>
    </w:p>
    <w:p w14:paraId="1233EA78" w14:textId="658DE537" w:rsidR="00634596" w:rsidRDefault="00EE6099" w:rsidP="00634596">
      <w:pPr>
        <w:pStyle w:val="Heading3"/>
      </w:pPr>
      <w:r>
        <w:t>The u</w:t>
      </w:r>
      <w:r w:rsidR="00634596">
        <w:t>tility estimates in the company’s model are appropriate</w:t>
      </w:r>
    </w:p>
    <w:p w14:paraId="6CB6B8C9" w14:textId="606F371B" w:rsidR="00634596" w:rsidRPr="00530B02" w:rsidRDefault="00634596" w:rsidP="00B67DF2">
      <w:pPr>
        <w:pStyle w:val="Numberedlevel2text"/>
      </w:pPr>
      <w:r>
        <w:rPr>
          <w:lang w:val="en-US"/>
        </w:rPr>
        <w:t xml:space="preserve">BEACON </w:t>
      </w:r>
      <w:r w:rsidR="00EE6099">
        <w:rPr>
          <w:lang w:val="en-US"/>
        </w:rPr>
        <w:t xml:space="preserve">CRC </w:t>
      </w:r>
      <w:r>
        <w:rPr>
          <w:lang w:val="en-US"/>
        </w:rPr>
        <w:t>included t</w:t>
      </w:r>
      <w:r w:rsidRPr="00CB196E">
        <w:rPr>
          <w:lang w:val="en-US"/>
        </w:rPr>
        <w:t xml:space="preserve">he </w:t>
      </w:r>
      <w:r>
        <w:rPr>
          <w:lang w:val="en-US"/>
        </w:rPr>
        <w:t>EQ-5D-5L health</w:t>
      </w:r>
      <w:r w:rsidRPr="00CB196E">
        <w:rPr>
          <w:lang w:val="en-US"/>
        </w:rPr>
        <w:t xml:space="preserve"> questionnaire</w:t>
      </w:r>
      <w:r>
        <w:rPr>
          <w:lang w:val="en-US"/>
        </w:rPr>
        <w:t xml:space="preserve"> to measure health-related quality of life.</w:t>
      </w:r>
      <w:r>
        <w:t xml:space="preserve"> </w:t>
      </w:r>
      <w:r>
        <w:rPr>
          <w:lang w:val="en-GB"/>
        </w:rPr>
        <w:t>T</w:t>
      </w:r>
      <w:r>
        <w:rPr>
          <w:lang w:val="en-US"/>
        </w:rPr>
        <w:t xml:space="preserve">he company mapped the EQ-5D-5L </w:t>
      </w:r>
      <w:r>
        <w:t>data to the EQ-5D</w:t>
      </w:r>
      <w:r>
        <w:rPr>
          <w:lang w:val="en-GB"/>
        </w:rPr>
        <w:t>-3L</w:t>
      </w:r>
      <w:r>
        <w:rPr>
          <w:lang w:val="en-US"/>
        </w:rPr>
        <w:t xml:space="preserve"> </w:t>
      </w:r>
      <w:r>
        <w:t xml:space="preserve">to estimate mean utility for </w:t>
      </w:r>
      <w:r>
        <w:rPr>
          <w:lang w:val="en-GB"/>
        </w:rPr>
        <w:t xml:space="preserve">the pre-progressed and </w:t>
      </w:r>
      <w:r>
        <w:t>progress</w:t>
      </w:r>
      <w:r>
        <w:rPr>
          <w:lang w:val="en-GB"/>
        </w:rPr>
        <w:t>ed disease health states</w:t>
      </w:r>
      <w:r w:rsidR="00910D65">
        <w:rPr>
          <w:lang w:val="en-GB"/>
        </w:rPr>
        <w:t xml:space="preserve"> </w:t>
      </w:r>
      <w:r>
        <w:rPr>
          <w:lang w:val="en-US"/>
        </w:rPr>
        <w:t xml:space="preserve">in line with </w:t>
      </w:r>
      <w:hyperlink r:id="rId18" w:history="1">
        <w:r w:rsidR="00EE6099">
          <w:rPr>
            <w:rStyle w:val="Hyperlink"/>
            <w:lang w:val="en-US"/>
          </w:rPr>
          <w:t>NICE's methods guide</w:t>
        </w:r>
      </w:hyperlink>
      <w:r>
        <w:rPr>
          <w:lang w:val="en-US"/>
        </w:rPr>
        <w:t xml:space="preserve">. </w:t>
      </w:r>
      <w:r w:rsidR="00C96600">
        <w:rPr>
          <w:lang w:val="en-GB"/>
        </w:rPr>
        <w:t>After technical engagement the company applied a</w:t>
      </w:r>
      <w:r w:rsidR="00C96600">
        <w:t xml:space="preserve"> utility value </w:t>
      </w:r>
      <w:r w:rsidR="00C96600">
        <w:rPr>
          <w:lang w:val="en-GB"/>
        </w:rPr>
        <w:t xml:space="preserve">from only those people who had FOLFIRI (plus cetuximab) in the clinical trial to people who had FOLFIRI in the model. </w:t>
      </w:r>
      <w:r>
        <w:t xml:space="preserve">The </w:t>
      </w:r>
      <w:r w:rsidR="008A52B3">
        <w:rPr>
          <w:lang w:val="en-GB"/>
        </w:rPr>
        <w:t xml:space="preserve">committee noted that the </w:t>
      </w:r>
      <w:r>
        <w:t xml:space="preserve">utility value used for </w:t>
      </w:r>
      <w:r>
        <w:rPr>
          <w:lang w:val="en-GB"/>
        </w:rPr>
        <w:t xml:space="preserve">the </w:t>
      </w:r>
      <w:r w:rsidR="008A52B3">
        <w:rPr>
          <w:lang w:val="en-GB"/>
        </w:rPr>
        <w:t>post-</w:t>
      </w:r>
      <w:r>
        <w:t xml:space="preserve">progression </w:t>
      </w:r>
      <w:r>
        <w:rPr>
          <w:lang w:val="en-GB"/>
        </w:rPr>
        <w:t>health state</w:t>
      </w:r>
      <w:r>
        <w:t xml:space="preserve"> </w:t>
      </w:r>
      <w:r>
        <w:rPr>
          <w:lang w:val="en-US"/>
        </w:rPr>
        <w:t xml:space="preserve">in </w:t>
      </w:r>
      <w:r>
        <w:t xml:space="preserve">the </w:t>
      </w:r>
      <w:r w:rsidR="008A52B3">
        <w:rPr>
          <w:lang w:val="en-GB"/>
        </w:rPr>
        <w:t xml:space="preserve">encorafenib </w:t>
      </w:r>
      <w:r w:rsidR="00EE6099">
        <w:rPr>
          <w:lang w:val="en-GB"/>
        </w:rPr>
        <w:t>plus</w:t>
      </w:r>
      <w:r w:rsidR="008A52B3">
        <w:rPr>
          <w:lang w:val="en-GB"/>
        </w:rPr>
        <w:t xml:space="preserve"> cetuximab</w:t>
      </w:r>
      <w:r>
        <w:t xml:space="preserve"> arm was slightly </w:t>
      </w:r>
      <w:r w:rsidR="008A52B3">
        <w:rPr>
          <w:lang w:val="en-GB"/>
        </w:rPr>
        <w:t>lower</w:t>
      </w:r>
      <w:r>
        <w:t xml:space="preserve"> than </w:t>
      </w:r>
      <w:r>
        <w:rPr>
          <w:lang w:val="en-GB"/>
        </w:rPr>
        <w:t xml:space="preserve">for </w:t>
      </w:r>
      <w:r>
        <w:t xml:space="preserve">the </w:t>
      </w:r>
      <w:r w:rsidR="008A52B3">
        <w:rPr>
          <w:lang w:val="en-GB"/>
        </w:rPr>
        <w:t xml:space="preserve">FOLFIRI </w:t>
      </w:r>
      <w:r>
        <w:t>arm</w:t>
      </w:r>
      <w:r w:rsidR="008A52B3">
        <w:rPr>
          <w:lang w:val="en-GB"/>
        </w:rPr>
        <w:t xml:space="preserve">. </w:t>
      </w:r>
      <w:r w:rsidR="003C0FFD">
        <w:rPr>
          <w:lang w:val="en-GB"/>
        </w:rPr>
        <w:t xml:space="preserve">The company explained that </w:t>
      </w:r>
      <w:r w:rsidR="00EE6099">
        <w:rPr>
          <w:lang w:val="en-GB"/>
        </w:rPr>
        <w:t>although</w:t>
      </w:r>
      <w:r w:rsidR="003C0FFD">
        <w:rPr>
          <w:lang w:val="en-GB"/>
        </w:rPr>
        <w:t xml:space="preserve"> these </w:t>
      </w:r>
      <w:r w:rsidR="00EE6099">
        <w:rPr>
          <w:lang w:val="en-GB"/>
        </w:rPr>
        <w:t>were</w:t>
      </w:r>
      <w:r w:rsidR="003C0FFD">
        <w:rPr>
          <w:lang w:val="en-GB"/>
        </w:rPr>
        <w:t xml:space="preserve"> different in the modelling, the range of the utilities in each arm overlapped and </w:t>
      </w:r>
      <w:r w:rsidR="00EE6099">
        <w:rPr>
          <w:lang w:val="en-GB"/>
        </w:rPr>
        <w:t xml:space="preserve">were </w:t>
      </w:r>
      <w:r w:rsidR="00D95C68">
        <w:rPr>
          <w:lang w:val="en-GB"/>
        </w:rPr>
        <w:t xml:space="preserve">not </w:t>
      </w:r>
      <w:r w:rsidR="00C96600">
        <w:rPr>
          <w:lang w:val="en-GB"/>
        </w:rPr>
        <w:t xml:space="preserve">statistically </w:t>
      </w:r>
      <w:r w:rsidR="00D95C68">
        <w:rPr>
          <w:lang w:val="en-GB"/>
        </w:rPr>
        <w:t>different</w:t>
      </w:r>
      <w:r w:rsidR="003C0FFD">
        <w:rPr>
          <w:lang w:val="en-GB"/>
        </w:rPr>
        <w:t xml:space="preserve">. The </w:t>
      </w:r>
      <w:r w:rsidR="003C0FFD">
        <w:rPr>
          <w:lang w:val="en-GB"/>
        </w:rPr>
        <w:lastRenderedPageBreak/>
        <w:t>ERG also highlighted that the utility values were not collected at the same time point in each arm</w:t>
      </w:r>
      <w:r w:rsidR="00EE6099">
        <w:rPr>
          <w:lang w:val="en-GB"/>
        </w:rPr>
        <w:t>,</w:t>
      </w:r>
      <w:r w:rsidR="003C0FFD">
        <w:rPr>
          <w:lang w:val="en-GB"/>
        </w:rPr>
        <w:t xml:space="preserve"> which may </w:t>
      </w:r>
      <w:r w:rsidR="00C96600">
        <w:rPr>
          <w:lang w:val="en-GB"/>
        </w:rPr>
        <w:t xml:space="preserve">have </w:t>
      </w:r>
      <w:r w:rsidR="003C0FFD">
        <w:rPr>
          <w:lang w:val="en-GB"/>
        </w:rPr>
        <w:t>affect</w:t>
      </w:r>
      <w:r w:rsidR="00C96600">
        <w:rPr>
          <w:lang w:val="en-GB"/>
        </w:rPr>
        <w:t>ed</w:t>
      </w:r>
      <w:r w:rsidR="003C0FFD">
        <w:rPr>
          <w:lang w:val="en-GB"/>
        </w:rPr>
        <w:t xml:space="preserve"> </w:t>
      </w:r>
      <w:r w:rsidR="00C96600">
        <w:rPr>
          <w:lang w:val="en-GB"/>
        </w:rPr>
        <w:t>the results</w:t>
      </w:r>
      <w:r w:rsidR="003C0FFD">
        <w:rPr>
          <w:lang w:val="en-GB"/>
        </w:rPr>
        <w:t xml:space="preserve">. </w:t>
      </w:r>
      <w:r>
        <w:rPr>
          <w:lang w:val="en-GB"/>
        </w:rPr>
        <w:t>T</w:t>
      </w:r>
      <w:r>
        <w:t>he</w:t>
      </w:r>
      <w:r w:rsidR="003C0FFD">
        <w:rPr>
          <w:lang w:val="en-GB"/>
        </w:rPr>
        <w:t xml:space="preserve"> committee </w:t>
      </w:r>
      <w:r w:rsidR="00D95C68">
        <w:rPr>
          <w:lang w:val="en-GB"/>
        </w:rPr>
        <w:t xml:space="preserve">considered </w:t>
      </w:r>
      <w:r w:rsidR="00EE6099">
        <w:rPr>
          <w:lang w:val="en-GB"/>
        </w:rPr>
        <w:t xml:space="preserve">it </w:t>
      </w:r>
      <w:r w:rsidR="00D95C68">
        <w:rPr>
          <w:lang w:val="en-GB"/>
        </w:rPr>
        <w:t>reasonable</w:t>
      </w:r>
      <w:r w:rsidR="003C0FFD">
        <w:rPr>
          <w:lang w:val="en-GB"/>
        </w:rPr>
        <w:t xml:space="preserve"> </w:t>
      </w:r>
      <w:r w:rsidR="00D95C68">
        <w:rPr>
          <w:lang w:val="en-GB"/>
        </w:rPr>
        <w:t xml:space="preserve">that the </w:t>
      </w:r>
      <w:r w:rsidR="003C0FFD">
        <w:rPr>
          <w:lang w:val="en-GB"/>
        </w:rPr>
        <w:t>health</w:t>
      </w:r>
      <w:r>
        <w:t xml:space="preserve"> utility </w:t>
      </w:r>
      <w:r>
        <w:rPr>
          <w:lang w:val="en-GB"/>
        </w:rPr>
        <w:t xml:space="preserve">data </w:t>
      </w:r>
      <w:r w:rsidR="003C0FFD">
        <w:rPr>
          <w:lang w:val="en-GB"/>
        </w:rPr>
        <w:t>collected in BEACON</w:t>
      </w:r>
      <w:r w:rsidR="001F1179">
        <w:rPr>
          <w:lang w:val="en-GB"/>
        </w:rPr>
        <w:t xml:space="preserve"> CRC</w:t>
      </w:r>
      <w:r w:rsidR="003C0FFD">
        <w:rPr>
          <w:lang w:val="en-GB"/>
        </w:rPr>
        <w:t xml:space="preserve"> </w:t>
      </w:r>
      <w:r>
        <w:t>would capture</w:t>
      </w:r>
      <w:r w:rsidR="00C96600">
        <w:rPr>
          <w:lang w:val="en-GB"/>
        </w:rPr>
        <w:t xml:space="preserve"> decrements for adverse events </w:t>
      </w:r>
      <w:r w:rsidR="008C0C5D">
        <w:rPr>
          <w:lang w:val="en-GB"/>
        </w:rPr>
        <w:t>because</w:t>
      </w:r>
      <w:r w:rsidR="00C96600">
        <w:rPr>
          <w:lang w:val="en-GB"/>
        </w:rPr>
        <w:t xml:space="preserve"> they were treatment specific</w:t>
      </w:r>
      <w:r>
        <w:t xml:space="preserve">. </w:t>
      </w:r>
      <w:r w:rsidR="00C96600">
        <w:rPr>
          <w:lang w:val="en-US"/>
        </w:rPr>
        <w:t>T</w:t>
      </w:r>
      <w:r>
        <w:t>he committee concluded that the</w:t>
      </w:r>
      <w:r>
        <w:rPr>
          <w:lang w:val="en-US"/>
        </w:rPr>
        <w:t xml:space="preserve"> </w:t>
      </w:r>
      <w:r>
        <w:t>utilit</w:t>
      </w:r>
      <w:r>
        <w:rPr>
          <w:lang w:val="en-US"/>
        </w:rPr>
        <w:t>y estimates</w:t>
      </w:r>
      <w:r>
        <w:t xml:space="preserve"> used in the company</w:t>
      </w:r>
      <w:r>
        <w:rPr>
          <w:lang w:val="en-GB"/>
        </w:rPr>
        <w:t>’s</w:t>
      </w:r>
      <w:r>
        <w:t xml:space="preserve"> model </w:t>
      </w:r>
      <w:r>
        <w:rPr>
          <w:lang w:val="en-GB"/>
        </w:rPr>
        <w:t>were</w:t>
      </w:r>
      <w:r>
        <w:t xml:space="preserve"> appropriate.</w:t>
      </w:r>
    </w:p>
    <w:p w14:paraId="1FB75DDC" w14:textId="77777777" w:rsidR="00634596" w:rsidRDefault="00634596" w:rsidP="00634596">
      <w:pPr>
        <w:pStyle w:val="Heading2"/>
      </w:pPr>
      <w:r>
        <w:t>Costs in the economic model</w:t>
      </w:r>
    </w:p>
    <w:p w14:paraId="3348776F" w14:textId="77777777" w:rsidR="00EB7154" w:rsidRDefault="00EB7154" w:rsidP="00EB7154">
      <w:pPr>
        <w:pStyle w:val="Heading3"/>
      </w:pPr>
      <w:r>
        <w:t>Time to treatment discontinuation should be applied in the model</w:t>
      </w:r>
    </w:p>
    <w:p w14:paraId="7E1AB523" w14:textId="48C565E9" w:rsidR="00EB7154" w:rsidRDefault="00D95C68" w:rsidP="00EB7154">
      <w:pPr>
        <w:pStyle w:val="Numberedlevel2text"/>
      </w:pPr>
      <w:r>
        <w:rPr>
          <w:lang w:val="en-GB"/>
        </w:rPr>
        <w:t>Time to treatment discontinuation determines total acquisition costs for a t</w:t>
      </w:r>
      <w:r w:rsidR="0091178E">
        <w:rPr>
          <w:lang w:val="en-GB"/>
        </w:rPr>
        <w:t>reatment</w:t>
      </w:r>
      <w:r>
        <w:rPr>
          <w:lang w:val="en-GB"/>
        </w:rPr>
        <w:t xml:space="preserve">. </w:t>
      </w:r>
      <w:r w:rsidR="00EB7154" w:rsidRPr="003D0306">
        <w:t xml:space="preserve">The company </w:t>
      </w:r>
      <w:r>
        <w:rPr>
          <w:lang w:val="en-GB"/>
        </w:rPr>
        <w:t xml:space="preserve">instead used time to </w:t>
      </w:r>
      <w:r w:rsidR="00EE6099">
        <w:rPr>
          <w:lang w:val="en-GB"/>
        </w:rPr>
        <w:t xml:space="preserve">disease </w:t>
      </w:r>
      <w:r>
        <w:rPr>
          <w:lang w:val="en-GB"/>
        </w:rPr>
        <w:t>progression</w:t>
      </w:r>
      <w:r w:rsidR="00EE6099">
        <w:rPr>
          <w:lang w:val="en-GB"/>
        </w:rPr>
        <w:t>,</w:t>
      </w:r>
      <w:r>
        <w:rPr>
          <w:lang w:val="en-GB"/>
        </w:rPr>
        <w:t xml:space="preserve"> </w:t>
      </w:r>
      <w:r w:rsidR="00EB7154" w:rsidRPr="003D0306">
        <w:t>assum</w:t>
      </w:r>
      <w:r>
        <w:rPr>
          <w:lang w:val="en-GB"/>
        </w:rPr>
        <w:t>ing</w:t>
      </w:r>
      <w:r w:rsidR="00EB7154" w:rsidRPr="003D0306">
        <w:t xml:space="preserve"> that time to treatment discontinuation was equivalent to progression</w:t>
      </w:r>
      <w:r w:rsidR="00EE6099">
        <w:rPr>
          <w:lang w:val="en-GB"/>
        </w:rPr>
        <w:t>-</w:t>
      </w:r>
      <w:r w:rsidR="00EB7154" w:rsidRPr="003D0306">
        <w:t xml:space="preserve">free survival. </w:t>
      </w:r>
      <w:r>
        <w:rPr>
          <w:lang w:val="en-GB"/>
        </w:rPr>
        <w:t>The company</w:t>
      </w:r>
      <w:r w:rsidR="00EE6099">
        <w:rPr>
          <w:lang w:val="en-GB"/>
        </w:rPr>
        <w:t>’s</w:t>
      </w:r>
      <w:r>
        <w:rPr>
          <w:lang w:val="en-GB"/>
        </w:rPr>
        <w:t xml:space="preserve"> clinical experts supported t</w:t>
      </w:r>
      <w:r w:rsidR="00EB7154" w:rsidRPr="003D0306">
        <w:t xml:space="preserve">his assumption. </w:t>
      </w:r>
      <w:r w:rsidR="00EB7154">
        <w:rPr>
          <w:lang w:val="en-GB"/>
        </w:rPr>
        <w:t xml:space="preserve">The company explained that it used </w:t>
      </w:r>
      <w:r>
        <w:rPr>
          <w:lang w:val="en-GB"/>
        </w:rPr>
        <w:t>progression</w:t>
      </w:r>
      <w:r w:rsidR="00EE6099">
        <w:rPr>
          <w:lang w:val="en-GB"/>
        </w:rPr>
        <w:t>-</w:t>
      </w:r>
      <w:r>
        <w:rPr>
          <w:lang w:val="en-GB"/>
        </w:rPr>
        <w:t xml:space="preserve">free survival </w:t>
      </w:r>
      <w:r w:rsidR="00EB7154">
        <w:rPr>
          <w:lang w:val="en-GB"/>
        </w:rPr>
        <w:t xml:space="preserve">to model time to treatment discontinuation because the </w:t>
      </w:r>
      <w:r>
        <w:rPr>
          <w:lang w:val="en-GB"/>
        </w:rPr>
        <w:t xml:space="preserve">trials </w:t>
      </w:r>
      <w:r w:rsidR="00EB7154">
        <w:rPr>
          <w:lang w:val="en-GB"/>
        </w:rPr>
        <w:t>used in the indirect and na</w:t>
      </w:r>
      <w:r w:rsidR="003947AB">
        <w:rPr>
          <w:lang w:val="en-GB"/>
        </w:rPr>
        <w:t>i</w:t>
      </w:r>
      <w:r w:rsidR="00EB7154">
        <w:rPr>
          <w:lang w:val="en-GB"/>
        </w:rPr>
        <w:t xml:space="preserve">ve treatment comparison did not report </w:t>
      </w:r>
      <w:r w:rsidR="00EB7154" w:rsidRPr="006356DB">
        <w:rPr>
          <w:lang w:val="en-GB"/>
        </w:rPr>
        <w:t>time to treatment discontinuation</w:t>
      </w:r>
      <w:r w:rsidR="00EB7154">
        <w:rPr>
          <w:lang w:val="en-GB"/>
        </w:rPr>
        <w:t xml:space="preserve">. It provided a scenario analysis using time to treatment discontinuation for encorafenib with cetuximab which lowered </w:t>
      </w:r>
      <w:r w:rsidR="00B16890">
        <w:rPr>
          <w:lang w:val="en-GB"/>
        </w:rPr>
        <w:t>the</w:t>
      </w:r>
      <w:r w:rsidR="008C0C5D">
        <w:rPr>
          <w:lang w:val="en-GB"/>
        </w:rPr>
        <w:t xml:space="preserve"> </w:t>
      </w:r>
      <w:r w:rsidR="00EB7154">
        <w:rPr>
          <w:lang w:val="en-GB"/>
        </w:rPr>
        <w:t xml:space="preserve">treatment costs. </w:t>
      </w:r>
      <w:r w:rsidR="00EB7154">
        <w:t>The committee considered that there was some uncertainty around the most plausible model to estimate time</w:t>
      </w:r>
      <w:r w:rsidR="00EB7154">
        <w:rPr>
          <w:lang w:val="en-US"/>
        </w:rPr>
        <w:t xml:space="preserve"> </w:t>
      </w:r>
      <w:r w:rsidR="00EB7154">
        <w:t>on treatment</w:t>
      </w:r>
      <w:r w:rsidR="00EB7154">
        <w:rPr>
          <w:lang w:val="en-US"/>
        </w:rPr>
        <w:t xml:space="preserve"> and further analyses were needed to explore the </w:t>
      </w:r>
      <w:r w:rsidR="00EE6099">
        <w:rPr>
          <w:lang w:val="en-US"/>
        </w:rPr>
        <w:t>effect</w:t>
      </w:r>
      <w:r w:rsidR="00EB7154">
        <w:rPr>
          <w:lang w:val="en-US"/>
        </w:rPr>
        <w:t xml:space="preserve"> on the </w:t>
      </w:r>
      <w:r w:rsidR="003A1322">
        <w:rPr>
          <w:lang w:val="en-US"/>
        </w:rPr>
        <w:t>incremental cost-effectiveness ratio (</w:t>
      </w:r>
      <w:r w:rsidR="00EB7154">
        <w:rPr>
          <w:lang w:val="en-US"/>
        </w:rPr>
        <w:t>ICER</w:t>
      </w:r>
      <w:r w:rsidR="003A1322">
        <w:rPr>
          <w:lang w:val="en-US"/>
        </w:rPr>
        <w:t>)</w:t>
      </w:r>
      <w:r w:rsidR="00EE6099">
        <w:rPr>
          <w:lang w:val="en-US"/>
        </w:rPr>
        <w:t>.</w:t>
      </w:r>
      <w:r w:rsidR="00EB7154">
        <w:rPr>
          <w:lang w:val="en-US"/>
        </w:rPr>
        <w:t xml:space="preserve"> </w:t>
      </w:r>
      <w:r w:rsidR="00EE6099">
        <w:rPr>
          <w:lang w:val="en-US"/>
        </w:rPr>
        <w:t>B</w:t>
      </w:r>
      <w:r w:rsidR="00EB7154">
        <w:rPr>
          <w:lang w:val="en-US"/>
        </w:rPr>
        <w:t xml:space="preserve">ut </w:t>
      </w:r>
      <w:r w:rsidR="00EE6099">
        <w:rPr>
          <w:lang w:val="en-US"/>
        </w:rPr>
        <w:t xml:space="preserve">it </w:t>
      </w:r>
      <w:r w:rsidR="00EB7154">
        <w:rPr>
          <w:lang w:val="en-US"/>
        </w:rPr>
        <w:t>prefer</w:t>
      </w:r>
      <w:r w:rsidR="002667E2">
        <w:rPr>
          <w:lang w:val="en-US"/>
        </w:rPr>
        <w:t>red</w:t>
      </w:r>
      <w:r w:rsidR="00EB7154">
        <w:rPr>
          <w:lang w:val="en-US"/>
        </w:rPr>
        <w:t xml:space="preserve"> using </w:t>
      </w:r>
      <w:r w:rsidR="00EB7154">
        <w:rPr>
          <w:lang w:val="en-GB"/>
        </w:rPr>
        <w:t>time to treatment discontinuation in the economic model.</w:t>
      </w:r>
    </w:p>
    <w:p w14:paraId="19BB432E" w14:textId="15B832F0" w:rsidR="004826D9" w:rsidRDefault="00114878" w:rsidP="006C6B04">
      <w:pPr>
        <w:pStyle w:val="Heading3"/>
      </w:pPr>
      <w:r>
        <w:t xml:space="preserve">It is appropriate to use mean </w:t>
      </w:r>
      <w:r w:rsidR="004826D9">
        <w:t>relative dose intensit</w:t>
      </w:r>
      <w:r w:rsidR="00685D15">
        <w:t>ies</w:t>
      </w:r>
      <w:r>
        <w:t xml:space="preserve"> in the model</w:t>
      </w:r>
    </w:p>
    <w:p w14:paraId="076D9E6D" w14:textId="3D301669" w:rsidR="006C6B04" w:rsidRDefault="006C6B04" w:rsidP="00114878">
      <w:pPr>
        <w:pStyle w:val="Numberedlevel2text"/>
      </w:pPr>
      <w:r>
        <w:rPr>
          <w:lang w:val="en-GB"/>
        </w:rPr>
        <w:t>The company used mean relative dose intensities</w:t>
      </w:r>
      <w:r w:rsidR="00537D99">
        <w:rPr>
          <w:lang w:val="en-GB"/>
        </w:rPr>
        <w:t xml:space="preserve">, </w:t>
      </w:r>
      <w:r w:rsidR="00537D99">
        <w:rPr>
          <w:lang w:val="en-US"/>
        </w:rPr>
        <w:t>that is</w:t>
      </w:r>
      <w:r w:rsidR="00D95C68">
        <w:rPr>
          <w:lang w:val="en-US"/>
        </w:rPr>
        <w:t>,</w:t>
      </w:r>
      <w:r w:rsidR="00537D99">
        <w:rPr>
          <w:lang w:val="en-US"/>
        </w:rPr>
        <w:t xml:space="preserve"> the ratio of the given dose to the planned dose,</w:t>
      </w:r>
      <w:r>
        <w:rPr>
          <w:lang w:val="en-GB"/>
        </w:rPr>
        <w:t xml:space="preserve"> in the economic model. </w:t>
      </w:r>
      <w:r w:rsidR="00537D99">
        <w:rPr>
          <w:lang w:val="en-GB"/>
        </w:rPr>
        <w:t>T</w:t>
      </w:r>
      <w:r>
        <w:rPr>
          <w:lang w:val="en-GB"/>
        </w:rPr>
        <w:t xml:space="preserve">he ERG </w:t>
      </w:r>
      <w:r w:rsidR="00537D99">
        <w:rPr>
          <w:lang w:val="en-GB"/>
        </w:rPr>
        <w:t xml:space="preserve">explained </w:t>
      </w:r>
      <w:r w:rsidR="00EE6099">
        <w:rPr>
          <w:lang w:val="en-GB"/>
        </w:rPr>
        <w:t>its</w:t>
      </w:r>
      <w:r w:rsidR="00537D99">
        <w:rPr>
          <w:lang w:val="en-GB"/>
        </w:rPr>
        <w:t xml:space="preserve"> preference for using </w:t>
      </w:r>
      <w:r>
        <w:rPr>
          <w:lang w:val="en-GB"/>
        </w:rPr>
        <w:t xml:space="preserve">median values because the trial data </w:t>
      </w:r>
      <w:r w:rsidR="00EE6099">
        <w:rPr>
          <w:lang w:val="en-GB"/>
        </w:rPr>
        <w:t>are</w:t>
      </w:r>
      <w:r>
        <w:rPr>
          <w:lang w:val="en-GB"/>
        </w:rPr>
        <w:t xml:space="preserve"> skewed</w:t>
      </w:r>
      <w:r w:rsidR="00EE6099">
        <w:rPr>
          <w:lang w:val="en-GB"/>
        </w:rPr>
        <w:t>,</w:t>
      </w:r>
      <w:r w:rsidR="00537D99">
        <w:rPr>
          <w:lang w:val="en-GB"/>
        </w:rPr>
        <w:t xml:space="preserve"> meaning</w:t>
      </w:r>
      <w:r>
        <w:rPr>
          <w:lang w:val="en-GB"/>
        </w:rPr>
        <w:t xml:space="preserve"> </w:t>
      </w:r>
      <w:r w:rsidR="00EE6099">
        <w:rPr>
          <w:lang w:val="en-GB"/>
        </w:rPr>
        <w:t xml:space="preserve">that </w:t>
      </w:r>
      <w:r>
        <w:rPr>
          <w:lang w:val="en-GB"/>
        </w:rPr>
        <w:t>the median is higher than the mean</w:t>
      </w:r>
      <w:r w:rsidR="00537D99">
        <w:rPr>
          <w:lang w:val="en-GB"/>
        </w:rPr>
        <w:t xml:space="preserve">. </w:t>
      </w:r>
      <w:r w:rsidR="00E13051">
        <w:rPr>
          <w:lang w:val="en-GB"/>
        </w:rPr>
        <w:t>It</w:t>
      </w:r>
      <w:r w:rsidR="00537D99">
        <w:rPr>
          <w:lang w:val="en-GB"/>
        </w:rPr>
        <w:t xml:space="preserve"> noted </w:t>
      </w:r>
      <w:r w:rsidR="00E13051">
        <w:rPr>
          <w:lang w:val="en-GB"/>
        </w:rPr>
        <w:t xml:space="preserve">that </w:t>
      </w:r>
      <w:r w:rsidR="00537D99">
        <w:rPr>
          <w:lang w:val="en-GB"/>
        </w:rPr>
        <w:t xml:space="preserve">this may be caused by </w:t>
      </w:r>
      <w:r w:rsidR="00D32032">
        <w:rPr>
          <w:lang w:val="en-GB"/>
        </w:rPr>
        <w:t>some poor outcomes early in the trial</w:t>
      </w:r>
      <w:r w:rsidR="007F06C9">
        <w:rPr>
          <w:lang w:val="en-GB"/>
        </w:rPr>
        <w:t>.</w:t>
      </w:r>
      <w:r w:rsidR="00114878">
        <w:rPr>
          <w:lang w:val="en-GB"/>
        </w:rPr>
        <w:t xml:space="preserve"> The c</w:t>
      </w:r>
      <w:r>
        <w:t xml:space="preserve">ompany </w:t>
      </w:r>
      <w:r w:rsidR="00114878">
        <w:rPr>
          <w:lang w:val="en-GB"/>
        </w:rPr>
        <w:t xml:space="preserve">explained that it </w:t>
      </w:r>
      <w:r>
        <w:t xml:space="preserve">used the mean because </w:t>
      </w:r>
      <w:r w:rsidR="00114878">
        <w:rPr>
          <w:lang w:val="en-GB"/>
        </w:rPr>
        <w:t>it better reflect</w:t>
      </w:r>
      <w:r w:rsidR="00E13051">
        <w:rPr>
          <w:lang w:val="en-GB"/>
        </w:rPr>
        <w:t>ed</w:t>
      </w:r>
      <w:r w:rsidR="00114878">
        <w:rPr>
          <w:lang w:val="en-GB"/>
        </w:rPr>
        <w:t xml:space="preserve"> what </w:t>
      </w:r>
      <w:r w:rsidR="00114878">
        <w:rPr>
          <w:lang w:val="en-GB"/>
        </w:rPr>
        <w:lastRenderedPageBreak/>
        <w:t>will happen in clinical practice</w:t>
      </w:r>
      <w:r w:rsidR="007B665D">
        <w:rPr>
          <w:lang w:val="en-GB"/>
        </w:rPr>
        <w:t>.</w:t>
      </w:r>
      <w:r w:rsidR="00083C49">
        <w:rPr>
          <w:lang w:val="en-GB"/>
        </w:rPr>
        <w:t xml:space="preserve"> </w:t>
      </w:r>
      <w:r w:rsidR="00114878">
        <w:rPr>
          <w:lang w:val="en-GB"/>
        </w:rPr>
        <w:t>The committee concluded that mean relative dose intensities should be used in the model</w:t>
      </w:r>
      <w:r w:rsidR="00E13051">
        <w:rPr>
          <w:lang w:val="en-GB"/>
        </w:rPr>
        <w:t>.</w:t>
      </w:r>
    </w:p>
    <w:p w14:paraId="131F7CCB" w14:textId="7B3693E4" w:rsidR="00114878" w:rsidRDefault="00DB76AC" w:rsidP="00114878">
      <w:pPr>
        <w:pStyle w:val="Heading3"/>
      </w:pPr>
      <w:r>
        <w:t xml:space="preserve">It is appropriate to assume </w:t>
      </w:r>
      <w:r w:rsidR="00F65C75">
        <w:t>10%</w:t>
      </w:r>
      <w:r>
        <w:t xml:space="preserve"> d</w:t>
      </w:r>
      <w:r w:rsidR="00114878">
        <w:t xml:space="preserve">rug wastage </w:t>
      </w:r>
      <w:r w:rsidR="00F65C75">
        <w:t>for oral treatments</w:t>
      </w:r>
    </w:p>
    <w:p w14:paraId="60A9AA19" w14:textId="1B65B040" w:rsidR="00125319" w:rsidRDefault="00537D99" w:rsidP="00D93B85">
      <w:pPr>
        <w:pStyle w:val="Numberedlevel2text"/>
      </w:pPr>
      <w:r>
        <w:rPr>
          <w:lang w:val="en-GB"/>
        </w:rPr>
        <w:t>I</w:t>
      </w:r>
      <w:r w:rsidRPr="00C91420">
        <w:t xml:space="preserve">n </w:t>
      </w:r>
      <w:r>
        <w:rPr>
          <w:lang w:val="en-GB"/>
        </w:rPr>
        <w:t>its</w:t>
      </w:r>
      <w:r w:rsidRPr="00C91420">
        <w:t xml:space="preserve"> base case</w:t>
      </w:r>
      <w:r>
        <w:rPr>
          <w:lang w:val="en-GB"/>
        </w:rPr>
        <w:t>,</w:t>
      </w:r>
      <w:r w:rsidRPr="00C91420">
        <w:t xml:space="preserve"> </w:t>
      </w:r>
      <w:r>
        <w:rPr>
          <w:lang w:val="en-GB"/>
        </w:rPr>
        <w:t>t</w:t>
      </w:r>
      <w:r w:rsidR="00DB76AC">
        <w:rPr>
          <w:lang w:val="en-GB"/>
        </w:rPr>
        <w:t>he company assume</w:t>
      </w:r>
      <w:r w:rsidR="00F65C75">
        <w:rPr>
          <w:lang w:val="en-GB"/>
        </w:rPr>
        <w:t>d</w:t>
      </w:r>
      <w:r w:rsidR="00DB76AC">
        <w:rPr>
          <w:lang w:val="en-GB"/>
        </w:rPr>
        <w:t xml:space="preserve"> </w:t>
      </w:r>
      <w:r w:rsidR="00D93B85">
        <w:rPr>
          <w:lang w:val="en-GB"/>
        </w:rPr>
        <w:t xml:space="preserve">sharing </w:t>
      </w:r>
      <w:r w:rsidR="00DB76AC">
        <w:rPr>
          <w:lang w:val="en-GB"/>
        </w:rPr>
        <w:t>vial</w:t>
      </w:r>
      <w:r w:rsidR="00D93B85">
        <w:rPr>
          <w:lang w:val="en-GB"/>
        </w:rPr>
        <w:t>s</w:t>
      </w:r>
      <w:r w:rsidR="00DB76AC">
        <w:rPr>
          <w:lang w:val="en-GB"/>
        </w:rPr>
        <w:t xml:space="preserve"> </w:t>
      </w:r>
      <w:r w:rsidR="00DB76AC" w:rsidRPr="00D93B85">
        <w:rPr>
          <w:lang w:val="en-GB"/>
        </w:rPr>
        <w:t>and no wastage. It provided a scenario analysis that assumed vial wastage occurs i</w:t>
      </w:r>
      <w:r w:rsidR="00DB76AC" w:rsidRPr="00573051">
        <w:rPr>
          <w:lang w:val="en-GB"/>
        </w:rPr>
        <w:t xml:space="preserve">n 10% of </w:t>
      </w:r>
      <w:r w:rsidR="00573051">
        <w:rPr>
          <w:lang w:val="en-GB"/>
        </w:rPr>
        <w:t>dispensed drugs</w:t>
      </w:r>
      <w:r w:rsidR="00DB76AC" w:rsidRPr="00573051">
        <w:rPr>
          <w:lang w:val="en-GB"/>
        </w:rPr>
        <w:t xml:space="preserve">. </w:t>
      </w:r>
      <w:r w:rsidRPr="00573051">
        <w:rPr>
          <w:lang w:val="en-GB"/>
        </w:rPr>
        <w:t xml:space="preserve">The clinical lead for the </w:t>
      </w:r>
      <w:r w:rsidR="00DB76AC" w:rsidRPr="00573051">
        <w:rPr>
          <w:lang w:val="en-GB"/>
        </w:rPr>
        <w:t xml:space="preserve">Cancer Drugs Fund explained that </w:t>
      </w:r>
      <w:r w:rsidR="004E6B7D" w:rsidRPr="00573051">
        <w:rPr>
          <w:lang w:val="en-GB"/>
        </w:rPr>
        <w:t xml:space="preserve">it </w:t>
      </w:r>
      <w:r w:rsidR="00F65C75">
        <w:rPr>
          <w:lang w:val="en-GB"/>
        </w:rPr>
        <w:t>wa</w:t>
      </w:r>
      <w:r w:rsidR="004E6B7D" w:rsidRPr="00573051">
        <w:rPr>
          <w:lang w:val="en-GB"/>
        </w:rPr>
        <w:t xml:space="preserve">s reasonable to assume </w:t>
      </w:r>
      <w:r w:rsidR="00114878" w:rsidRPr="00114878">
        <w:t xml:space="preserve">10% drug wastage for oral </w:t>
      </w:r>
      <w:r w:rsidR="00DB76AC" w:rsidRPr="00D93B85">
        <w:rPr>
          <w:lang w:val="en-GB"/>
        </w:rPr>
        <w:t xml:space="preserve">drugs </w:t>
      </w:r>
      <w:r w:rsidR="00F65C75">
        <w:rPr>
          <w:lang w:val="en-GB"/>
        </w:rPr>
        <w:t>because</w:t>
      </w:r>
      <w:r w:rsidR="00DB76AC" w:rsidRPr="00D93B85">
        <w:rPr>
          <w:lang w:val="en-GB"/>
        </w:rPr>
        <w:t xml:space="preserve"> people may stop taking treatment between clinic visits</w:t>
      </w:r>
      <w:r w:rsidR="00F65C75">
        <w:rPr>
          <w:lang w:val="en-GB"/>
        </w:rPr>
        <w:t>. B</w:t>
      </w:r>
      <w:r w:rsidRPr="00D93B85">
        <w:rPr>
          <w:lang w:val="en-GB"/>
        </w:rPr>
        <w:t>ut assum</w:t>
      </w:r>
      <w:r w:rsidR="00F65C75">
        <w:rPr>
          <w:lang w:val="en-GB"/>
        </w:rPr>
        <w:t>ing</w:t>
      </w:r>
      <w:r w:rsidRPr="00D93B85">
        <w:rPr>
          <w:lang w:val="en-GB"/>
        </w:rPr>
        <w:t xml:space="preserve"> no </w:t>
      </w:r>
      <w:r w:rsidR="00F63F21" w:rsidRPr="00573051">
        <w:rPr>
          <w:lang w:val="en-GB"/>
        </w:rPr>
        <w:t xml:space="preserve">drug </w:t>
      </w:r>
      <w:r w:rsidR="00DB76AC" w:rsidRPr="00573051">
        <w:rPr>
          <w:lang w:val="en-GB"/>
        </w:rPr>
        <w:t>wastage</w:t>
      </w:r>
      <w:r w:rsidRPr="00573051">
        <w:rPr>
          <w:lang w:val="en-GB"/>
        </w:rPr>
        <w:t xml:space="preserve"> for</w:t>
      </w:r>
      <w:r w:rsidR="00DB76AC" w:rsidRPr="00573051">
        <w:rPr>
          <w:lang w:val="en-GB"/>
        </w:rPr>
        <w:t xml:space="preserve"> </w:t>
      </w:r>
      <w:r w:rsidR="00114878" w:rsidRPr="00114878">
        <w:t>intravenous drugs</w:t>
      </w:r>
      <w:r w:rsidRPr="00D93B85">
        <w:rPr>
          <w:lang w:val="en-GB"/>
        </w:rPr>
        <w:t xml:space="preserve"> would be appropriate </w:t>
      </w:r>
      <w:r w:rsidR="00F65C75">
        <w:rPr>
          <w:lang w:val="en-GB"/>
        </w:rPr>
        <w:t>because</w:t>
      </w:r>
      <w:r w:rsidRPr="00D93B85">
        <w:rPr>
          <w:lang w:val="en-GB"/>
        </w:rPr>
        <w:t xml:space="preserve"> cetuximab and FOLFIRI are common treatments used in the NHS with relatively long shelf</w:t>
      </w:r>
      <w:r w:rsidR="00F65C75">
        <w:rPr>
          <w:lang w:val="en-GB"/>
        </w:rPr>
        <w:t xml:space="preserve"> </w:t>
      </w:r>
      <w:r w:rsidRPr="00D93B85">
        <w:rPr>
          <w:lang w:val="en-GB"/>
        </w:rPr>
        <w:t>lives</w:t>
      </w:r>
      <w:r w:rsidR="00DB76AC" w:rsidRPr="00D93B85">
        <w:rPr>
          <w:lang w:val="en-GB"/>
        </w:rPr>
        <w:t>.</w:t>
      </w:r>
      <w:r w:rsidR="004E6B7D" w:rsidRPr="00573051">
        <w:rPr>
          <w:lang w:val="en-GB"/>
        </w:rPr>
        <w:t xml:space="preserve"> The committee concluded that </w:t>
      </w:r>
      <w:r w:rsidRPr="00573051">
        <w:rPr>
          <w:lang w:val="en-GB"/>
        </w:rPr>
        <w:t xml:space="preserve">10% </w:t>
      </w:r>
      <w:r w:rsidR="004E6B7D" w:rsidRPr="00573051">
        <w:rPr>
          <w:lang w:val="en-GB"/>
        </w:rPr>
        <w:t>drug wastage</w:t>
      </w:r>
      <w:r w:rsidRPr="00573051">
        <w:rPr>
          <w:lang w:val="en-GB"/>
        </w:rPr>
        <w:t xml:space="preserve"> for oral treatments</w:t>
      </w:r>
      <w:r w:rsidR="004E6B7D" w:rsidRPr="00573051">
        <w:rPr>
          <w:lang w:val="en-GB"/>
        </w:rPr>
        <w:t xml:space="preserve"> should be assumed in the economic model.</w:t>
      </w:r>
    </w:p>
    <w:p w14:paraId="669863EA" w14:textId="77777777" w:rsidR="004F7244" w:rsidRDefault="004F7244" w:rsidP="004F7244">
      <w:pPr>
        <w:pStyle w:val="Heading2"/>
      </w:pPr>
      <w:r>
        <w:t>End of life</w:t>
      </w:r>
    </w:p>
    <w:p w14:paraId="7F3DF506" w14:textId="4D891EFD" w:rsidR="004F7244" w:rsidRPr="00DF0C5C" w:rsidRDefault="004F7244" w:rsidP="004F7244">
      <w:pPr>
        <w:pStyle w:val="Heading3"/>
      </w:pPr>
      <w:r>
        <w:t xml:space="preserve">Encorafenib </w:t>
      </w:r>
      <w:r w:rsidR="003D74C8">
        <w:t>plus</w:t>
      </w:r>
      <w:r>
        <w:t xml:space="preserve"> cetuximab meets the criteria to be considered a life-extending end</w:t>
      </w:r>
      <w:r w:rsidR="008B058B">
        <w:t xml:space="preserve"> </w:t>
      </w:r>
      <w:r>
        <w:t>of</w:t>
      </w:r>
      <w:r w:rsidR="008B058B">
        <w:t xml:space="preserve"> </w:t>
      </w:r>
      <w:r>
        <w:t>life treatment</w:t>
      </w:r>
    </w:p>
    <w:p w14:paraId="06EDF266" w14:textId="0DFDEAE8" w:rsidR="004F7244" w:rsidRDefault="004F7244" w:rsidP="004F7244">
      <w:pPr>
        <w:pStyle w:val="Numberedlevel2text"/>
      </w:pPr>
      <w:r>
        <w:t xml:space="preserve">The committee considered the </w:t>
      </w:r>
      <w:r w:rsidRPr="00611D94">
        <w:t>advice</w:t>
      </w:r>
      <w:r>
        <w:t xml:space="preserve"> about life-extending treatments for people with a short life expectancy in </w:t>
      </w:r>
      <w:hyperlink r:id="rId19" w:history="1">
        <w:r w:rsidRPr="00D019BA">
          <w:rPr>
            <w:rStyle w:val="Hyperlink"/>
          </w:rPr>
          <w:t>NICE’s guide to the methods of technology appraisal</w:t>
        </w:r>
      </w:hyperlink>
      <w:r>
        <w:t>.</w:t>
      </w:r>
      <w:r>
        <w:rPr>
          <w:lang w:val="en-GB"/>
        </w:rPr>
        <w:t xml:space="preserve"> The clinical experts </w:t>
      </w:r>
      <w:r w:rsidR="003D74C8">
        <w:rPr>
          <w:lang w:val="en-GB"/>
        </w:rPr>
        <w:t xml:space="preserve">explained </w:t>
      </w:r>
      <w:r>
        <w:rPr>
          <w:lang w:val="en-GB"/>
        </w:rPr>
        <w:t xml:space="preserve">that the average life expectancy for </w:t>
      </w:r>
      <w:r w:rsidR="003D74C8">
        <w:rPr>
          <w:lang w:val="en-GB"/>
        </w:rPr>
        <w:t xml:space="preserve">people with BRAF </w:t>
      </w:r>
      <w:r>
        <w:rPr>
          <w:lang w:val="en-GB"/>
        </w:rPr>
        <w:t>V600E muta</w:t>
      </w:r>
      <w:r w:rsidR="003D74C8">
        <w:rPr>
          <w:lang w:val="en-GB"/>
        </w:rPr>
        <w:t>tion-</w:t>
      </w:r>
      <w:r>
        <w:rPr>
          <w:lang w:val="en-GB"/>
        </w:rPr>
        <w:t xml:space="preserve">positive metastatic colorectal cancer was </w:t>
      </w:r>
      <w:r w:rsidR="003D74C8">
        <w:rPr>
          <w:lang w:val="en-GB"/>
        </w:rPr>
        <w:t>shorter than</w:t>
      </w:r>
      <w:r>
        <w:rPr>
          <w:lang w:val="en-GB"/>
        </w:rPr>
        <w:t xml:space="preserve"> 2</w:t>
      </w:r>
      <w:r w:rsidR="003D74C8">
        <w:rPr>
          <w:lang w:val="en-GB"/>
        </w:rPr>
        <w:t> </w:t>
      </w:r>
      <w:r>
        <w:rPr>
          <w:lang w:val="en-GB"/>
        </w:rPr>
        <w:t xml:space="preserve">years. </w:t>
      </w:r>
      <w:r w:rsidR="003D74C8">
        <w:rPr>
          <w:lang w:val="en-GB"/>
        </w:rPr>
        <w:t>The committee</w:t>
      </w:r>
      <w:r>
        <w:rPr>
          <w:lang w:val="en-GB"/>
        </w:rPr>
        <w:t xml:space="preserve"> noted </w:t>
      </w:r>
      <w:r w:rsidR="003D74C8">
        <w:rPr>
          <w:lang w:val="en-GB"/>
        </w:rPr>
        <w:t xml:space="preserve">that </w:t>
      </w:r>
      <w:r>
        <w:rPr>
          <w:lang w:val="en-GB"/>
        </w:rPr>
        <w:t>the median overall survival for the control arm in BEACON CRC was 5.9</w:t>
      </w:r>
      <w:r w:rsidR="003D74C8">
        <w:rPr>
          <w:lang w:val="en-GB"/>
        </w:rPr>
        <w:t> </w:t>
      </w:r>
      <w:r>
        <w:rPr>
          <w:lang w:val="en-GB"/>
        </w:rPr>
        <w:t>months and the literature suggest</w:t>
      </w:r>
      <w:r w:rsidR="003D74C8">
        <w:rPr>
          <w:lang w:val="en-GB"/>
        </w:rPr>
        <w:t>ed that</w:t>
      </w:r>
      <w:r>
        <w:rPr>
          <w:lang w:val="en-GB"/>
        </w:rPr>
        <w:t xml:space="preserve"> median survival for p</w:t>
      </w:r>
      <w:r w:rsidR="00D568B7">
        <w:rPr>
          <w:lang w:val="en-GB"/>
        </w:rPr>
        <w:t>eople</w:t>
      </w:r>
      <w:r>
        <w:rPr>
          <w:lang w:val="en-GB"/>
        </w:rPr>
        <w:t xml:space="preserve"> with BRAF V600E mutation</w:t>
      </w:r>
      <w:r w:rsidR="003D74C8">
        <w:rPr>
          <w:lang w:val="en-GB"/>
        </w:rPr>
        <w:t>-</w:t>
      </w:r>
      <w:r>
        <w:rPr>
          <w:lang w:val="en-GB"/>
        </w:rPr>
        <w:t xml:space="preserve">positive colorectal cancer </w:t>
      </w:r>
      <w:r w:rsidR="003D74C8">
        <w:rPr>
          <w:lang w:val="en-GB"/>
        </w:rPr>
        <w:t>wa</w:t>
      </w:r>
      <w:r>
        <w:rPr>
          <w:lang w:val="en-GB"/>
        </w:rPr>
        <w:t>s shorter than 12</w:t>
      </w:r>
      <w:r w:rsidR="003D74C8">
        <w:rPr>
          <w:lang w:val="en-GB"/>
        </w:rPr>
        <w:t> </w:t>
      </w:r>
      <w:r>
        <w:rPr>
          <w:lang w:val="en-GB"/>
        </w:rPr>
        <w:t xml:space="preserve">months. </w:t>
      </w:r>
      <w:r w:rsidR="00573051">
        <w:rPr>
          <w:lang w:val="en-GB"/>
        </w:rPr>
        <w:t>The committee recognised that the mean values would be higher but would likely remain below 2</w:t>
      </w:r>
      <w:r w:rsidR="003D74C8">
        <w:rPr>
          <w:lang w:val="en-GB"/>
        </w:rPr>
        <w:t> </w:t>
      </w:r>
      <w:r w:rsidR="00573051">
        <w:rPr>
          <w:lang w:val="en-GB"/>
        </w:rPr>
        <w:t>years. T</w:t>
      </w:r>
      <w:r>
        <w:rPr>
          <w:lang w:val="en-GB"/>
        </w:rPr>
        <w:t xml:space="preserve">he committee </w:t>
      </w:r>
      <w:r w:rsidR="003D74C8">
        <w:rPr>
          <w:lang w:val="en-GB"/>
        </w:rPr>
        <w:t xml:space="preserve">thought </w:t>
      </w:r>
      <w:r>
        <w:rPr>
          <w:lang w:val="en-GB"/>
        </w:rPr>
        <w:t xml:space="preserve">it was plausible that encorafenib </w:t>
      </w:r>
      <w:r w:rsidR="003D74C8">
        <w:rPr>
          <w:lang w:val="en-GB"/>
        </w:rPr>
        <w:t>plus</w:t>
      </w:r>
      <w:r>
        <w:rPr>
          <w:lang w:val="en-GB"/>
        </w:rPr>
        <w:t xml:space="preserve"> cetuximab would result in a survival gain of more than 3</w:t>
      </w:r>
      <w:r w:rsidR="003D74C8">
        <w:rPr>
          <w:lang w:val="en-GB"/>
        </w:rPr>
        <w:t> </w:t>
      </w:r>
      <w:r>
        <w:rPr>
          <w:lang w:val="en-GB"/>
        </w:rPr>
        <w:t>months compared with standard care</w:t>
      </w:r>
      <w:r w:rsidR="00573051">
        <w:rPr>
          <w:lang w:val="en-GB"/>
        </w:rPr>
        <w:t xml:space="preserve"> despite limitations in the comparative evidence base</w:t>
      </w:r>
      <w:r>
        <w:rPr>
          <w:lang w:val="en-GB"/>
        </w:rPr>
        <w:t xml:space="preserve">. The median overall survival </w:t>
      </w:r>
      <w:r w:rsidR="003D74C8">
        <w:rPr>
          <w:lang w:val="en-GB"/>
        </w:rPr>
        <w:t xml:space="preserve">gain </w:t>
      </w:r>
      <w:r>
        <w:rPr>
          <w:lang w:val="en-GB"/>
        </w:rPr>
        <w:t>in BEACON CRC was 3.4</w:t>
      </w:r>
      <w:r w:rsidR="003D74C8">
        <w:rPr>
          <w:lang w:val="en-GB"/>
        </w:rPr>
        <w:t> </w:t>
      </w:r>
      <w:r>
        <w:rPr>
          <w:lang w:val="en-GB"/>
        </w:rPr>
        <w:t xml:space="preserve">months for encorafenib </w:t>
      </w:r>
      <w:r w:rsidR="003D74C8">
        <w:rPr>
          <w:lang w:val="en-GB"/>
        </w:rPr>
        <w:t>plus</w:t>
      </w:r>
      <w:r>
        <w:rPr>
          <w:lang w:val="en-GB"/>
        </w:rPr>
        <w:t xml:space="preserve"> cetuximab </w:t>
      </w:r>
      <w:r>
        <w:rPr>
          <w:lang w:val="en-GB"/>
        </w:rPr>
        <w:lastRenderedPageBreak/>
        <w:t xml:space="preserve">compared with </w:t>
      </w:r>
      <w:r w:rsidR="00546F0A">
        <w:rPr>
          <w:lang w:val="en-GB"/>
        </w:rPr>
        <w:t xml:space="preserve">the </w:t>
      </w:r>
      <w:r>
        <w:rPr>
          <w:lang w:val="en-GB"/>
        </w:rPr>
        <w:t>investigator</w:t>
      </w:r>
      <w:r w:rsidR="003D74C8">
        <w:rPr>
          <w:lang w:val="en-GB"/>
        </w:rPr>
        <w:t>’</w:t>
      </w:r>
      <w:r>
        <w:rPr>
          <w:lang w:val="en-GB"/>
        </w:rPr>
        <w:t>s choice</w:t>
      </w:r>
      <w:r w:rsidR="00546F0A">
        <w:rPr>
          <w:lang w:val="en-GB"/>
        </w:rPr>
        <w:t>. B</w:t>
      </w:r>
      <w:r>
        <w:rPr>
          <w:lang w:val="en-GB"/>
        </w:rPr>
        <w:t>oth the ERG’s and the company’s modelling estimated a survival gain of more than 3</w:t>
      </w:r>
      <w:r w:rsidR="00546F0A">
        <w:rPr>
          <w:lang w:val="en-GB"/>
        </w:rPr>
        <w:t> </w:t>
      </w:r>
      <w:r>
        <w:rPr>
          <w:lang w:val="en-GB"/>
        </w:rPr>
        <w:t xml:space="preserve">months. The committee concluded that encorafenib </w:t>
      </w:r>
      <w:r w:rsidR="00546F0A">
        <w:rPr>
          <w:lang w:val="en-GB"/>
        </w:rPr>
        <w:t>plus</w:t>
      </w:r>
      <w:r>
        <w:rPr>
          <w:lang w:val="en-GB"/>
        </w:rPr>
        <w:t xml:space="preserve"> cetuximab met the criteria to be considered a life-extending end</w:t>
      </w:r>
      <w:r w:rsidR="008B058B">
        <w:rPr>
          <w:lang w:val="en-GB"/>
        </w:rPr>
        <w:t xml:space="preserve"> </w:t>
      </w:r>
      <w:r>
        <w:rPr>
          <w:lang w:val="en-GB"/>
        </w:rPr>
        <w:t>of</w:t>
      </w:r>
      <w:r w:rsidR="008B058B">
        <w:rPr>
          <w:lang w:val="en-GB"/>
        </w:rPr>
        <w:t xml:space="preserve"> </w:t>
      </w:r>
      <w:r>
        <w:rPr>
          <w:lang w:val="en-GB"/>
        </w:rPr>
        <w:t>life treatment.</w:t>
      </w:r>
    </w:p>
    <w:p w14:paraId="5B54C1DF" w14:textId="20AE6B95" w:rsidR="00785FF1" w:rsidRDefault="00785FF1" w:rsidP="00785FF1">
      <w:pPr>
        <w:pStyle w:val="Heading2"/>
      </w:pPr>
      <w:r>
        <w:t>Innovation</w:t>
      </w:r>
    </w:p>
    <w:p w14:paraId="5D9E7E06" w14:textId="17E2D41E" w:rsidR="00785FF1" w:rsidRPr="00575CA5" w:rsidRDefault="00785FF1" w:rsidP="00785FF1">
      <w:pPr>
        <w:pStyle w:val="Heading3"/>
      </w:pPr>
      <w:r>
        <w:t>Encorafenib</w:t>
      </w:r>
      <w:r w:rsidR="00DD1173">
        <w:t xml:space="preserve"> </w:t>
      </w:r>
      <w:r w:rsidR="00546F0A">
        <w:t>plus</w:t>
      </w:r>
      <w:r w:rsidR="00DD1173">
        <w:t xml:space="preserve"> cetuximab</w:t>
      </w:r>
      <w:r>
        <w:t xml:space="preserve"> </w:t>
      </w:r>
      <w:r w:rsidR="00920D5F">
        <w:t>is an innovative</w:t>
      </w:r>
      <w:r>
        <w:t xml:space="preserve"> treatment for </w:t>
      </w:r>
      <w:r w:rsidR="00546F0A">
        <w:t xml:space="preserve">BRAF V600E mutation-positive </w:t>
      </w:r>
      <w:r>
        <w:t>metastatic colorectal cancer</w:t>
      </w:r>
    </w:p>
    <w:p w14:paraId="2455893E" w14:textId="2626201C" w:rsidR="00785FF1" w:rsidRDefault="00785FF1" w:rsidP="00785FF1">
      <w:pPr>
        <w:pStyle w:val="Numberedlevel2text"/>
      </w:pPr>
      <w:r>
        <w:rPr>
          <w:lang w:val="en-GB"/>
        </w:rPr>
        <w:t xml:space="preserve">The </w:t>
      </w:r>
      <w:r w:rsidR="00573051">
        <w:rPr>
          <w:lang w:val="en-GB"/>
        </w:rPr>
        <w:t xml:space="preserve">patient and </w:t>
      </w:r>
      <w:r>
        <w:rPr>
          <w:lang w:val="en-GB"/>
        </w:rPr>
        <w:t xml:space="preserve">clinical experts explained that encorafenib </w:t>
      </w:r>
      <w:r w:rsidR="006009B9">
        <w:rPr>
          <w:lang w:val="en-GB"/>
        </w:rPr>
        <w:t>plus</w:t>
      </w:r>
      <w:r>
        <w:rPr>
          <w:lang w:val="en-GB"/>
        </w:rPr>
        <w:t xml:space="preserve"> cetuximab represents a step change in treatment for people with BRAF V600E mutation</w:t>
      </w:r>
      <w:r w:rsidR="006009B9">
        <w:rPr>
          <w:lang w:val="en-GB"/>
        </w:rPr>
        <w:t>-</w:t>
      </w:r>
      <w:r>
        <w:rPr>
          <w:lang w:val="en-GB"/>
        </w:rPr>
        <w:t>positive colorectal cancer and there is high unmet need for an effective treatment. The committee w</w:t>
      </w:r>
      <w:r w:rsidR="006009B9">
        <w:rPr>
          <w:lang w:val="en-GB"/>
        </w:rPr>
        <w:t>as</w:t>
      </w:r>
      <w:r>
        <w:rPr>
          <w:lang w:val="en-GB"/>
        </w:rPr>
        <w:t xml:space="preserve"> aware that there are no other BRAF V600E targeted treatments available for this population</w:t>
      </w:r>
      <w:r w:rsidR="006009B9">
        <w:rPr>
          <w:lang w:val="en-GB"/>
        </w:rPr>
        <w:t>. T</w:t>
      </w:r>
      <w:r>
        <w:rPr>
          <w:lang w:val="en-GB"/>
        </w:rPr>
        <w:t xml:space="preserve">he clinical experts </w:t>
      </w:r>
      <w:r w:rsidR="006009B9">
        <w:rPr>
          <w:lang w:val="en-GB"/>
        </w:rPr>
        <w:t xml:space="preserve">explained </w:t>
      </w:r>
      <w:r>
        <w:rPr>
          <w:lang w:val="en-GB"/>
        </w:rPr>
        <w:t>that targeted treatment can change the genetic make-up of the tumour</w:t>
      </w:r>
      <w:r w:rsidR="006009B9">
        <w:rPr>
          <w:lang w:val="en-GB"/>
        </w:rPr>
        <w:t>,</w:t>
      </w:r>
      <w:r>
        <w:rPr>
          <w:lang w:val="en-GB"/>
        </w:rPr>
        <w:t xml:space="preserve"> potentially </w:t>
      </w:r>
      <w:r w:rsidR="006009B9">
        <w:rPr>
          <w:lang w:val="en-GB"/>
        </w:rPr>
        <w:t xml:space="preserve">offering </w:t>
      </w:r>
      <w:r>
        <w:rPr>
          <w:lang w:val="en-GB"/>
        </w:rPr>
        <w:t xml:space="preserve">time and targets for other treatment options in the future. The committee noted that because the treatment is not a chemotherapy, it is transformative for people’s quality of life. The committee concluded that encorafenib </w:t>
      </w:r>
      <w:r w:rsidR="00AC2B17">
        <w:rPr>
          <w:lang w:val="en-GB"/>
        </w:rPr>
        <w:t>plus</w:t>
      </w:r>
      <w:r>
        <w:rPr>
          <w:lang w:val="en-GB"/>
        </w:rPr>
        <w:t xml:space="preserve"> cetuximab is an innovative treatment for V600E mutation</w:t>
      </w:r>
      <w:r w:rsidR="006009B9">
        <w:rPr>
          <w:lang w:val="en-GB"/>
        </w:rPr>
        <w:t>-</w:t>
      </w:r>
      <w:r>
        <w:rPr>
          <w:lang w:val="en-GB"/>
        </w:rPr>
        <w:t>positive colorectal cancer.</w:t>
      </w:r>
    </w:p>
    <w:p w14:paraId="63BDFC21" w14:textId="73F03240" w:rsidR="004B7D57" w:rsidRDefault="009D2E72" w:rsidP="00AD74BD">
      <w:pPr>
        <w:pStyle w:val="Heading2"/>
      </w:pPr>
      <w:r>
        <w:t>Cost-effectiveness estimate</w:t>
      </w:r>
    </w:p>
    <w:p w14:paraId="498279FC" w14:textId="4676EB6F" w:rsidR="00F0417C" w:rsidRDefault="00F0417C" w:rsidP="00F0417C">
      <w:pPr>
        <w:pStyle w:val="Heading3"/>
      </w:pPr>
      <w:r>
        <w:t xml:space="preserve">It is appropriate to make pairwise </w:t>
      </w:r>
      <w:r w:rsidR="007B3B80">
        <w:t xml:space="preserve">comparisons </w:t>
      </w:r>
      <w:r>
        <w:t>rather than incremental analyses</w:t>
      </w:r>
    </w:p>
    <w:p w14:paraId="2D8E9AC8" w14:textId="60C4B9A8" w:rsidR="00F0417C" w:rsidRPr="004F7244" w:rsidRDefault="00F0417C" w:rsidP="004F7244">
      <w:pPr>
        <w:pStyle w:val="Numberedlevel2text"/>
        <w:rPr>
          <w:lang w:val="en-GB"/>
        </w:rPr>
      </w:pPr>
      <w:r>
        <w:t xml:space="preserve">Because of confidential commercial arrangements for encorafenib and cetuximab, none of the cost-effectiveness results are reported here. </w:t>
      </w:r>
      <w:r>
        <w:rPr>
          <w:lang w:val="en-GB"/>
        </w:rPr>
        <w:t>The c</w:t>
      </w:r>
      <w:r w:rsidRPr="00F0417C">
        <w:rPr>
          <w:lang w:val="en-GB"/>
        </w:rPr>
        <w:t xml:space="preserve">ommittee </w:t>
      </w:r>
      <w:r>
        <w:rPr>
          <w:lang w:val="en-GB"/>
        </w:rPr>
        <w:t xml:space="preserve">recalled </w:t>
      </w:r>
      <w:r w:rsidRPr="00F0417C">
        <w:rPr>
          <w:lang w:val="en-GB"/>
        </w:rPr>
        <w:t xml:space="preserve">that </w:t>
      </w:r>
      <w:r w:rsidR="006009B9">
        <w:rPr>
          <w:lang w:val="en-GB"/>
        </w:rPr>
        <w:t xml:space="preserve">the </w:t>
      </w:r>
      <w:r w:rsidR="004F7244">
        <w:rPr>
          <w:lang w:val="en-GB"/>
        </w:rPr>
        <w:t>second</w:t>
      </w:r>
      <w:r w:rsidR="006009B9">
        <w:rPr>
          <w:lang w:val="en-GB"/>
        </w:rPr>
        <w:t>-</w:t>
      </w:r>
      <w:r w:rsidRPr="00F0417C">
        <w:rPr>
          <w:lang w:val="en-GB"/>
        </w:rPr>
        <w:t xml:space="preserve">line comparators depended on </w:t>
      </w:r>
      <w:r w:rsidR="006009B9">
        <w:rPr>
          <w:lang w:val="en-GB"/>
        </w:rPr>
        <w:t xml:space="preserve">the person’s </w:t>
      </w:r>
      <w:r w:rsidRPr="00F0417C">
        <w:rPr>
          <w:lang w:val="en-GB"/>
        </w:rPr>
        <w:t xml:space="preserve">previous treatment, </w:t>
      </w:r>
      <w:r w:rsidR="00967832">
        <w:rPr>
          <w:lang w:val="en-GB"/>
        </w:rPr>
        <w:t xml:space="preserve">so </w:t>
      </w:r>
      <w:r w:rsidR="000C2077">
        <w:rPr>
          <w:lang w:val="en-GB"/>
        </w:rPr>
        <w:t xml:space="preserve">they </w:t>
      </w:r>
      <w:r w:rsidR="00967832">
        <w:rPr>
          <w:lang w:val="en-GB"/>
        </w:rPr>
        <w:t>reflected disti</w:t>
      </w:r>
      <w:r w:rsidR="00BC5805">
        <w:rPr>
          <w:lang w:val="en-GB"/>
        </w:rPr>
        <w:t>n</w:t>
      </w:r>
      <w:r w:rsidR="00967832">
        <w:rPr>
          <w:lang w:val="en-GB"/>
        </w:rPr>
        <w:t xml:space="preserve">ct populations which </w:t>
      </w:r>
      <w:r w:rsidRPr="00F0417C">
        <w:rPr>
          <w:lang w:val="en-GB"/>
        </w:rPr>
        <w:t>ma</w:t>
      </w:r>
      <w:r w:rsidR="00967832">
        <w:rPr>
          <w:lang w:val="en-GB"/>
        </w:rPr>
        <w:t>de</w:t>
      </w:r>
      <w:r w:rsidRPr="00F0417C">
        <w:rPr>
          <w:lang w:val="en-GB"/>
        </w:rPr>
        <w:t xml:space="preserve"> pairwise comparisons appropriate.</w:t>
      </w:r>
    </w:p>
    <w:p w14:paraId="0A7E574E" w14:textId="6CC945D5" w:rsidR="004B7D57" w:rsidRDefault="006842BD" w:rsidP="004B7D57">
      <w:pPr>
        <w:pStyle w:val="Heading3"/>
      </w:pPr>
      <w:r>
        <w:lastRenderedPageBreak/>
        <w:t>Encorafenib plus cetuximab</w:t>
      </w:r>
      <w:r w:rsidRPr="00F0417C">
        <w:t xml:space="preserve"> </w:t>
      </w:r>
      <w:r>
        <w:t>i</w:t>
      </w:r>
      <w:r w:rsidRPr="00F0417C">
        <w:t xml:space="preserve">s effective and innovative but </w:t>
      </w:r>
      <w:r>
        <w:t>the cost-effectiveness</w:t>
      </w:r>
      <w:r w:rsidRPr="00F0417C">
        <w:t xml:space="preserve"> estimates </w:t>
      </w:r>
      <w:r>
        <w:t xml:space="preserve">do not </w:t>
      </w:r>
      <w:r w:rsidRPr="00F0417C">
        <w:t xml:space="preserve">reflect </w:t>
      </w:r>
      <w:r w:rsidR="005D07D1">
        <w:t>the</w:t>
      </w:r>
      <w:r w:rsidRPr="00F0417C">
        <w:t xml:space="preserve"> </w:t>
      </w:r>
      <w:r>
        <w:t xml:space="preserve">preferred </w:t>
      </w:r>
      <w:r w:rsidRPr="00F0417C">
        <w:t>modelling</w:t>
      </w:r>
    </w:p>
    <w:p w14:paraId="1CEA6B32" w14:textId="16F12DD7" w:rsidR="004B7D57" w:rsidRDefault="004B7D57" w:rsidP="004F7244">
      <w:pPr>
        <w:pStyle w:val="Numberedlevel2text"/>
      </w:pPr>
      <w:r>
        <w:t>The committee noted the high level of uncertainty</w:t>
      </w:r>
      <w:r w:rsidR="00F0417C">
        <w:rPr>
          <w:lang w:val="en-GB"/>
        </w:rPr>
        <w:t xml:space="preserve"> with the clinical and modelling assumptions made by the company and the ERG</w:t>
      </w:r>
      <w:r>
        <w:t>, specifically:</w:t>
      </w:r>
    </w:p>
    <w:p w14:paraId="681F2B76" w14:textId="09F1D90C" w:rsidR="004B7D57" w:rsidRDefault="00AD74BD" w:rsidP="001D4FE0">
      <w:pPr>
        <w:pStyle w:val="Bulletindent1"/>
      </w:pPr>
      <w:r>
        <w:t xml:space="preserve">The control arm of </w:t>
      </w:r>
      <w:r w:rsidRPr="00AD74BD">
        <w:t>BEACON CRC d</w:t>
      </w:r>
      <w:r w:rsidR="006009B9">
        <w:t>id</w:t>
      </w:r>
      <w:r>
        <w:t xml:space="preserve"> </w:t>
      </w:r>
      <w:r w:rsidRPr="00AD74BD">
        <w:t xml:space="preserve">not reflect </w:t>
      </w:r>
      <w:r w:rsidR="001D03CB">
        <w:t xml:space="preserve">NHS </w:t>
      </w:r>
      <w:r w:rsidRPr="00AD74BD">
        <w:t>clinical practice</w:t>
      </w:r>
      <w:r w:rsidR="000114E3">
        <w:t xml:space="preserve"> </w:t>
      </w:r>
      <w:r>
        <w:t>(see section</w:t>
      </w:r>
      <w:r w:rsidR="006009B9">
        <w:t> </w:t>
      </w:r>
      <w:r>
        <w:t>3.8)</w:t>
      </w:r>
      <w:r w:rsidR="006009B9">
        <w:t>.</w:t>
      </w:r>
    </w:p>
    <w:p w14:paraId="75761C10" w14:textId="3F815077" w:rsidR="002D2FC4" w:rsidRDefault="002D2FC4" w:rsidP="009F3209">
      <w:pPr>
        <w:pStyle w:val="Bulletindent1"/>
      </w:pPr>
      <w:r>
        <w:t xml:space="preserve">There </w:t>
      </w:r>
      <w:r w:rsidR="006009B9">
        <w:t>were</w:t>
      </w:r>
      <w:r>
        <w:t xml:space="preserve"> no head-to-head trials comparing encorafenib </w:t>
      </w:r>
      <w:r w:rsidR="006009B9">
        <w:t>plus</w:t>
      </w:r>
      <w:r>
        <w:t xml:space="preserve"> cetuximab </w:t>
      </w:r>
      <w:r w:rsidR="006009B9">
        <w:t>with</w:t>
      </w:r>
      <w:r>
        <w:t xml:space="preserve"> FOLFIRI or </w:t>
      </w:r>
      <w:r w:rsidR="006009B9">
        <w:t xml:space="preserve">with </w:t>
      </w:r>
      <w:r w:rsidRPr="009F3209">
        <w:t>trifluridine</w:t>
      </w:r>
      <w:r w:rsidR="006009B9">
        <w:t>–</w:t>
      </w:r>
      <w:r>
        <w:t>tipiracil</w:t>
      </w:r>
      <w:r w:rsidR="000C2077">
        <w:t xml:space="preserve"> </w:t>
      </w:r>
      <w:r w:rsidR="00F65F61">
        <w:t>(see section</w:t>
      </w:r>
      <w:r w:rsidR="000C2077">
        <w:t> </w:t>
      </w:r>
      <w:r w:rsidR="00F65F61">
        <w:t>3.12)</w:t>
      </w:r>
      <w:r w:rsidR="000C2077">
        <w:t>.</w:t>
      </w:r>
    </w:p>
    <w:p w14:paraId="51355218" w14:textId="346564D6" w:rsidR="002D2FC4" w:rsidRDefault="002D2FC4" w:rsidP="002D2FC4">
      <w:pPr>
        <w:pStyle w:val="Bulletindent1"/>
      </w:pPr>
      <w:r>
        <w:t>The company’s indirect treatment comparison ma</w:t>
      </w:r>
      <w:r w:rsidR="006009B9">
        <w:t>de</w:t>
      </w:r>
      <w:r>
        <w:t xml:space="preserve"> several </w:t>
      </w:r>
      <w:r w:rsidR="006009B9">
        <w:t xml:space="preserve">uncertain </w:t>
      </w:r>
      <w:r>
        <w:t>clinical assumptions</w:t>
      </w:r>
      <w:r w:rsidR="006009B9">
        <w:t>,</w:t>
      </w:r>
      <w:r>
        <w:t xml:space="preserve"> including that FOLFIRI and irinotecan are clinically equivalent (</w:t>
      </w:r>
      <w:r w:rsidR="006009B9">
        <w:t>see section</w:t>
      </w:r>
      <w:r w:rsidR="000C2077">
        <w:t>s</w:t>
      </w:r>
      <w:r w:rsidR="006009B9">
        <w:t> </w:t>
      </w:r>
      <w:r>
        <w:t>3.1</w:t>
      </w:r>
      <w:r w:rsidR="00A74F1F">
        <w:t>2 and 3.13</w:t>
      </w:r>
      <w:r>
        <w:t>)</w:t>
      </w:r>
      <w:r w:rsidR="006009B9">
        <w:t>.</w:t>
      </w:r>
    </w:p>
    <w:p w14:paraId="0DF5C0A9" w14:textId="18EAC109" w:rsidR="00BF1B1B" w:rsidRDefault="002D2FC4" w:rsidP="001D4FE0">
      <w:pPr>
        <w:pStyle w:val="Bulletindent1"/>
      </w:pPr>
      <w:r>
        <w:t xml:space="preserve">The </w:t>
      </w:r>
      <w:r w:rsidR="00FF5E14">
        <w:t>results of</w:t>
      </w:r>
      <w:r>
        <w:t xml:space="preserve"> the company’s naive comparison </w:t>
      </w:r>
      <w:r w:rsidR="006009B9">
        <w:t>were</w:t>
      </w:r>
      <w:r w:rsidR="00FF5E14">
        <w:t xml:space="preserve"> uncertain (</w:t>
      </w:r>
      <w:r w:rsidR="006009B9">
        <w:t>see section </w:t>
      </w:r>
      <w:r w:rsidR="00FF5E14">
        <w:t>3.1</w:t>
      </w:r>
      <w:r w:rsidR="00A74F1F">
        <w:t>6</w:t>
      </w:r>
      <w:r w:rsidR="00FF5E14">
        <w:t>)</w:t>
      </w:r>
      <w:r w:rsidR="00A3111A">
        <w:t>.</w:t>
      </w:r>
    </w:p>
    <w:p w14:paraId="4BFB6147" w14:textId="1D874BAC" w:rsidR="00573051" w:rsidRDefault="00BF1B1B" w:rsidP="003F400E">
      <w:pPr>
        <w:pStyle w:val="Bulletindent1last"/>
      </w:pPr>
      <w:r>
        <w:t>The analysis do</w:t>
      </w:r>
      <w:r w:rsidR="006009B9">
        <w:t>es</w:t>
      </w:r>
      <w:r>
        <w:t xml:space="preserve"> not take into account </w:t>
      </w:r>
      <w:r w:rsidR="006009B9">
        <w:t>subsequent</w:t>
      </w:r>
      <w:r>
        <w:t xml:space="preserve"> treatments used in the trial but not available in the NHS (see section</w:t>
      </w:r>
      <w:r w:rsidR="006009B9">
        <w:t> </w:t>
      </w:r>
      <w:r>
        <w:t>3.10)</w:t>
      </w:r>
      <w:r w:rsidR="006009B9">
        <w:t>.</w:t>
      </w:r>
    </w:p>
    <w:p w14:paraId="5A55C67F" w14:textId="64A69862" w:rsidR="00B82A82" w:rsidRDefault="00735556" w:rsidP="00FF5E14">
      <w:pPr>
        <w:pStyle w:val="Bulletindent1"/>
        <w:numPr>
          <w:ilvl w:val="0"/>
          <w:numId w:val="0"/>
        </w:numPr>
        <w:ind w:left="1134"/>
      </w:pPr>
      <w:r>
        <w:t>The c</w:t>
      </w:r>
      <w:r w:rsidR="00F0417C" w:rsidRPr="00F0417C">
        <w:t>ommittee a</w:t>
      </w:r>
      <w:r>
        <w:t>cknowledged that</w:t>
      </w:r>
      <w:r w:rsidR="00F0417C" w:rsidRPr="00F0417C">
        <w:t xml:space="preserve"> the company</w:t>
      </w:r>
      <w:r>
        <w:t xml:space="preserve"> did</w:t>
      </w:r>
      <w:r w:rsidR="00F0417C" w:rsidRPr="00F0417C">
        <w:t xml:space="preserve"> not know the price of </w:t>
      </w:r>
      <w:r>
        <w:t>encorafenib plus cetuximab</w:t>
      </w:r>
      <w:r w:rsidR="00573051">
        <w:t xml:space="preserve"> </w:t>
      </w:r>
      <w:r>
        <w:t>because</w:t>
      </w:r>
      <w:r w:rsidR="00573051">
        <w:t xml:space="preserve"> cetuximab is supplied by another company and has a confidential discount. The committee</w:t>
      </w:r>
      <w:r w:rsidR="00F0417C" w:rsidRPr="00F0417C">
        <w:t xml:space="preserve"> recognised that </w:t>
      </w:r>
      <w:r w:rsidR="006842BD">
        <w:t>encorafenib plus cetuximab</w:t>
      </w:r>
      <w:r w:rsidR="00F0417C" w:rsidRPr="00F0417C">
        <w:t xml:space="preserve"> was effective and innovative but </w:t>
      </w:r>
      <w:r>
        <w:t>had</w:t>
      </w:r>
      <w:r w:rsidR="00F0417C" w:rsidRPr="00F0417C">
        <w:t xml:space="preserve"> not see</w:t>
      </w:r>
      <w:r>
        <w:t>n cost-effectiveness</w:t>
      </w:r>
      <w:r w:rsidR="00F0417C" w:rsidRPr="00F0417C">
        <w:t xml:space="preserve"> estimates reflecting its </w:t>
      </w:r>
      <w:r w:rsidR="00AE18DE">
        <w:t xml:space="preserve">preferred </w:t>
      </w:r>
      <w:r w:rsidR="00F0417C" w:rsidRPr="00F0417C">
        <w:t>modelling.</w:t>
      </w:r>
    </w:p>
    <w:p w14:paraId="50DD1482" w14:textId="7CC6AC24" w:rsidR="00F0417C" w:rsidRDefault="00542880" w:rsidP="00F0417C">
      <w:pPr>
        <w:pStyle w:val="Heading3"/>
      </w:pPr>
      <w:r>
        <w:t>T</w:t>
      </w:r>
      <w:r w:rsidR="00F0417C">
        <w:t>he committee</w:t>
      </w:r>
      <w:r>
        <w:t xml:space="preserve"> would prefer to see analyses with it</w:t>
      </w:r>
      <w:r w:rsidR="00F0417C">
        <w:t>s preferred assumptions</w:t>
      </w:r>
    </w:p>
    <w:p w14:paraId="467FD33D" w14:textId="24482B7C" w:rsidR="008431AE" w:rsidRDefault="00500BF7" w:rsidP="008431AE">
      <w:pPr>
        <w:pStyle w:val="Numberedlevel2text"/>
        <w:rPr>
          <w:lang w:val="en-GB"/>
        </w:rPr>
      </w:pPr>
      <w:r>
        <w:rPr>
          <w:lang w:val="en-GB"/>
        </w:rPr>
        <w:t>Because</w:t>
      </w:r>
      <w:r w:rsidR="00F0417C">
        <w:rPr>
          <w:lang w:val="en-GB"/>
        </w:rPr>
        <w:t xml:space="preserve"> none of the company’s or the ERG’s analyses reflected the committee’s preferences</w:t>
      </w:r>
      <w:r>
        <w:rPr>
          <w:lang w:val="en-GB"/>
        </w:rPr>
        <w:t>, it</w:t>
      </w:r>
      <w:r w:rsidR="00E10599" w:rsidRPr="008431AE">
        <w:rPr>
          <w:lang w:val="en-US"/>
        </w:rPr>
        <w:t xml:space="preserve"> would have preferred to </w:t>
      </w:r>
      <w:r w:rsidR="00E10599" w:rsidRPr="008431AE">
        <w:rPr>
          <w:lang w:val="en-GB"/>
        </w:rPr>
        <w:t xml:space="preserve">see </w:t>
      </w:r>
      <w:r w:rsidR="008431AE" w:rsidRPr="008431AE">
        <w:rPr>
          <w:lang w:val="en-GB"/>
        </w:rPr>
        <w:t>the following</w:t>
      </w:r>
      <w:r w:rsidR="00A351A6">
        <w:rPr>
          <w:lang w:val="en-GB"/>
        </w:rPr>
        <w:t xml:space="preserve"> information.</w:t>
      </w:r>
    </w:p>
    <w:p w14:paraId="227D5B62" w14:textId="5DECEB22" w:rsidR="00000D6F" w:rsidRPr="006F3D60" w:rsidRDefault="008431AE" w:rsidP="00503B99">
      <w:pPr>
        <w:pStyle w:val="NICEnormal"/>
      </w:pPr>
      <w:r w:rsidRPr="00503B99">
        <w:rPr>
          <w:b/>
          <w:bCs/>
        </w:rPr>
        <w:t>T</w:t>
      </w:r>
      <w:r w:rsidR="00000D6F" w:rsidRPr="00503B99">
        <w:rPr>
          <w:b/>
          <w:bCs/>
        </w:rPr>
        <w:t>he indirect treatment comparison</w:t>
      </w:r>
      <w:r w:rsidRPr="00503B99">
        <w:rPr>
          <w:b/>
          <w:bCs/>
        </w:rPr>
        <w:t>:</w:t>
      </w:r>
    </w:p>
    <w:p w14:paraId="3E278FF9" w14:textId="7F5AB3F7" w:rsidR="00000D6F" w:rsidRPr="00000D6F" w:rsidRDefault="008431AE" w:rsidP="00D632A5">
      <w:pPr>
        <w:pStyle w:val="Bulletindent1"/>
      </w:pPr>
      <w:r>
        <w:t>Analyses from</w:t>
      </w:r>
      <w:r w:rsidR="00000D6F" w:rsidRPr="00000D6F">
        <w:t xml:space="preserve"> the control arm of BEACON CRC split by treatment</w:t>
      </w:r>
      <w:r w:rsidR="00D4444F">
        <w:t xml:space="preserve"> </w:t>
      </w:r>
      <w:r w:rsidR="00DC3DC6">
        <w:t>(</w:t>
      </w:r>
      <w:r w:rsidR="00000D6F" w:rsidRPr="00000D6F">
        <w:t xml:space="preserve">FOLFIRI plus cetuximab or </w:t>
      </w:r>
      <w:r w:rsidR="003C449E" w:rsidRPr="00000D6F">
        <w:t>irinotecan</w:t>
      </w:r>
      <w:r w:rsidR="00000D6F" w:rsidRPr="00000D6F">
        <w:t xml:space="preserve"> plus cetuximab</w:t>
      </w:r>
      <w:r w:rsidR="00DC3DC6">
        <w:t>;</w:t>
      </w:r>
      <w:r w:rsidR="00D4444F">
        <w:t xml:space="preserve"> </w:t>
      </w:r>
      <w:r w:rsidR="00D4444F" w:rsidRPr="00D4444F">
        <w:t>see section</w:t>
      </w:r>
      <w:r w:rsidR="000C2077">
        <w:t> </w:t>
      </w:r>
      <w:r w:rsidR="00D4444F" w:rsidRPr="00D4444F">
        <w:t>3.1</w:t>
      </w:r>
      <w:r w:rsidR="00A74F1F">
        <w:t>3</w:t>
      </w:r>
      <w:r w:rsidR="00D4444F" w:rsidRPr="00D4444F">
        <w:t>)</w:t>
      </w:r>
      <w:r w:rsidR="00DC3DC6">
        <w:t xml:space="preserve"> </w:t>
      </w:r>
      <w:r w:rsidR="002E3FA1">
        <w:t>including</w:t>
      </w:r>
      <w:r w:rsidR="008F33DF">
        <w:t>:</w:t>
      </w:r>
    </w:p>
    <w:p w14:paraId="2F7E6AED" w14:textId="6718A557" w:rsidR="003C449E" w:rsidRPr="00000D6F" w:rsidRDefault="003C449E" w:rsidP="00503B99">
      <w:pPr>
        <w:pStyle w:val="Bulletindent2"/>
      </w:pPr>
      <w:r w:rsidRPr="00000D6F">
        <w:lastRenderedPageBreak/>
        <w:t>adjust</w:t>
      </w:r>
      <w:r w:rsidR="002E3FA1">
        <w:t>ment</w:t>
      </w:r>
      <w:r w:rsidRPr="00000D6F">
        <w:t xml:space="preserve"> for potential confounders</w:t>
      </w:r>
      <w:r>
        <w:t xml:space="preserve"> </w:t>
      </w:r>
    </w:p>
    <w:p w14:paraId="22B0ECF4" w14:textId="03174DA8" w:rsidR="00000D6F" w:rsidRPr="00000D6F" w:rsidRDefault="003C449E" w:rsidP="00503B99">
      <w:pPr>
        <w:pStyle w:val="Bulletindent2"/>
      </w:pPr>
      <w:r>
        <w:t>a</w:t>
      </w:r>
      <w:r w:rsidR="00000D6F" w:rsidRPr="00000D6F">
        <w:t xml:space="preserve"> log-rank test to assess the overall and progression-free survival</w:t>
      </w:r>
      <w:r w:rsidR="000C2077">
        <w:t>.</w:t>
      </w:r>
    </w:p>
    <w:p w14:paraId="787F16E4" w14:textId="709C9CFC" w:rsidR="00000D6F" w:rsidRPr="006F3D60" w:rsidRDefault="00000D6F" w:rsidP="00503B99">
      <w:pPr>
        <w:pStyle w:val="NICEnormal"/>
      </w:pPr>
      <w:r w:rsidRPr="00503B99">
        <w:rPr>
          <w:b/>
          <w:bCs/>
        </w:rPr>
        <w:t>Modelling of encorafenib plus cetuximab and of FOLFIRI</w:t>
      </w:r>
      <w:r w:rsidR="008431AE" w:rsidRPr="00503B99">
        <w:rPr>
          <w:b/>
          <w:bCs/>
        </w:rPr>
        <w:t>:</w:t>
      </w:r>
    </w:p>
    <w:p w14:paraId="19CAD02C" w14:textId="3630321D" w:rsidR="003C449E" w:rsidRDefault="000C2077" w:rsidP="003C449E">
      <w:pPr>
        <w:pStyle w:val="Bulletindent1"/>
      </w:pPr>
      <w:r>
        <w:t>C</w:t>
      </w:r>
      <w:r w:rsidR="003C449E">
        <w:t>ost</w:t>
      </w:r>
      <w:r>
        <w:t>-</w:t>
      </w:r>
      <w:r w:rsidR="003C449E">
        <w:t xml:space="preserve">effectiveness results </w:t>
      </w:r>
      <w:r w:rsidR="00000D6F" w:rsidRPr="00000D6F">
        <w:t>using the clinical efficacy data from BEACON CRC</w:t>
      </w:r>
      <w:r w:rsidR="003C449E">
        <w:t xml:space="preserve"> </w:t>
      </w:r>
      <w:r w:rsidR="003C449E" w:rsidRPr="00D4444F">
        <w:t>(see section</w:t>
      </w:r>
      <w:r>
        <w:t> </w:t>
      </w:r>
      <w:r w:rsidR="003C449E" w:rsidRPr="00D4444F">
        <w:t>3.20)</w:t>
      </w:r>
      <w:r>
        <w:t>.</w:t>
      </w:r>
    </w:p>
    <w:p w14:paraId="3E9E2941" w14:textId="375E6081" w:rsidR="00000D6F" w:rsidRPr="00000D6F" w:rsidRDefault="000C2077" w:rsidP="003C449E">
      <w:pPr>
        <w:pStyle w:val="Bulletindent1"/>
      </w:pPr>
      <w:r>
        <w:t>C</w:t>
      </w:r>
      <w:r w:rsidR="003C449E">
        <w:t>ost</w:t>
      </w:r>
      <w:r>
        <w:t>-</w:t>
      </w:r>
      <w:r w:rsidR="003C449E">
        <w:t xml:space="preserve">effectiveness results using </w:t>
      </w:r>
      <w:r w:rsidR="00000D6F" w:rsidRPr="00000D6F">
        <w:t xml:space="preserve">the hazard ratio from the indirect treatment comparison applied to survival outcomes to adjust for the presence of cetuximab </w:t>
      </w:r>
      <w:r w:rsidR="00D4444F" w:rsidRPr="00D4444F">
        <w:t>(see section</w:t>
      </w:r>
      <w:r>
        <w:t> </w:t>
      </w:r>
      <w:r w:rsidR="00D4444F" w:rsidRPr="00D4444F">
        <w:t>3.2</w:t>
      </w:r>
      <w:r w:rsidR="000A0509">
        <w:t>1</w:t>
      </w:r>
      <w:r w:rsidR="00D4444F" w:rsidRPr="00D4444F">
        <w:t>)</w:t>
      </w:r>
      <w:r>
        <w:t>.</w:t>
      </w:r>
    </w:p>
    <w:p w14:paraId="54A18957" w14:textId="6E5AEFB3" w:rsidR="00000D6F" w:rsidRPr="00000D6F" w:rsidRDefault="000C2077" w:rsidP="003C449E">
      <w:pPr>
        <w:pStyle w:val="Bulletindent1"/>
      </w:pPr>
      <w:r>
        <w:t>C</w:t>
      </w:r>
      <w:r w:rsidR="003C449E">
        <w:t>ost</w:t>
      </w:r>
      <w:r>
        <w:t>-</w:t>
      </w:r>
      <w:r w:rsidR="003C449E">
        <w:t>effectiveness results u</w:t>
      </w:r>
      <w:r w:rsidR="00000D6F" w:rsidRPr="00000D6F">
        <w:t xml:space="preserve">sing the May 2020 data cut from BEACON CRC </w:t>
      </w:r>
      <w:r w:rsidR="00D4444F" w:rsidRPr="00D4444F">
        <w:t>(see section</w:t>
      </w:r>
      <w:r>
        <w:t> </w:t>
      </w:r>
      <w:r w:rsidR="00D4444F" w:rsidRPr="00D4444F">
        <w:t>3.</w:t>
      </w:r>
      <w:r w:rsidR="00A74F1F">
        <w:t>18</w:t>
      </w:r>
      <w:r w:rsidR="00D4444F" w:rsidRPr="00D4444F">
        <w:t>)</w:t>
      </w:r>
      <w:r>
        <w:t>.</w:t>
      </w:r>
    </w:p>
    <w:p w14:paraId="541EA991" w14:textId="78D7ECB3" w:rsidR="00000D6F" w:rsidRPr="00000D6F" w:rsidRDefault="000C2077" w:rsidP="003C449E">
      <w:pPr>
        <w:pStyle w:val="Bulletindent1"/>
      </w:pPr>
      <w:r>
        <w:t>A</w:t>
      </w:r>
      <w:r w:rsidR="00000D6F" w:rsidRPr="00000D6F">
        <w:t xml:space="preserve"> full range of piecewise extrapolations for estimating overall survival of encorafenib plus cetuximab and of FOLFIRI </w:t>
      </w:r>
      <w:r w:rsidR="00D4444F" w:rsidRPr="00D4444F">
        <w:t>(see sections</w:t>
      </w:r>
      <w:r>
        <w:t> </w:t>
      </w:r>
      <w:r w:rsidR="00D4444F" w:rsidRPr="00D4444F">
        <w:t>3.1</w:t>
      </w:r>
      <w:r w:rsidR="00A74F1F">
        <w:t>9</w:t>
      </w:r>
      <w:r w:rsidR="00D4444F" w:rsidRPr="00D4444F">
        <w:t>, 3.</w:t>
      </w:r>
      <w:r w:rsidR="00A74F1F">
        <w:t>20</w:t>
      </w:r>
      <w:r w:rsidR="00D4444F" w:rsidRPr="00D4444F">
        <w:t xml:space="preserve"> and 3.</w:t>
      </w:r>
      <w:r w:rsidR="00A74F1F">
        <w:t>21</w:t>
      </w:r>
      <w:r w:rsidR="00D4444F" w:rsidRPr="00D4444F">
        <w:t>)</w:t>
      </w:r>
      <w:r>
        <w:t>.</w:t>
      </w:r>
    </w:p>
    <w:p w14:paraId="375C0D26" w14:textId="4039410A" w:rsidR="00000D6F" w:rsidRPr="00000D6F" w:rsidRDefault="000C2077" w:rsidP="003C449E">
      <w:pPr>
        <w:pStyle w:val="Bulletindent1"/>
      </w:pPr>
      <w:r>
        <w:t>A</w:t>
      </w:r>
      <w:r w:rsidR="003C449E">
        <w:t>nalyses a</w:t>
      </w:r>
      <w:r w:rsidR="00000D6F" w:rsidRPr="00000D6F">
        <w:t xml:space="preserve">djusting overall survival and costs for subsequent trial treatments not used in NHS clinical practice, with methods and assumptions fully reported </w:t>
      </w:r>
      <w:r w:rsidR="00D4444F" w:rsidRPr="00D4444F">
        <w:t>(see sections</w:t>
      </w:r>
      <w:r>
        <w:t> </w:t>
      </w:r>
      <w:r w:rsidR="00D4444F" w:rsidRPr="00D4444F">
        <w:t>3.10 and 3.2</w:t>
      </w:r>
      <w:r w:rsidR="00A74F1F">
        <w:t>4</w:t>
      </w:r>
      <w:r w:rsidR="00D4444F" w:rsidRPr="00D4444F">
        <w:t>)</w:t>
      </w:r>
      <w:r>
        <w:t>.</w:t>
      </w:r>
    </w:p>
    <w:p w14:paraId="61712CBD" w14:textId="49437AB1" w:rsidR="00000D6F" w:rsidRPr="00000D6F" w:rsidRDefault="000C2077" w:rsidP="003C449E">
      <w:pPr>
        <w:pStyle w:val="Bulletindent1last"/>
      </w:pPr>
      <w:r>
        <w:t>C</w:t>
      </w:r>
      <w:r w:rsidR="003C449E">
        <w:t>ost</w:t>
      </w:r>
      <w:r>
        <w:t>-</w:t>
      </w:r>
      <w:r w:rsidR="003C449E">
        <w:t>effectiveness results u</w:t>
      </w:r>
      <w:r w:rsidR="00000D6F" w:rsidRPr="00000D6F">
        <w:t xml:space="preserve">sing Kaplan–Meier data from BEACON CRC to model progression-free survival </w:t>
      </w:r>
      <w:r w:rsidR="00D4444F" w:rsidRPr="00D4444F">
        <w:t>(see section</w:t>
      </w:r>
      <w:r>
        <w:t> </w:t>
      </w:r>
      <w:r w:rsidR="00D4444F" w:rsidRPr="00D4444F">
        <w:t>3.2</w:t>
      </w:r>
      <w:r w:rsidR="00A74F1F">
        <w:t>2</w:t>
      </w:r>
      <w:r w:rsidR="00D4444F" w:rsidRPr="00D4444F">
        <w:t>)</w:t>
      </w:r>
      <w:r>
        <w:t>.</w:t>
      </w:r>
    </w:p>
    <w:p w14:paraId="4DCE48DE" w14:textId="433F52FA" w:rsidR="00000D6F" w:rsidRPr="006F3D60" w:rsidRDefault="00000D6F" w:rsidP="00503B99">
      <w:pPr>
        <w:pStyle w:val="NICEnormal"/>
      </w:pPr>
      <w:r w:rsidRPr="00503B99">
        <w:rPr>
          <w:b/>
          <w:bCs/>
        </w:rPr>
        <w:t>Modelling of encorafenib plus cetuximab and trifluridine–tipiracil</w:t>
      </w:r>
      <w:r w:rsidR="008431AE" w:rsidRPr="00503B99">
        <w:rPr>
          <w:b/>
          <w:bCs/>
        </w:rPr>
        <w:t>:</w:t>
      </w:r>
    </w:p>
    <w:p w14:paraId="7DCE504D" w14:textId="4A00F49A" w:rsidR="00000D6F" w:rsidRPr="00000D6F" w:rsidRDefault="000C2077" w:rsidP="00503B99">
      <w:pPr>
        <w:pStyle w:val="Bulletindent1last"/>
      </w:pPr>
      <w:r>
        <w:t>C</w:t>
      </w:r>
      <w:r w:rsidR="003C449E">
        <w:t>ost</w:t>
      </w:r>
      <w:r>
        <w:t>-</w:t>
      </w:r>
      <w:r w:rsidR="003C449E">
        <w:t>effectiveness results a</w:t>
      </w:r>
      <w:r w:rsidR="00000D6F" w:rsidRPr="00000D6F">
        <w:t xml:space="preserve">djusting RECOURSE survival curves from the trifluridine–tipiracil arm to account for differences in prognosis in the population in RECOURSE and in BEACON CRC </w:t>
      </w:r>
      <w:r w:rsidR="00D4444F" w:rsidRPr="00D4444F">
        <w:t>(see section</w:t>
      </w:r>
      <w:r>
        <w:t> </w:t>
      </w:r>
      <w:r w:rsidR="00D4444F" w:rsidRPr="00D4444F">
        <w:t>3.1</w:t>
      </w:r>
      <w:r w:rsidR="00A74F1F">
        <w:t>6</w:t>
      </w:r>
      <w:r w:rsidR="00D4444F" w:rsidRPr="00D4444F">
        <w:t>)</w:t>
      </w:r>
      <w:r>
        <w:t>.</w:t>
      </w:r>
    </w:p>
    <w:p w14:paraId="6EEB8A23" w14:textId="1B65C986" w:rsidR="00000D6F" w:rsidRPr="006F3D60" w:rsidRDefault="00000D6F" w:rsidP="00503B99">
      <w:pPr>
        <w:pStyle w:val="NICEnormal"/>
      </w:pPr>
      <w:r w:rsidRPr="00503B99">
        <w:rPr>
          <w:b/>
          <w:bCs/>
        </w:rPr>
        <w:t>Cost estimates in the modelling</w:t>
      </w:r>
      <w:r w:rsidR="00D4444F" w:rsidRPr="00503B99">
        <w:rPr>
          <w:b/>
          <w:bCs/>
        </w:rPr>
        <w:t>:</w:t>
      </w:r>
    </w:p>
    <w:p w14:paraId="5D1F5DC5" w14:textId="44D39613" w:rsidR="00000D6F" w:rsidRPr="00000D6F" w:rsidRDefault="000C2077" w:rsidP="003C449E">
      <w:pPr>
        <w:pStyle w:val="Bulletindent1"/>
      </w:pPr>
      <w:r>
        <w:t>C</w:t>
      </w:r>
      <w:r w:rsidR="003C449E">
        <w:t>ost</w:t>
      </w:r>
      <w:r>
        <w:t>-</w:t>
      </w:r>
      <w:r w:rsidR="003C449E">
        <w:t>effectiveness results a</w:t>
      </w:r>
      <w:r w:rsidR="00000D6F" w:rsidRPr="00000D6F">
        <w:t>pplying 10% drug wastage for oral t</w:t>
      </w:r>
      <w:r w:rsidR="00DC3DC6">
        <w:t>reatment</w:t>
      </w:r>
      <w:r w:rsidR="00000D6F" w:rsidRPr="00000D6F">
        <w:t xml:space="preserve">s </w:t>
      </w:r>
      <w:r w:rsidR="00D4444F" w:rsidRPr="00D4444F">
        <w:t>(see section</w:t>
      </w:r>
      <w:r>
        <w:t> </w:t>
      </w:r>
      <w:r w:rsidR="00D4444F" w:rsidRPr="00D4444F">
        <w:t>3.2</w:t>
      </w:r>
      <w:r w:rsidR="00A74F1F">
        <w:t>9</w:t>
      </w:r>
      <w:r w:rsidR="00D4444F" w:rsidRPr="00D4444F">
        <w:t>)</w:t>
      </w:r>
      <w:r>
        <w:t>.</w:t>
      </w:r>
    </w:p>
    <w:p w14:paraId="175D2E8D" w14:textId="2A8C2856" w:rsidR="00000D6F" w:rsidRPr="00000D6F" w:rsidRDefault="000C2077" w:rsidP="003C449E">
      <w:pPr>
        <w:pStyle w:val="Bulletindent1last"/>
      </w:pPr>
      <w:r>
        <w:t>C</w:t>
      </w:r>
      <w:r w:rsidR="003C449E">
        <w:t>ost</w:t>
      </w:r>
      <w:r>
        <w:t>-</w:t>
      </w:r>
      <w:r w:rsidR="003C449E">
        <w:t>effectiveness results u</w:t>
      </w:r>
      <w:r w:rsidR="00000D6F" w:rsidRPr="00000D6F">
        <w:t xml:space="preserve">sing time to treatment discontinuation </w:t>
      </w:r>
      <w:r w:rsidR="00D4444F" w:rsidRPr="00D4444F">
        <w:t>(see section</w:t>
      </w:r>
      <w:r>
        <w:t> </w:t>
      </w:r>
      <w:r w:rsidR="00D4444F" w:rsidRPr="00D4444F">
        <w:t>3.27)</w:t>
      </w:r>
      <w:r>
        <w:t>.</w:t>
      </w:r>
    </w:p>
    <w:p w14:paraId="6CCFA4D9" w14:textId="5DF44647" w:rsidR="00000D6F" w:rsidRPr="006F3D60" w:rsidRDefault="00000D6F" w:rsidP="00503B99">
      <w:pPr>
        <w:pStyle w:val="NICEnormal"/>
      </w:pPr>
      <w:r w:rsidRPr="00503B99">
        <w:rPr>
          <w:b/>
          <w:bCs/>
        </w:rPr>
        <w:t>Additional supporti</w:t>
      </w:r>
      <w:r w:rsidR="00DC3DC6">
        <w:rPr>
          <w:b/>
          <w:bCs/>
        </w:rPr>
        <w:t>ng</w:t>
      </w:r>
      <w:r w:rsidRPr="00503B99">
        <w:rPr>
          <w:b/>
          <w:bCs/>
        </w:rPr>
        <w:t xml:space="preserve"> analyses</w:t>
      </w:r>
      <w:r w:rsidR="008431AE" w:rsidRPr="00503B99">
        <w:rPr>
          <w:b/>
          <w:bCs/>
        </w:rPr>
        <w:t>:</w:t>
      </w:r>
      <w:r w:rsidR="00DC3DC6">
        <w:rPr>
          <w:b/>
          <w:bCs/>
        </w:rPr>
        <w:t xml:space="preserve"> </w:t>
      </w:r>
    </w:p>
    <w:p w14:paraId="32A09A41" w14:textId="012F62D2" w:rsidR="00000D6F" w:rsidRDefault="00D4444F" w:rsidP="00503B99">
      <w:pPr>
        <w:pStyle w:val="NICEnormalindented"/>
      </w:pPr>
      <w:r>
        <w:lastRenderedPageBreak/>
        <w:t>A</w:t>
      </w:r>
      <w:r w:rsidR="00000D6F" w:rsidRPr="00000D6F">
        <w:t xml:space="preserve"> comparison </w:t>
      </w:r>
      <w:r w:rsidR="00DE421E">
        <w:t xml:space="preserve">of </w:t>
      </w:r>
      <w:r w:rsidR="00DE421E" w:rsidRPr="00000D6F">
        <w:t xml:space="preserve">encorafenib plus cetuximab </w:t>
      </w:r>
      <w:r w:rsidR="00000D6F" w:rsidRPr="00000D6F">
        <w:t>with best supportive care at third line for people who have trifluridine–tipiracil at second line</w:t>
      </w:r>
      <w:r>
        <w:t xml:space="preserve"> (see section 3.6).</w:t>
      </w:r>
    </w:p>
    <w:p w14:paraId="152B6841" w14:textId="760E241D" w:rsidR="00F0417C" w:rsidRDefault="00F0417C" w:rsidP="00F0417C">
      <w:pPr>
        <w:pStyle w:val="Heading3"/>
      </w:pPr>
      <w:r>
        <w:t>Encorafenib with cetuximab is not recommended in the NHS</w:t>
      </w:r>
    </w:p>
    <w:p w14:paraId="3D4B5377" w14:textId="08FA16DC" w:rsidR="00F0417C" w:rsidRDefault="00F0417C" w:rsidP="00B67DF2">
      <w:pPr>
        <w:pStyle w:val="Numberedlevel2text"/>
      </w:pPr>
      <w:r w:rsidRPr="00764242">
        <w:t>The committee con</w:t>
      </w:r>
      <w:r>
        <w:rPr>
          <w:lang w:val="en-GB"/>
        </w:rPr>
        <w:t>sidered</w:t>
      </w:r>
      <w:r w:rsidRPr="00764242">
        <w:t xml:space="preserve"> that the most plausible ICER was </w:t>
      </w:r>
      <w:r w:rsidR="00A055BD">
        <w:rPr>
          <w:lang w:val="en-GB"/>
        </w:rPr>
        <w:t xml:space="preserve">currently </w:t>
      </w:r>
      <w:r w:rsidRPr="00764242">
        <w:t xml:space="preserve">above </w:t>
      </w:r>
      <w:r w:rsidR="00525988">
        <w:rPr>
          <w:lang w:val="en-GB"/>
        </w:rPr>
        <w:t>what</w:t>
      </w:r>
      <w:r w:rsidRPr="00764242">
        <w:t xml:space="preserve"> NICE normally considers to be a cost-effective use of NHS resources for a life-extending treatment at the end of life</w:t>
      </w:r>
      <w:r w:rsidR="00FA3A06">
        <w:rPr>
          <w:lang w:val="en-GB"/>
        </w:rPr>
        <w:t>, but it had not seen estimates reflecting it</w:t>
      </w:r>
      <w:r w:rsidR="00860F78">
        <w:rPr>
          <w:lang w:val="en-GB"/>
        </w:rPr>
        <w:t>s</w:t>
      </w:r>
      <w:r w:rsidR="00FA3A06">
        <w:rPr>
          <w:lang w:val="en-GB"/>
        </w:rPr>
        <w:t xml:space="preserve"> preferred modelling</w:t>
      </w:r>
      <w:r w:rsidRPr="00764242">
        <w:t xml:space="preserve">. It therefore concluded </w:t>
      </w:r>
      <w:r>
        <w:rPr>
          <w:lang w:val="en-GB"/>
        </w:rPr>
        <w:t xml:space="preserve">that </w:t>
      </w:r>
      <w:r w:rsidRPr="00764242">
        <w:t xml:space="preserve">it </w:t>
      </w:r>
      <w:r w:rsidR="00FA3A06">
        <w:rPr>
          <w:lang w:val="en-GB"/>
        </w:rPr>
        <w:t>c</w:t>
      </w:r>
      <w:r w:rsidRPr="00764242">
        <w:t xml:space="preserve">ould not recommend </w:t>
      </w:r>
      <w:r>
        <w:rPr>
          <w:lang w:val="en-GB"/>
        </w:rPr>
        <w:t>e</w:t>
      </w:r>
      <w:r>
        <w:t xml:space="preserve">ncorafenib </w:t>
      </w:r>
      <w:r w:rsidR="00525988">
        <w:rPr>
          <w:lang w:val="en-GB"/>
        </w:rPr>
        <w:t>plus</w:t>
      </w:r>
      <w:r>
        <w:t xml:space="preserve"> cetuximab</w:t>
      </w:r>
      <w:r w:rsidRPr="00764242">
        <w:t xml:space="preserve"> for</w:t>
      </w:r>
      <w:r w:rsidR="001855FC">
        <w:rPr>
          <w:lang w:val="en-GB"/>
        </w:rPr>
        <w:t xml:space="preserve"> </w:t>
      </w:r>
      <w:r w:rsidR="001855FC" w:rsidRPr="001855FC">
        <w:rPr>
          <w:lang w:val="en-GB"/>
        </w:rPr>
        <w:t>previously treated V600E mutation</w:t>
      </w:r>
      <w:r w:rsidR="00525988">
        <w:rPr>
          <w:lang w:val="en-GB"/>
        </w:rPr>
        <w:t>-</w:t>
      </w:r>
      <w:r w:rsidR="001855FC" w:rsidRPr="001855FC">
        <w:rPr>
          <w:lang w:val="en-GB"/>
        </w:rPr>
        <w:t>positive colorectal cancer</w:t>
      </w:r>
      <w:r w:rsidR="001855FC">
        <w:rPr>
          <w:lang w:val="en-GB"/>
        </w:rPr>
        <w:t>.</w:t>
      </w:r>
    </w:p>
    <w:p w14:paraId="074011BB" w14:textId="75CA3499" w:rsidR="00643582" w:rsidRDefault="00052B0E" w:rsidP="00643582">
      <w:pPr>
        <w:pStyle w:val="Heading2"/>
      </w:pPr>
      <w:r>
        <w:t xml:space="preserve">Cancer </w:t>
      </w:r>
      <w:r w:rsidR="000C1488">
        <w:t>D</w:t>
      </w:r>
      <w:r>
        <w:t xml:space="preserve">rugs </w:t>
      </w:r>
      <w:r w:rsidR="000C1488">
        <w:t>F</w:t>
      </w:r>
      <w:r>
        <w:t>und</w:t>
      </w:r>
    </w:p>
    <w:p w14:paraId="3FF4D6AD" w14:textId="48173547" w:rsidR="00643582" w:rsidRDefault="007A3E08" w:rsidP="0073007E">
      <w:pPr>
        <w:pStyle w:val="Heading3"/>
      </w:pPr>
      <w:r>
        <w:t xml:space="preserve">Encorafenib </w:t>
      </w:r>
      <w:r w:rsidR="000C1488">
        <w:t>plus</w:t>
      </w:r>
      <w:r>
        <w:t xml:space="preserve"> cetuximab </w:t>
      </w:r>
      <w:r w:rsidR="00271FA7">
        <w:t xml:space="preserve">is not </w:t>
      </w:r>
      <w:r w:rsidR="00542880">
        <w:t>recommended for use in</w:t>
      </w:r>
      <w:r w:rsidR="00271FA7">
        <w:t xml:space="preserve"> the Can</w:t>
      </w:r>
      <w:r w:rsidR="00184862">
        <w:t>c</w:t>
      </w:r>
      <w:r w:rsidR="00271FA7">
        <w:t>er Drugs Fund</w:t>
      </w:r>
    </w:p>
    <w:p w14:paraId="62ADAA95" w14:textId="4011A2CE" w:rsidR="00717B5F" w:rsidRPr="00717B5F" w:rsidRDefault="00643582" w:rsidP="00717B5F">
      <w:pPr>
        <w:pStyle w:val="Numberedlevel2text"/>
        <w:rPr>
          <w:lang w:val="en-GB"/>
        </w:rPr>
      </w:pPr>
      <w:r w:rsidRPr="00386A4E">
        <w:t xml:space="preserve">Having concluded that </w:t>
      </w:r>
      <w:r w:rsidR="00052B0E">
        <w:rPr>
          <w:lang w:val="en-GB"/>
        </w:rPr>
        <w:t>encoraf</w:t>
      </w:r>
      <w:r w:rsidR="00271FA7">
        <w:rPr>
          <w:lang w:val="en-GB"/>
        </w:rPr>
        <w:t>e</w:t>
      </w:r>
      <w:r w:rsidR="00052B0E">
        <w:rPr>
          <w:lang w:val="en-GB"/>
        </w:rPr>
        <w:t xml:space="preserve">nib </w:t>
      </w:r>
      <w:r w:rsidR="0023310B">
        <w:rPr>
          <w:lang w:val="en-GB"/>
        </w:rPr>
        <w:t>plus</w:t>
      </w:r>
      <w:r w:rsidR="00052B0E">
        <w:rPr>
          <w:lang w:val="en-GB"/>
        </w:rPr>
        <w:t xml:space="preserve"> cetuximab</w:t>
      </w:r>
      <w:r w:rsidRPr="00386A4E">
        <w:t xml:space="preserve"> could not be recommended for routine use, the committee then considered if it could be recommended for </w:t>
      </w:r>
      <w:r w:rsidR="00052B0E">
        <w:rPr>
          <w:lang w:val="en-GB"/>
        </w:rPr>
        <w:t>previously treated BRAF V600E mutation-positive metastatic colorectal cancer</w:t>
      </w:r>
      <w:r w:rsidRPr="00386A4E">
        <w:t xml:space="preserve"> within the Cancer Drugs Fund. The committee discussed the arrangements for the Cancer Drugs Fund agreed by NICE and NHS England in 2016, noting </w:t>
      </w:r>
      <w:hyperlink r:id="rId20" w:history="1">
        <w:r w:rsidR="000E6F19" w:rsidRPr="00D019BA">
          <w:rPr>
            <w:rStyle w:val="Hyperlink"/>
          </w:rPr>
          <w:t>NICE’s Cancer Drugs Fund methods guide (addendum)</w:t>
        </w:r>
      </w:hyperlink>
      <w:r w:rsidRPr="00386A4E">
        <w:t>.</w:t>
      </w:r>
      <w:r w:rsidR="00717B5F">
        <w:rPr>
          <w:lang w:val="en-GB"/>
        </w:rPr>
        <w:t xml:space="preserve"> </w:t>
      </w:r>
      <w:r w:rsidR="00717B5F" w:rsidRPr="00717B5F">
        <w:rPr>
          <w:lang w:val="en-GB"/>
        </w:rPr>
        <w:t xml:space="preserve">The </w:t>
      </w:r>
      <w:r w:rsidR="00586C9B">
        <w:rPr>
          <w:lang w:val="en-GB"/>
        </w:rPr>
        <w:t xml:space="preserve">committee noted that the </w:t>
      </w:r>
      <w:r w:rsidR="00717B5F" w:rsidRPr="00717B5F">
        <w:rPr>
          <w:lang w:val="en-GB"/>
        </w:rPr>
        <w:t xml:space="preserve">company did not express an interest in the treatment being considered for funding through the Cancer Drugs Fund. The committee </w:t>
      </w:r>
      <w:r w:rsidR="006C7EF3">
        <w:rPr>
          <w:lang w:val="en-GB"/>
        </w:rPr>
        <w:t>noted that</w:t>
      </w:r>
      <w:r w:rsidR="006C7EF3" w:rsidRPr="00717B5F">
        <w:rPr>
          <w:lang w:val="en-GB"/>
        </w:rPr>
        <w:t xml:space="preserve"> </w:t>
      </w:r>
      <w:r w:rsidR="00717B5F">
        <w:rPr>
          <w:lang w:val="en-GB"/>
        </w:rPr>
        <w:t xml:space="preserve">BEACON CRC </w:t>
      </w:r>
      <w:r w:rsidR="006C7EF3">
        <w:rPr>
          <w:lang w:val="en-GB"/>
        </w:rPr>
        <w:t xml:space="preserve">had met its primary endpoint and </w:t>
      </w:r>
      <w:r w:rsidR="00FA3A06">
        <w:rPr>
          <w:lang w:val="en-GB"/>
        </w:rPr>
        <w:t>that the company had provided further</w:t>
      </w:r>
      <w:r w:rsidR="00756C54">
        <w:rPr>
          <w:lang w:val="en-GB"/>
        </w:rPr>
        <w:t>,</w:t>
      </w:r>
      <w:r w:rsidR="00FA3A06">
        <w:rPr>
          <w:lang w:val="en-GB"/>
        </w:rPr>
        <w:t xml:space="preserve"> more</w:t>
      </w:r>
      <w:r w:rsidR="006C7EF3" w:rsidRPr="00717B5F">
        <w:rPr>
          <w:lang w:val="en-GB"/>
        </w:rPr>
        <w:t xml:space="preserve"> </w:t>
      </w:r>
      <w:r w:rsidR="00717B5F" w:rsidRPr="00717B5F">
        <w:rPr>
          <w:lang w:val="en-GB"/>
        </w:rPr>
        <w:t>mature</w:t>
      </w:r>
      <w:r w:rsidR="00756C54">
        <w:rPr>
          <w:lang w:val="en-GB"/>
        </w:rPr>
        <w:t>,</w:t>
      </w:r>
      <w:r w:rsidR="00FA3A06">
        <w:rPr>
          <w:lang w:val="en-GB"/>
        </w:rPr>
        <w:t xml:space="preserve"> data</w:t>
      </w:r>
      <w:r w:rsidR="00717B5F" w:rsidRPr="00717B5F">
        <w:rPr>
          <w:lang w:val="en-GB"/>
        </w:rPr>
        <w:t xml:space="preserve">. </w:t>
      </w:r>
      <w:r w:rsidR="00717B5F">
        <w:rPr>
          <w:lang w:val="en-GB"/>
        </w:rPr>
        <w:t>U</w:t>
      </w:r>
      <w:r w:rsidR="00717B5F" w:rsidRPr="00717B5F">
        <w:rPr>
          <w:lang w:val="en-GB"/>
        </w:rPr>
        <w:t xml:space="preserve">ncertainties about </w:t>
      </w:r>
      <w:r w:rsidR="00717B5F">
        <w:rPr>
          <w:lang w:val="en-GB"/>
        </w:rPr>
        <w:t>comparative effectiveness</w:t>
      </w:r>
      <w:r w:rsidR="00717B5F" w:rsidRPr="00717B5F">
        <w:rPr>
          <w:lang w:val="en-GB"/>
        </w:rPr>
        <w:t xml:space="preserve"> were unlikely to be resolved </w:t>
      </w:r>
      <w:r w:rsidR="00CE32D6">
        <w:rPr>
          <w:lang w:val="en-GB"/>
        </w:rPr>
        <w:t>by collecting</w:t>
      </w:r>
      <w:r w:rsidR="00717B5F" w:rsidRPr="00717B5F">
        <w:rPr>
          <w:lang w:val="en-GB"/>
        </w:rPr>
        <w:t xml:space="preserve"> further data</w:t>
      </w:r>
      <w:r w:rsidR="00717B5F">
        <w:rPr>
          <w:lang w:val="en-GB"/>
        </w:rPr>
        <w:t xml:space="preserve"> because there were no ongoing studies using comparators relevant to UK clinical practice for encor</w:t>
      </w:r>
      <w:r w:rsidR="000C1488">
        <w:rPr>
          <w:lang w:val="en-GB"/>
        </w:rPr>
        <w:t>a</w:t>
      </w:r>
      <w:r w:rsidR="00717B5F">
        <w:rPr>
          <w:lang w:val="en-GB"/>
        </w:rPr>
        <w:t>f</w:t>
      </w:r>
      <w:r w:rsidR="000C1488">
        <w:rPr>
          <w:lang w:val="en-GB"/>
        </w:rPr>
        <w:t>e</w:t>
      </w:r>
      <w:r w:rsidR="00717B5F">
        <w:rPr>
          <w:lang w:val="en-GB"/>
        </w:rPr>
        <w:t xml:space="preserve">nib </w:t>
      </w:r>
      <w:r w:rsidR="000C1488">
        <w:rPr>
          <w:lang w:val="en-GB"/>
        </w:rPr>
        <w:t>plus</w:t>
      </w:r>
      <w:r w:rsidR="00717B5F">
        <w:rPr>
          <w:lang w:val="en-GB"/>
        </w:rPr>
        <w:t xml:space="preserve"> cetuximab</w:t>
      </w:r>
      <w:r w:rsidR="00CE32D6">
        <w:rPr>
          <w:lang w:val="en-GB"/>
        </w:rPr>
        <w:t>. Also,</w:t>
      </w:r>
      <w:r w:rsidR="00717B5F">
        <w:rPr>
          <w:lang w:val="en-GB"/>
        </w:rPr>
        <w:t xml:space="preserve"> the C</w:t>
      </w:r>
      <w:r w:rsidR="000C1488">
        <w:rPr>
          <w:lang w:val="en-GB"/>
        </w:rPr>
        <w:t xml:space="preserve">ancer </w:t>
      </w:r>
      <w:r w:rsidR="00717B5F">
        <w:rPr>
          <w:lang w:val="en-GB"/>
        </w:rPr>
        <w:t>D</w:t>
      </w:r>
      <w:r w:rsidR="000C1488">
        <w:rPr>
          <w:lang w:val="en-GB"/>
        </w:rPr>
        <w:t xml:space="preserve">rugs </w:t>
      </w:r>
      <w:r w:rsidR="00717B5F">
        <w:rPr>
          <w:lang w:val="en-GB"/>
        </w:rPr>
        <w:t>F</w:t>
      </w:r>
      <w:r w:rsidR="000C1488">
        <w:rPr>
          <w:lang w:val="en-GB"/>
        </w:rPr>
        <w:t>und</w:t>
      </w:r>
      <w:r w:rsidR="00717B5F">
        <w:rPr>
          <w:lang w:val="en-GB"/>
        </w:rPr>
        <w:t xml:space="preserve"> would not collect data on comparator treatment</w:t>
      </w:r>
      <w:r w:rsidR="00717B5F" w:rsidRPr="00717B5F">
        <w:rPr>
          <w:lang w:val="en-GB"/>
        </w:rPr>
        <w:t xml:space="preserve">. </w:t>
      </w:r>
      <w:r w:rsidR="006C7EF3">
        <w:rPr>
          <w:lang w:val="en-GB"/>
        </w:rPr>
        <w:t xml:space="preserve">The committee noted that it had </w:t>
      </w:r>
      <w:r w:rsidR="006C7EF3" w:rsidRPr="00F0417C">
        <w:t>not see</w:t>
      </w:r>
      <w:r w:rsidR="006C7EF3">
        <w:rPr>
          <w:lang w:val="en-GB"/>
        </w:rPr>
        <w:t>n</w:t>
      </w:r>
      <w:r w:rsidR="006C7EF3" w:rsidRPr="00F0417C">
        <w:t xml:space="preserve"> </w:t>
      </w:r>
      <w:r w:rsidR="00CE32D6">
        <w:rPr>
          <w:lang w:val="en-GB"/>
        </w:rPr>
        <w:t xml:space="preserve">cost-effectiveness </w:t>
      </w:r>
      <w:r w:rsidR="006C7EF3" w:rsidRPr="00F0417C">
        <w:t>estimates reflecting its prefer</w:t>
      </w:r>
      <w:r w:rsidR="000C1488">
        <w:rPr>
          <w:lang w:val="en-GB"/>
        </w:rPr>
        <w:t>r</w:t>
      </w:r>
      <w:r w:rsidR="006C7EF3" w:rsidRPr="00F0417C">
        <w:t>e</w:t>
      </w:r>
      <w:r w:rsidR="000C1488">
        <w:rPr>
          <w:lang w:val="en-GB"/>
        </w:rPr>
        <w:t>d modelling</w:t>
      </w:r>
      <w:r w:rsidR="00CE32D6">
        <w:rPr>
          <w:lang w:val="en-GB"/>
        </w:rPr>
        <w:t xml:space="preserve">. </w:t>
      </w:r>
      <w:r w:rsidR="00A72954">
        <w:rPr>
          <w:lang w:val="en-GB"/>
        </w:rPr>
        <w:t>T</w:t>
      </w:r>
      <w:r w:rsidR="00CE32D6">
        <w:rPr>
          <w:lang w:val="en-GB"/>
        </w:rPr>
        <w:t>he</w:t>
      </w:r>
      <w:r w:rsidR="006C7EF3">
        <w:rPr>
          <w:lang w:val="en-GB"/>
        </w:rPr>
        <w:t xml:space="preserve"> current estimates for </w:t>
      </w:r>
      <w:r w:rsidR="002646DF">
        <w:rPr>
          <w:lang w:val="en-GB"/>
        </w:rPr>
        <w:t xml:space="preserve">encorafenib </w:t>
      </w:r>
      <w:r w:rsidR="000C1488">
        <w:rPr>
          <w:lang w:val="en-GB"/>
        </w:rPr>
        <w:t>plus</w:t>
      </w:r>
      <w:r w:rsidR="002646DF">
        <w:rPr>
          <w:lang w:val="en-GB"/>
        </w:rPr>
        <w:t xml:space="preserve"> cetuximab d</w:t>
      </w:r>
      <w:r w:rsidR="00C9605C">
        <w:rPr>
          <w:lang w:val="en-GB"/>
        </w:rPr>
        <w:t>id</w:t>
      </w:r>
      <w:r w:rsidR="002646DF">
        <w:rPr>
          <w:lang w:val="en-GB"/>
        </w:rPr>
        <w:t xml:space="preserve"> not have plausible </w:t>
      </w:r>
      <w:r w:rsidR="002646DF">
        <w:rPr>
          <w:lang w:val="en-GB"/>
        </w:rPr>
        <w:lastRenderedPageBreak/>
        <w:t>potential to be cost effective compared with current treatment (see section</w:t>
      </w:r>
      <w:r w:rsidR="00C9605C">
        <w:rPr>
          <w:lang w:val="en-GB"/>
        </w:rPr>
        <w:t> </w:t>
      </w:r>
      <w:r w:rsidR="002646DF">
        <w:rPr>
          <w:lang w:val="en-GB"/>
        </w:rPr>
        <w:t>3.</w:t>
      </w:r>
      <w:r w:rsidR="00A74F1F">
        <w:rPr>
          <w:lang w:val="en-GB"/>
        </w:rPr>
        <w:t>3</w:t>
      </w:r>
      <w:r w:rsidR="002646DF">
        <w:rPr>
          <w:lang w:val="en-GB"/>
        </w:rPr>
        <w:t xml:space="preserve">3). </w:t>
      </w:r>
      <w:r w:rsidR="00717B5F" w:rsidRPr="00717B5F">
        <w:rPr>
          <w:lang w:val="en-GB"/>
        </w:rPr>
        <w:t xml:space="preserve">Therefore, the committee did not recommend </w:t>
      </w:r>
      <w:r w:rsidR="002646DF">
        <w:rPr>
          <w:lang w:val="en-GB"/>
        </w:rPr>
        <w:t>encorafenib with cetuximab</w:t>
      </w:r>
      <w:r w:rsidR="00717B5F" w:rsidRPr="00717B5F">
        <w:rPr>
          <w:lang w:val="en-GB"/>
        </w:rPr>
        <w:t xml:space="preserve"> for use in the Cancer Drugs Fund.</w:t>
      </w:r>
    </w:p>
    <w:p w14:paraId="50974D11" w14:textId="77777777" w:rsidR="00A61B85" w:rsidRDefault="00A61B85" w:rsidP="00A61B85">
      <w:pPr>
        <w:pStyle w:val="Heading2"/>
      </w:pPr>
      <w:r>
        <w:t>Equalities</w:t>
      </w:r>
    </w:p>
    <w:p w14:paraId="26814335" w14:textId="37ABF1FB" w:rsidR="00A61B85" w:rsidRDefault="00880F3B" w:rsidP="00A61B85">
      <w:pPr>
        <w:pStyle w:val="Heading3"/>
      </w:pPr>
      <w:r>
        <w:t>There are n</w:t>
      </w:r>
      <w:r w:rsidR="00A61B85">
        <w:t xml:space="preserve">o equalities issues identified for encorafenib </w:t>
      </w:r>
      <w:r w:rsidR="00CE32D6">
        <w:t>plus</w:t>
      </w:r>
      <w:r w:rsidR="00A61B85">
        <w:t xml:space="preserve"> cetuximab</w:t>
      </w:r>
    </w:p>
    <w:p w14:paraId="743AC951" w14:textId="5A6EF376" w:rsidR="00A61B85" w:rsidRDefault="00D71EEB" w:rsidP="00A61B85">
      <w:pPr>
        <w:pStyle w:val="Numberedlevel2text"/>
      </w:pPr>
      <w:r>
        <w:t>No equalit</w:t>
      </w:r>
      <w:r>
        <w:rPr>
          <w:lang w:val="en-GB"/>
        </w:rPr>
        <w:t>ies</w:t>
      </w:r>
      <w:r>
        <w:t xml:space="preserve"> issues were identified during scoping, submission or technical engagement.</w:t>
      </w:r>
      <w:r>
        <w:rPr>
          <w:lang w:val="en-GB"/>
        </w:rPr>
        <w:t xml:space="preserve"> </w:t>
      </w:r>
      <w:r w:rsidR="00A61B85">
        <w:t xml:space="preserve">The committee </w:t>
      </w:r>
      <w:r w:rsidR="00D4444F">
        <w:t>con</w:t>
      </w:r>
      <w:r w:rsidR="00D4444F">
        <w:rPr>
          <w:lang w:val="en-GB"/>
        </w:rPr>
        <w:t>cluded that</w:t>
      </w:r>
      <w:r w:rsidR="00D4444F">
        <w:t xml:space="preserve"> </w:t>
      </w:r>
      <w:r w:rsidR="00A61B85">
        <w:t xml:space="preserve">there were </w:t>
      </w:r>
      <w:r w:rsidR="00D4444F">
        <w:rPr>
          <w:lang w:val="en-GB"/>
        </w:rPr>
        <w:t>no</w:t>
      </w:r>
      <w:r w:rsidR="00D4444F">
        <w:t xml:space="preserve"> </w:t>
      </w:r>
      <w:r w:rsidR="00A61B85">
        <w:t xml:space="preserve">equalities issues for treatment with encorafenib </w:t>
      </w:r>
      <w:r w:rsidR="00CE32D6">
        <w:rPr>
          <w:lang w:val="en-GB"/>
        </w:rPr>
        <w:t>plus</w:t>
      </w:r>
      <w:r w:rsidR="00A61B85">
        <w:t xml:space="preserve"> cetuximab.</w:t>
      </w:r>
    </w:p>
    <w:p w14:paraId="665D15D6" w14:textId="088F158F" w:rsidR="000F48EC" w:rsidRPr="000F48EC" w:rsidRDefault="007A2801" w:rsidP="002E73E7">
      <w:pPr>
        <w:pStyle w:val="Numberedheading1"/>
      </w:pPr>
      <w:r>
        <w:t xml:space="preserve">Proposed date for </w:t>
      </w:r>
      <w:r w:rsidR="00000441">
        <w:t>r</w:t>
      </w:r>
      <w:r w:rsidR="000F48EC" w:rsidRPr="000F48EC">
        <w:t>eview of guidance</w:t>
      </w:r>
    </w:p>
    <w:p w14:paraId="1C9908FB" w14:textId="14F7F76A" w:rsidR="00C52FC0" w:rsidRPr="000F48EC" w:rsidRDefault="001823EB" w:rsidP="00C37807">
      <w:pPr>
        <w:pStyle w:val="Numberedlevel2text"/>
      </w:pPr>
      <w:r w:rsidRPr="00044CC7">
        <w:t xml:space="preserve">NICE proposes that the guidance on this technology is considered for review by the </w:t>
      </w:r>
      <w:r>
        <w:t>g</w:t>
      </w:r>
      <w:r w:rsidRPr="00044CC7">
        <w:t xml:space="preserve">uidance </w:t>
      </w:r>
      <w:r>
        <w:t>e</w:t>
      </w:r>
      <w:r w:rsidRPr="00044CC7">
        <w:t>xecutive</w:t>
      </w:r>
      <w:r>
        <w:t xml:space="preserve"> 3 years after publication of the guidance</w:t>
      </w:r>
      <w:r w:rsidRPr="00044CC7">
        <w:t xml:space="preserve">. NICE welcomes comment on this proposed date. The </w:t>
      </w:r>
      <w:r>
        <w:t>g</w:t>
      </w:r>
      <w:r w:rsidRPr="00044CC7">
        <w:t xml:space="preserve">uidance </w:t>
      </w:r>
      <w:r>
        <w:t>e</w:t>
      </w:r>
      <w:r w:rsidRPr="00044CC7">
        <w:t>xecutive will decide whether the technology should be reviewed based on information gathered by NICE, and in consultation with consultees and commentators.</w:t>
      </w:r>
    </w:p>
    <w:p w14:paraId="35FA45EC" w14:textId="20BA4B79" w:rsidR="004845D0" w:rsidRDefault="00525E48" w:rsidP="00ED5F88">
      <w:pPr>
        <w:pStyle w:val="NICEnormal"/>
      </w:pPr>
      <w:r>
        <w:t>Amanda Adler</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rsidR="004826F3">
        <w:t>September 2020</w:t>
      </w:r>
    </w:p>
    <w:p w14:paraId="5D59462D" w14:textId="77777777" w:rsidR="00B16431" w:rsidRPr="007D7F83" w:rsidRDefault="00B16431" w:rsidP="00B67DF2">
      <w:pPr>
        <w:pStyle w:val="Numberedheading1"/>
      </w:pPr>
      <w:r w:rsidRPr="007D7F83">
        <w:t xml:space="preserve">Appraisal </w:t>
      </w:r>
      <w:r w:rsidR="00343B53">
        <w:t>c</w:t>
      </w:r>
      <w:r w:rsidRPr="007D7F83">
        <w:t>ommittee members and NICE project team</w:t>
      </w:r>
    </w:p>
    <w:p w14:paraId="44E60536" w14:textId="77777777" w:rsidR="00B16431" w:rsidRPr="007D7F83" w:rsidRDefault="00B16431" w:rsidP="00B16431">
      <w:pPr>
        <w:pStyle w:val="Heading2"/>
      </w:pPr>
      <w:r w:rsidRPr="007D7F83">
        <w:t xml:space="preserve">Appraisal </w:t>
      </w:r>
      <w:r w:rsidR="00343B53">
        <w:t>c</w:t>
      </w:r>
      <w:r w:rsidRPr="007D7F83">
        <w:t>ommittee members</w:t>
      </w:r>
    </w:p>
    <w:p w14:paraId="4762D2CA" w14:textId="133C3B6F" w:rsidR="002F2583" w:rsidRPr="00742089" w:rsidRDefault="002F2583" w:rsidP="002F2583">
      <w:pPr>
        <w:pStyle w:val="NICEnormal"/>
        <w:rPr>
          <w:rFonts w:eastAsia="Calibri"/>
        </w:rPr>
      </w:pPr>
      <w:r>
        <w:t xml:space="preserve">The 4 technology appraisal committees are standing advisory committees of NICE. This topic was considered by </w:t>
      </w:r>
      <w:hyperlink r:id="rId21" w:history="1">
        <w:r w:rsidR="00525E48">
          <w:rPr>
            <w:rStyle w:val="Hyperlink"/>
            <w:rFonts w:eastAsia="Calibri"/>
          </w:rPr>
          <w:t>committee B</w:t>
        </w:r>
      </w:hyperlink>
      <w:r>
        <w:t>.</w:t>
      </w:r>
    </w:p>
    <w:p w14:paraId="353D77FC" w14:textId="07DB5D93" w:rsidR="002F2583" w:rsidRDefault="002F2583" w:rsidP="002F2583">
      <w:pPr>
        <w:pStyle w:val="NICEnormal"/>
      </w:pPr>
      <w:r>
        <w:t>Committee members are asked to declare any interests in the technology to be appraised. If it is considered there is a conflict of interest, the member is excluded from participating further in that appraisal.</w:t>
      </w:r>
    </w:p>
    <w:p w14:paraId="1230C7E8" w14:textId="77777777" w:rsidR="002F2583" w:rsidRDefault="002F2583" w:rsidP="002F2583">
      <w:pPr>
        <w:pStyle w:val="NICEnormal"/>
      </w:pPr>
      <w:r>
        <w:lastRenderedPageBreak/>
        <w:t xml:space="preserve">The </w:t>
      </w:r>
      <w:hyperlink r:id="rId22"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74EE9736" w14:textId="77777777" w:rsidR="00B16431" w:rsidRPr="007D7F83" w:rsidRDefault="00B16431" w:rsidP="00B16431">
      <w:pPr>
        <w:pStyle w:val="Heading2"/>
      </w:pPr>
      <w:r w:rsidRPr="007D7F83">
        <w:t>NICE project team</w:t>
      </w:r>
    </w:p>
    <w:p w14:paraId="002BE723" w14:textId="05A18F7F" w:rsidR="00B16431" w:rsidRPr="000F2D8A" w:rsidRDefault="00B16431" w:rsidP="00B16431">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2F4EDF24" w14:textId="4C5D5F84" w:rsidR="00B16431" w:rsidRPr="000F2D8A" w:rsidRDefault="00882F82" w:rsidP="00B16431">
      <w:pPr>
        <w:pStyle w:val="NICEnormal"/>
      </w:pPr>
      <w:bookmarkStart w:id="16" w:name="Text45"/>
      <w:r>
        <w:rPr>
          <w:b/>
        </w:rPr>
        <w:t>Jessica Cronshaw</w:t>
      </w:r>
      <w:r w:rsidR="00B16431">
        <w:br/>
      </w:r>
      <w:r w:rsidR="00B16431" w:rsidRPr="000F2D8A">
        <w:t xml:space="preserve">Technical </w:t>
      </w:r>
      <w:r w:rsidR="00E65C76">
        <w:t>l</w:t>
      </w:r>
      <w:r w:rsidR="00B16431" w:rsidRPr="000F2D8A">
        <w:t>ead</w:t>
      </w:r>
    </w:p>
    <w:p w14:paraId="7FD32F1C" w14:textId="5FF71522" w:rsidR="00B16431" w:rsidRPr="000F2D8A" w:rsidRDefault="00882F82" w:rsidP="00B16431">
      <w:pPr>
        <w:pStyle w:val="NICEnormal"/>
      </w:pPr>
      <w:r>
        <w:rPr>
          <w:b/>
        </w:rPr>
        <w:t>Lorna Dunning</w:t>
      </w:r>
      <w:r w:rsidR="00B16431">
        <w:br/>
      </w:r>
      <w:r w:rsidR="00B16431" w:rsidRPr="00AF59A2">
        <w:t xml:space="preserve">Technical </w:t>
      </w:r>
      <w:r w:rsidR="00E65C76">
        <w:t>a</w:t>
      </w:r>
      <w:r w:rsidR="00B16431" w:rsidRPr="00AF59A2">
        <w:t>dviser</w:t>
      </w:r>
    </w:p>
    <w:p w14:paraId="63C334E3" w14:textId="48652980" w:rsidR="00B16431" w:rsidRPr="000F2D8A" w:rsidRDefault="00882F82" w:rsidP="005D3FD9">
      <w:pPr>
        <w:pStyle w:val="NICEnormal"/>
      </w:pPr>
      <w:r>
        <w:rPr>
          <w:b/>
        </w:rPr>
        <w:t>Jo Ekeledo</w:t>
      </w:r>
      <w:r w:rsidR="00B16431">
        <w:br/>
      </w:r>
      <w:r w:rsidR="00B16431" w:rsidRPr="000F2D8A">
        <w:t xml:space="preserve">Project </w:t>
      </w:r>
      <w:r w:rsidR="00E65C76">
        <w:t>m</w:t>
      </w:r>
      <w:r w:rsidR="00B16431" w:rsidRPr="000F2D8A">
        <w:t>anager</w:t>
      </w:r>
      <w:bookmarkEnd w:id="16"/>
    </w:p>
    <w:p w14:paraId="52D0E213" w14:textId="77777777" w:rsidR="006E7647" w:rsidRPr="000F48EC" w:rsidRDefault="006E7647" w:rsidP="00F05E37">
      <w:pPr>
        <w:pStyle w:val="NICEnormal"/>
      </w:pPr>
      <w:r>
        <w:t xml:space="preserve">ISBN: </w:t>
      </w:r>
      <w:r w:rsidRPr="004D7C92">
        <w:rPr>
          <w:highlight w:val="green"/>
        </w:rPr>
        <w:t>[to be added at publication]</w:t>
      </w:r>
    </w:p>
    <w:sectPr w:rsidR="006E7647" w:rsidRPr="000F48EC" w:rsidSect="00C76DDA">
      <w:headerReference w:type="default" r:id="rId23"/>
      <w:footerReference w:type="default" r:id="rId2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AA787" w14:textId="77777777" w:rsidR="00585D73" w:rsidRDefault="00585D73">
      <w:r>
        <w:separator/>
      </w:r>
    </w:p>
  </w:endnote>
  <w:endnote w:type="continuationSeparator" w:id="0">
    <w:p w14:paraId="696813EB" w14:textId="77777777" w:rsidR="00585D73" w:rsidRDefault="0058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30FFC" w14:textId="46F7820C" w:rsidR="00585D73" w:rsidRPr="003D33FB" w:rsidRDefault="00585D73" w:rsidP="007A7EC8">
    <w:pPr>
      <w:pStyle w:val="NICEnormalsinglespacing"/>
      <w:spacing w:after="120"/>
      <w:rPr>
        <w:sz w:val="18"/>
        <w:szCs w:val="18"/>
      </w:rPr>
    </w:pPr>
    <w:r>
      <w:rPr>
        <w:sz w:val="18"/>
        <w:szCs w:val="18"/>
      </w:rPr>
      <w:t xml:space="preserve">Appraisal consultation document </w:t>
    </w:r>
    <w:r w:rsidRPr="003D33FB">
      <w:rPr>
        <w:sz w:val="18"/>
        <w:szCs w:val="18"/>
      </w:rPr>
      <w:t xml:space="preserve">– </w:t>
    </w:r>
    <w:r w:rsidRPr="009650D6">
      <w:rPr>
        <w:sz w:val="18"/>
        <w:szCs w:val="18"/>
      </w:rPr>
      <w:t xml:space="preserve">Encorafenib </w:t>
    </w:r>
    <w:r>
      <w:rPr>
        <w:sz w:val="18"/>
        <w:szCs w:val="18"/>
      </w:rPr>
      <w:t>with cetuximab</w:t>
    </w:r>
    <w:r w:rsidRPr="009650D6">
      <w:rPr>
        <w:sz w:val="18"/>
        <w:szCs w:val="18"/>
      </w:rPr>
      <w:t xml:space="preserve"> for previously treated BRAF V600E mutation-positive metastatic colorectal cancer</w:t>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0D08EE4C" w14:textId="5ECEA17A" w:rsidR="00585D73" w:rsidRDefault="00585D73" w:rsidP="007A7EC8">
    <w:pPr>
      <w:pStyle w:val="NICEnormalsinglespacing"/>
      <w:spacing w:after="120"/>
      <w:rPr>
        <w:sz w:val="18"/>
        <w:szCs w:val="18"/>
      </w:rPr>
    </w:pPr>
    <w:r w:rsidRPr="003D33FB">
      <w:rPr>
        <w:sz w:val="18"/>
        <w:szCs w:val="18"/>
      </w:rPr>
      <w:t>Issue date:</w:t>
    </w:r>
    <w:r>
      <w:rPr>
        <w:sz w:val="18"/>
        <w:szCs w:val="18"/>
      </w:rPr>
      <w:t xml:space="preserve"> September 2020</w:t>
    </w:r>
  </w:p>
  <w:p w14:paraId="2AAA927B" w14:textId="210CD102" w:rsidR="00585D73" w:rsidRPr="007A7EC8" w:rsidRDefault="00585D73"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F48B2" w14:textId="77777777" w:rsidR="00585D73" w:rsidRDefault="00585D73">
      <w:r>
        <w:separator/>
      </w:r>
    </w:p>
  </w:footnote>
  <w:footnote w:type="continuationSeparator" w:id="0">
    <w:p w14:paraId="377FC1FC" w14:textId="77777777" w:rsidR="00585D73" w:rsidRDefault="00585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801AE" w14:textId="77777777" w:rsidR="00585D73" w:rsidRPr="004E6427" w:rsidRDefault="00585D73"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108C"/>
    <w:multiLevelType w:val="hybridMultilevel"/>
    <w:tmpl w:val="08D64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50EEC1E">
      <w:numFmt w:val="bullet"/>
      <w:lvlText w:val="•"/>
      <w:lvlJc w:val="left"/>
      <w:pPr>
        <w:ind w:left="2520" w:hanging="720"/>
      </w:pPr>
      <w:rPr>
        <w:rFonts w:ascii="Calibri" w:eastAsia="Calibri" w:hAnsi="Calibri" w:cs="Calibri"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812EB"/>
    <w:multiLevelType w:val="hybridMultilevel"/>
    <w:tmpl w:val="179074B0"/>
    <w:lvl w:ilvl="0" w:tplc="08090003">
      <w:start w:val="1"/>
      <w:numFmt w:val="bullet"/>
      <w:lvlText w:val="o"/>
      <w:lvlJc w:val="left"/>
      <w:pPr>
        <w:tabs>
          <w:tab w:val="num" w:pos="1800"/>
        </w:tabs>
        <w:ind w:left="180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29CC3584"/>
    <w:multiLevelType w:val="multilevel"/>
    <w:tmpl w:val="BF7EBC1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color w:val="auto"/>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A3F60CE"/>
    <w:multiLevelType w:val="hybridMultilevel"/>
    <w:tmpl w:val="12442E8C"/>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0"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326707D"/>
    <w:multiLevelType w:val="hybridMultilevel"/>
    <w:tmpl w:val="5826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F9141C"/>
    <w:multiLevelType w:val="hybridMultilevel"/>
    <w:tmpl w:val="A9580EF0"/>
    <w:lvl w:ilvl="0" w:tplc="FFE6D90C">
      <w:start w:val="1"/>
      <w:numFmt w:val="decimal"/>
      <w:lvlText w:val="%1."/>
      <w:lvlJc w:val="left"/>
      <w:pPr>
        <w:tabs>
          <w:tab w:val="num" w:pos="360"/>
        </w:tabs>
        <w:ind w:left="360" w:hanging="360"/>
      </w:pPr>
    </w:lvl>
    <w:lvl w:ilvl="1" w:tplc="3F062DDC">
      <w:numFmt w:val="bullet"/>
      <w:lvlText w:val="–"/>
      <w:lvlJc w:val="left"/>
      <w:pPr>
        <w:tabs>
          <w:tab w:val="num" w:pos="1080"/>
        </w:tabs>
        <w:ind w:left="1080" w:hanging="360"/>
      </w:pPr>
      <w:rPr>
        <w:rFonts w:ascii="Arial" w:hAnsi="Arial" w:cs="Times New Roman"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9232F826">
      <w:start w:val="1"/>
      <w:numFmt w:val="decimal"/>
      <w:lvlText w:val="%4."/>
      <w:lvlJc w:val="left"/>
      <w:pPr>
        <w:tabs>
          <w:tab w:val="num" w:pos="2520"/>
        </w:tabs>
        <w:ind w:left="2520" w:hanging="360"/>
      </w:pPr>
    </w:lvl>
    <w:lvl w:ilvl="4" w:tplc="79E60030">
      <w:start w:val="1"/>
      <w:numFmt w:val="decimal"/>
      <w:lvlText w:val="%5."/>
      <w:lvlJc w:val="left"/>
      <w:pPr>
        <w:tabs>
          <w:tab w:val="num" w:pos="3240"/>
        </w:tabs>
        <w:ind w:left="3240" w:hanging="360"/>
      </w:pPr>
    </w:lvl>
    <w:lvl w:ilvl="5" w:tplc="B1B62F20">
      <w:start w:val="1"/>
      <w:numFmt w:val="decimal"/>
      <w:lvlText w:val="%6."/>
      <w:lvlJc w:val="left"/>
      <w:pPr>
        <w:tabs>
          <w:tab w:val="num" w:pos="3960"/>
        </w:tabs>
        <w:ind w:left="3960" w:hanging="360"/>
      </w:pPr>
    </w:lvl>
    <w:lvl w:ilvl="6" w:tplc="2F4274E8">
      <w:start w:val="1"/>
      <w:numFmt w:val="decimal"/>
      <w:lvlText w:val="%7."/>
      <w:lvlJc w:val="left"/>
      <w:pPr>
        <w:tabs>
          <w:tab w:val="num" w:pos="4680"/>
        </w:tabs>
        <w:ind w:left="4680" w:hanging="360"/>
      </w:pPr>
    </w:lvl>
    <w:lvl w:ilvl="7" w:tplc="75FCA800">
      <w:start w:val="1"/>
      <w:numFmt w:val="decimal"/>
      <w:lvlText w:val="%8."/>
      <w:lvlJc w:val="left"/>
      <w:pPr>
        <w:tabs>
          <w:tab w:val="num" w:pos="5400"/>
        </w:tabs>
        <w:ind w:left="5400" w:hanging="360"/>
      </w:pPr>
    </w:lvl>
    <w:lvl w:ilvl="8" w:tplc="A8206F5E">
      <w:start w:val="1"/>
      <w:numFmt w:val="decimal"/>
      <w:lvlText w:val="%9."/>
      <w:lvlJc w:val="left"/>
      <w:pPr>
        <w:tabs>
          <w:tab w:val="num" w:pos="6120"/>
        </w:tabs>
        <w:ind w:left="6120" w:hanging="360"/>
      </w:pPr>
    </w:lvl>
  </w:abstractNum>
  <w:abstractNum w:abstractNumId="14" w15:restartNumberingAfterBreak="0">
    <w:nsid w:val="3BA72CA3"/>
    <w:multiLevelType w:val="hybridMultilevel"/>
    <w:tmpl w:val="62B65AE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5"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5272229"/>
    <w:multiLevelType w:val="hybridMultilevel"/>
    <w:tmpl w:val="5BF8B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C0AE1"/>
    <w:multiLevelType w:val="hybridMultilevel"/>
    <w:tmpl w:val="14BA85E2"/>
    <w:lvl w:ilvl="0" w:tplc="F7E491C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2"/>
  </w:num>
  <w:num w:numId="3">
    <w:abstractNumId w:val="23"/>
  </w:num>
  <w:num w:numId="4">
    <w:abstractNumId w:val="15"/>
  </w:num>
  <w:num w:numId="5">
    <w:abstractNumId w:val="18"/>
  </w:num>
  <w:num w:numId="6">
    <w:abstractNumId w:val="1"/>
  </w:num>
  <w:num w:numId="7">
    <w:abstractNumId w:val="3"/>
  </w:num>
  <w:num w:numId="8">
    <w:abstractNumId w:val="5"/>
  </w:num>
  <w:num w:numId="9">
    <w:abstractNumId w:val="6"/>
  </w:num>
  <w:num w:numId="10">
    <w:abstractNumId w:val="8"/>
  </w:num>
  <w:num w:numId="11">
    <w:abstractNumId w:val="12"/>
  </w:num>
  <w:num w:numId="12">
    <w:abstractNumId w:val="10"/>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4"/>
  </w:num>
  <w:num w:numId="18">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num>
  <w:num w:numId="21">
    <w:abstractNumId w:val="8"/>
  </w:num>
  <w:num w:numId="22">
    <w:abstractNumId w:val="21"/>
  </w:num>
  <w:num w:numId="23">
    <w:abstractNumId w:val="22"/>
  </w:num>
  <w:num w:numId="24">
    <w:abstractNumId w:val="8"/>
  </w:num>
  <w:num w:numId="25">
    <w:abstractNumId w:val="1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4"/>
  </w:num>
  <w:num w:numId="32">
    <w:abstractNumId w:val="9"/>
  </w:num>
  <w:num w:numId="33">
    <w:abstractNumId w:val="11"/>
  </w:num>
  <w:num w:numId="34">
    <w:abstractNumId w:val="17"/>
  </w:num>
  <w:num w:numId="35">
    <w:abstractNumId w:val="0"/>
  </w:num>
  <w:num w:numId="3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FF"/>
    <w:rsid w:val="00000441"/>
    <w:rsid w:val="00000D6F"/>
    <w:rsid w:val="00000E7E"/>
    <w:rsid w:val="00005088"/>
    <w:rsid w:val="00005706"/>
    <w:rsid w:val="00006590"/>
    <w:rsid w:val="000069A4"/>
    <w:rsid w:val="000069F9"/>
    <w:rsid w:val="0000727D"/>
    <w:rsid w:val="000114E3"/>
    <w:rsid w:val="000119FB"/>
    <w:rsid w:val="00014990"/>
    <w:rsid w:val="00016A22"/>
    <w:rsid w:val="00016E5E"/>
    <w:rsid w:val="00017610"/>
    <w:rsid w:val="000205C6"/>
    <w:rsid w:val="00021FB0"/>
    <w:rsid w:val="000221AA"/>
    <w:rsid w:val="0002331F"/>
    <w:rsid w:val="000234CD"/>
    <w:rsid w:val="00023F26"/>
    <w:rsid w:val="000242D1"/>
    <w:rsid w:val="000249F8"/>
    <w:rsid w:val="00026E82"/>
    <w:rsid w:val="00030676"/>
    <w:rsid w:val="00030714"/>
    <w:rsid w:val="00031A51"/>
    <w:rsid w:val="0003322C"/>
    <w:rsid w:val="00034110"/>
    <w:rsid w:val="00035AC1"/>
    <w:rsid w:val="000368FC"/>
    <w:rsid w:val="000376EE"/>
    <w:rsid w:val="00040222"/>
    <w:rsid w:val="000419D1"/>
    <w:rsid w:val="000421F8"/>
    <w:rsid w:val="0004267F"/>
    <w:rsid w:val="00043262"/>
    <w:rsid w:val="00043A2E"/>
    <w:rsid w:val="00045528"/>
    <w:rsid w:val="00046A1D"/>
    <w:rsid w:val="00047735"/>
    <w:rsid w:val="00050AB3"/>
    <w:rsid w:val="00052063"/>
    <w:rsid w:val="00052B0E"/>
    <w:rsid w:val="00055DDF"/>
    <w:rsid w:val="00057724"/>
    <w:rsid w:val="00061B6A"/>
    <w:rsid w:val="00061C83"/>
    <w:rsid w:val="000649CD"/>
    <w:rsid w:val="00066050"/>
    <w:rsid w:val="0006624B"/>
    <w:rsid w:val="000707AE"/>
    <w:rsid w:val="000711F1"/>
    <w:rsid w:val="00073DA8"/>
    <w:rsid w:val="000755E6"/>
    <w:rsid w:val="000764D3"/>
    <w:rsid w:val="00080A47"/>
    <w:rsid w:val="00082F77"/>
    <w:rsid w:val="00083AB8"/>
    <w:rsid w:val="00083C49"/>
    <w:rsid w:val="00085C5A"/>
    <w:rsid w:val="000862FC"/>
    <w:rsid w:val="00086F6B"/>
    <w:rsid w:val="00087323"/>
    <w:rsid w:val="000879ED"/>
    <w:rsid w:val="00091011"/>
    <w:rsid w:val="000930DE"/>
    <w:rsid w:val="00093649"/>
    <w:rsid w:val="00096246"/>
    <w:rsid w:val="000A0509"/>
    <w:rsid w:val="000A0A6E"/>
    <w:rsid w:val="000A1451"/>
    <w:rsid w:val="000A4016"/>
    <w:rsid w:val="000A6C40"/>
    <w:rsid w:val="000B1027"/>
    <w:rsid w:val="000B54A9"/>
    <w:rsid w:val="000B70D6"/>
    <w:rsid w:val="000B71C6"/>
    <w:rsid w:val="000B7F7A"/>
    <w:rsid w:val="000C04A1"/>
    <w:rsid w:val="000C1488"/>
    <w:rsid w:val="000C194F"/>
    <w:rsid w:val="000C2077"/>
    <w:rsid w:val="000C2222"/>
    <w:rsid w:val="000C58D7"/>
    <w:rsid w:val="000D09ED"/>
    <w:rsid w:val="000D0A87"/>
    <w:rsid w:val="000D0FB1"/>
    <w:rsid w:val="000D11B8"/>
    <w:rsid w:val="000D145B"/>
    <w:rsid w:val="000D6016"/>
    <w:rsid w:val="000D7185"/>
    <w:rsid w:val="000E1CED"/>
    <w:rsid w:val="000E2029"/>
    <w:rsid w:val="000E24BD"/>
    <w:rsid w:val="000E29D1"/>
    <w:rsid w:val="000E3E3B"/>
    <w:rsid w:val="000E4CE0"/>
    <w:rsid w:val="000E5DB1"/>
    <w:rsid w:val="000E5E6F"/>
    <w:rsid w:val="000E6F19"/>
    <w:rsid w:val="000F1795"/>
    <w:rsid w:val="000F1B3B"/>
    <w:rsid w:val="000F1E3F"/>
    <w:rsid w:val="000F3DBC"/>
    <w:rsid w:val="000F48EC"/>
    <w:rsid w:val="000F58EB"/>
    <w:rsid w:val="000F5D8D"/>
    <w:rsid w:val="000F6004"/>
    <w:rsid w:val="001017A9"/>
    <w:rsid w:val="00101F34"/>
    <w:rsid w:val="001030E1"/>
    <w:rsid w:val="001033D5"/>
    <w:rsid w:val="001039F7"/>
    <w:rsid w:val="00105409"/>
    <w:rsid w:val="00105778"/>
    <w:rsid w:val="00107DBD"/>
    <w:rsid w:val="00113666"/>
    <w:rsid w:val="00113AFE"/>
    <w:rsid w:val="00114878"/>
    <w:rsid w:val="001169FE"/>
    <w:rsid w:val="00116D19"/>
    <w:rsid w:val="00117513"/>
    <w:rsid w:val="001179E3"/>
    <w:rsid w:val="00121D48"/>
    <w:rsid w:val="00121E78"/>
    <w:rsid w:val="001230AC"/>
    <w:rsid w:val="00123F4B"/>
    <w:rsid w:val="00124284"/>
    <w:rsid w:val="00124604"/>
    <w:rsid w:val="00125319"/>
    <w:rsid w:val="00125337"/>
    <w:rsid w:val="001265C0"/>
    <w:rsid w:val="00127659"/>
    <w:rsid w:val="00132D31"/>
    <w:rsid w:val="001337B7"/>
    <w:rsid w:val="00133921"/>
    <w:rsid w:val="00133E64"/>
    <w:rsid w:val="001344B3"/>
    <w:rsid w:val="00137CEC"/>
    <w:rsid w:val="00140C93"/>
    <w:rsid w:val="00143536"/>
    <w:rsid w:val="00145B2F"/>
    <w:rsid w:val="00150440"/>
    <w:rsid w:val="00151D8E"/>
    <w:rsid w:val="00154019"/>
    <w:rsid w:val="00154CA6"/>
    <w:rsid w:val="001570BC"/>
    <w:rsid w:val="001579BF"/>
    <w:rsid w:val="001604F3"/>
    <w:rsid w:val="00161AA0"/>
    <w:rsid w:val="001633AF"/>
    <w:rsid w:val="001662BC"/>
    <w:rsid w:val="0017072D"/>
    <w:rsid w:val="00170A9D"/>
    <w:rsid w:val="00170B60"/>
    <w:rsid w:val="00171A2B"/>
    <w:rsid w:val="00172ECD"/>
    <w:rsid w:val="00174BAC"/>
    <w:rsid w:val="00176FB2"/>
    <w:rsid w:val="001771BE"/>
    <w:rsid w:val="001823EB"/>
    <w:rsid w:val="00184862"/>
    <w:rsid w:val="00184A64"/>
    <w:rsid w:val="001855FC"/>
    <w:rsid w:val="00186450"/>
    <w:rsid w:val="0018716E"/>
    <w:rsid w:val="001873CB"/>
    <w:rsid w:val="00187ED4"/>
    <w:rsid w:val="001912E2"/>
    <w:rsid w:val="001916DE"/>
    <w:rsid w:val="00191B56"/>
    <w:rsid w:val="00193945"/>
    <w:rsid w:val="001956FC"/>
    <w:rsid w:val="00195C53"/>
    <w:rsid w:val="00196FE1"/>
    <w:rsid w:val="0019718A"/>
    <w:rsid w:val="001A190E"/>
    <w:rsid w:val="001A1AE2"/>
    <w:rsid w:val="001A4398"/>
    <w:rsid w:val="001A5561"/>
    <w:rsid w:val="001A6E54"/>
    <w:rsid w:val="001A7010"/>
    <w:rsid w:val="001A7DCA"/>
    <w:rsid w:val="001B015F"/>
    <w:rsid w:val="001B2B0B"/>
    <w:rsid w:val="001B2DD8"/>
    <w:rsid w:val="001B2E12"/>
    <w:rsid w:val="001B3AC4"/>
    <w:rsid w:val="001B48C7"/>
    <w:rsid w:val="001B48FC"/>
    <w:rsid w:val="001B6DC9"/>
    <w:rsid w:val="001B7E00"/>
    <w:rsid w:val="001C0D62"/>
    <w:rsid w:val="001C0EF4"/>
    <w:rsid w:val="001C1E86"/>
    <w:rsid w:val="001C3AFF"/>
    <w:rsid w:val="001C59E4"/>
    <w:rsid w:val="001D03CB"/>
    <w:rsid w:val="001D1D43"/>
    <w:rsid w:val="001D29C3"/>
    <w:rsid w:val="001D4FE0"/>
    <w:rsid w:val="001E27E5"/>
    <w:rsid w:val="001E2CAF"/>
    <w:rsid w:val="001E4D37"/>
    <w:rsid w:val="001F1179"/>
    <w:rsid w:val="001F1400"/>
    <w:rsid w:val="001F3624"/>
    <w:rsid w:val="001F6078"/>
    <w:rsid w:val="001F6C92"/>
    <w:rsid w:val="001F7251"/>
    <w:rsid w:val="00202554"/>
    <w:rsid w:val="00204F82"/>
    <w:rsid w:val="0020504D"/>
    <w:rsid w:val="00210518"/>
    <w:rsid w:val="0021081C"/>
    <w:rsid w:val="002119CD"/>
    <w:rsid w:val="002159C9"/>
    <w:rsid w:val="0021742A"/>
    <w:rsid w:val="00217FB0"/>
    <w:rsid w:val="002218BC"/>
    <w:rsid w:val="00222B1E"/>
    <w:rsid w:val="00222BEA"/>
    <w:rsid w:val="002253A5"/>
    <w:rsid w:val="00225439"/>
    <w:rsid w:val="00225F9B"/>
    <w:rsid w:val="002275CD"/>
    <w:rsid w:val="00227882"/>
    <w:rsid w:val="0023161D"/>
    <w:rsid w:val="00232061"/>
    <w:rsid w:val="0023310B"/>
    <w:rsid w:val="00235945"/>
    <w:rsid w:val="00235CAB"/>
    <w:rsid w:val="00241084"/>
    <w:rsid w:val="002459F5"/>
    <w:rsid w:val="00245AD7"/>
    <w:rsid w:val="0025267F"/>
    <w:rsid w:val="002539E0"/>
    <w:rsid w:val="00253EB9"/>
    <w:rsid w:val="00254091"/>
    <w:rsid w:val="002555BE"/>
    <w:rsid w:val="00255679"/>
    <w:rsid w:val="00255ACA"/>
    <w:rsid w:val="00257B1C"/>
    <w:rsid w:val="002601F4"/>
    <w:rsid w:val="002614EA"/>
    <w:rsid w:val="002646DF"/>
    <w:rsid w:val="002653C6"/>
    <w:rsid w:val="0026566D"/>
    <w:rsid w:val="00265B0E"/>
    <w:rsid w:val="002667E2"/>
    <w:rsid w:val="00270EC3"/>
    <w:rsid w:val="00271FA7"/>
    <w:rsid w:val="002767EA"/>
    <w:rsid w:val="00280128"/>
    <w:rsid w:val="0028148E"/>
    <w:rsid w:val="00282C30"/>
    <w:rsid w:val="00282D7E"/>
    <w:rsid w:val="00290445"/>
    <w:rsid w:val="002915D3"/>
    <w:rsid w:val="00292044"/>
    <w:rsid w:val="0029267C"/>
    <w:rsid w:val="00293811"/>
    <w:rsid w:val="0029585E"/>
    <w:rsid w:val="002A151A"/>
    <w:rsid w:val="002A2687"/>
    <w:rsid w:val="002A2D12"/>
    <w:rsid w:val="002A3148"/>
    <w:rsid w:val="002A5C23"/>
    <w:rsid w:val="002A686F"/>
    <w:rsid w:val="002B0D28"/>
    <w:rsid w:val="002B2526"/>
    <w:rsid w:val="002B3340"/>
    <w:rsid w:val="002B5772"/>
    <w:rsid w:val="002B6D1D"/>
    <w:rsid w:val="002B7521"/>
    <w:rsid w:val="002C0551"/>
    <w:rsid w:val="002C15AB"/>
    <w:rsid w:val="002C257D"/>
    <w:rsid w:val="002C2774"/>
    <w:rsid w:val="002C381D"/>
    <w:rsid w:val="002C4E3E"/>
    <w:rsid w:val="002C7B49"/>
    <w:rsid w:val="002D2FC4"/>
    <w:rsid w:val="002D440C"/>
    <w:rsid w:val="002D7602"/>
    <w:rsid w:val="002D79A7"/>
    <w:rsid w:val="002E3F68"/>
    <w:rsid w:val="002E3FA1"/>
    <w:rsid w:val="002E5C16"/>
    <w:rsid w:val="002E73E7"/>
    <w:rsid w:val="002F0AA7"/>
    <w:rsid w:val="002F1B28"/>
    <w:rsid w:val="002F2583"/>
    <w:rsid w:val="002F279A"/>
    <w:rsid w:val="002F2C1A"/>
    <w:rsid w:val="002F4F5B"/>
    <w:rsid w:val="002F68FE"/>
    <w:rsid w:val="002F7E3E"/>
    <w:rsid w:val="00300DF8"/>
    <w:rsid w:val="00303156"/>
    <w:rsid w:val="00307990"/>
    <w:rsid w:val="003107AB"/>
    <w:rsid w:val="0031127A"/>
    <w:rsid w:val="00311A01"/>
    <w:rsid w:val="00314B6C"/>
    <w:rsid w:val="003154E8"/>
    <w:rsid w:val="00315C29"/>
    <w:rsid w:val="0031664C"/>
    <w:rsid w:val="0032214B"/>
    <w:rsid w:val="00322EB8"/>
    <w:rsid w:val="00324997"/>
    <w:rsid w:val="003256B1"/>
    <w:rsid w:val="003257B4"/>
    <w:rsid w:val="00331180"/>
    <w:rsid w:val="00331545"/>
    <w:rsid w:val="003330E6"/>
    <w:rsid w:val="0033333E"/>
    <w:rsid w:val="00335995"/>
    <w:rsid w:val="003368C0"/>
    <w:rsid w:val="00341AED"/>
    <w:rsid w:val="00343439"/>
    <w:rsid w:val="00343B53"/>
    <w:rsid w:val="003459E9"/>
    <w:rsid w:val="00346BA7"/>
    <w:rsid w:val="0034772E"/>
    <w:rsid w:val="003512B1"/>
    <w:rsid w:val="0035135A"/>
    <w:rsid w:val="00352340"/>
    <w:rsid w:val="00353611"/>
    <w:rsid w:val="00354915"/>
    <w:rsid w:val="0035500B"/>
    <w:rsid w:val="00355168"/>
    <w:rsid w:val="003612BF"/>
    <w:rsid w:val="00364C50"/>
    <w:rsid w:val="00364E30"/>
    <w:rsid w:val="00370214"/>
    <w:rsid w:val="00372031"/>
    <w:rsid w:val="003738C2"/>
    <w:rsid w:val="003754C9"/>
    <w:rsid w:val="00377856"/>
    <w:rsid w:val="00383594"/>
    <w:rsid w:val="003847B9"/>
    <w:rsid w:val="00385867"/>
    <w:rsid w:val="00385E85"/>
    <w:rsid w:val="00386586"/>
    <w:rsid w:val="00387338"/>
    <w:rsid w:val="00387846"/>
    <w:rsid w:val="00387CD1"/>
    <w:rsid w:val="0039118D"/>
    <w:rsid w:val="00391273"/>
    <w:rsid w:val="00391AC8"/>
    <w:rsid w:val="00392FB4"/>
    <w:rsid w:val="00393137"/>
    <w:rsid w:val="003947AB"/>
    <w:rsid w:val="00394DFF"/>
    <w:rsid w:val="00395C05"/>
    <w:rsid w:val="00397208"/>
    <w:rsid w:val="003A0250"/>
    <w:rsid w:val="003A0357"/>
    <w:rsid w:val="003A04CD"/>
    <w:rsid w:val="003A11AB"/>
    <w:rsid w:val="003A1322"/>
    <w:rsid w:val="003A1F14"/>
    <w:rsid w:val="003A3974"/>
    <w:rsid w:val="003A5838"/>
    <w:rsid w:val="003A5DFB"/>
    <w:rsid w:val="003B0BC2"/>
    <w:rsid w:val="003B37BB"/>
    <w:rsid w:val="003B42B4"/>
    <w:rsid w:val="003B5E66"/>
    <w:rsid w:val="003C0FFD"/>
    <w:rsid w:val="003C36AC"/>
    <w:rsid w:val="003C449E"/>
    <w:rsid w:val="003C4D86"/>
    <w:rsid w:val="003C6822"/>
    <w:rsid w:val="003C7EF9"/>
    <w:rsid w:val="003D0306"/>
    <w:rsid w:val="003D0FF3"/>
    <w:rsid w:val="003D5A17"/>
    <w:rsid w:val="003D5AB6"/>
    <w:rsid w:val="003D68D5"/>
    <w:rsid w:val="003D7050"/>
    <w:rsid w:val="003D74C8"/>
    <w:rsid w:val="003D77F3"/>
    <w:rsid w:val="003D7824"/>
    <w:rsid w:val="003E07D7"/>
    <w:rsid w:val="003E14CF"/>
    <w:rsid w:val="003E2D47"/>
    <w:rsid w:val="003E684C"/>
    <w:rsid w:val="003E6B83"/>
    <w:rsid w:val="003E7AD0"/>
    <w:rsid w:val="003F03C3"/>
    <w:rsid w:val="003F04B1"/>
    <w:rsid w:val="003F168A"/>
    <w:rsid w:val="003F400E"/>
    <w:rsid w:val="00400E14"/>
    <w:rsid w:val="00401341"/>
    <w:rsid w:val="004037A0"/>
    <w:rsid w:val="00407D59"/>
    <w:rsid w:val="00413DB8"/>
    <w:rsid w:val="00414736"/>
    <w:rsid w:val="0041525E"/>
    <w:rsid w:val="00415939"/>
    <w:rsid w:val="00415F34"/>
    <w:rsid w:val="004205A8"/>
    <w:rsid w:val="00420742"/>
    <w:rsid w:val="00421005"/>
    <w:rsid w:val="004236A8"/>
    <w:rsid w:val="00426579"/>
    <w:rsid w:val="00426C37"/>
    <w:rsid w:val="00431372"/>
    <w:rsid w:val="00433564"/>
    <w:rsid w:val="00433784"/>
    <w:rsid w:val="00437CA3"/>
    <w:rsid w:val="0044027B"/>
    <w:rsid w:val="004408F8"/>
    <w:rsid w:val="0044160D"/>
    <w:rsid w:val="00442FDF"/>
    <w:rsid w:val="0044636B"/>
    <w:rsid w:val="0044648F"/>
    <w:rsid w:val="00446DA2"/>
    <w:rsid w:val="00454F30"/>
    <w:rsid w:val="00455D97"/>
    <w:rsid w:val="00457843"/>
    <w:rsid w:val="00462002"/>
    <w:rsid w:val="0046212F"/>
    <w:rsid w:val="00462733"/>
    <w:rsid w:val="00463227"/>
    <w:rsid w:val="00463770"/>
    <w:rsid w:val="00463973"/>
    <w:rsid w:val="00466674"/>
    <w:rsid w:val="00471113"/>
    <w:rsid w:val="00471200"/>
    <w:rsid w:val="00472FF8"/>
    <w:rsid w:val="00475F03"/>
    <w:rsid w:val="004804B3"/>
    <w:rsid w:val="00480EDC"/>
    <w:rsid w:val="00480F22"/>
    <w:rsid w:val="00481E06"/>
    <w:rsid w:val="004820E9"/>
    <w:rsid w:val="004826D9"/>
    <w:rsid w:val="004826F3"/>
    <w:rsid w:val="00483119"/>
    <w:rsid w:val="004831EF"/>
    <w:rsid w:val="0048361F"/>
    <w:rsid w:val="004845D0"/>
    <w:rsid w:val="004852FF"/>
    <w:rsid w:val="00486D3A"/>
    <w:rsid w:val="004872CA"/>
    <w:rsid w:val="00491AFC"/>
    <w:rsid w:val="00492FDA"/>
    <w:rsid w:val="00494E73"/>
    <w:rsid w:val="004A2830"/>
    <w:rsid w:val="004B514C"/>
    <w:rsid w:val="004B582C"/>
    <w:rsid w:val="004B7D57"/>
    <w:rsid w:val="004C00D8"/>
    <w:rsid w:val="004C2B2B"/>
    <w:rsid w:val="004C3DAD"/>
    <w:rsid w:val="004C4E71"/>
    <w:rsid w:val="004C51D0"/>
    <w:rsid w:val="004C555F"/>
    <w:rsid w:val="004C5923"/>
    <w:rsid w:val="004C6116"/>
    <w:rsid w:val="004C7C61"/>
    <w:rsid w:val="004C7CE4"/>
    <w:rsid w:val="004D0DFD"/>
    <w:rsid w:val="004D1FBE"/>
    <w:rsid w:val="004D4A86"/>
    <w:rsid w:val="004D7664"/>
    <w:rsid w:val="004E074F"/>
    <w:rsid w:val="004E366E"/>
    <w:rsid w:val="004E6427"/>
    <w:rsid w:val="004E6B7D"/>
    <w:rsid w:val="004E7625"/>
    <w:rsid w:val="004E7E43"/>
    <w:rsid w:val="004F1956"/>
    <w:rsid w:val="004F2C38"/>
    <w:rsid w:val="004F3601"/>
    <w:rsid w:val="004F5FC6"/>
    <w:rsid w:val="004F69FA"/>
    <w:rsid w:val="004F6E02"/>
    <w:rsid w:val="004F7244"/>
    <w:rsid w:val="004F77F9"/>
    <w:rsid w:val="00500BF7"/>
    <w:rsid w:val="00502CC8"/>
    <w:rsid w:val="005037B2"/>
    <w:rsid w:val="00503B99"/>
    <w:rsid w:val="0050455E"/>
    <w:rsid w:val="005047AD"/>
    <w:rsid w:val="00510B1D"/>
    <w:rsid w:val="0051107D"/>
    <w:rsid w:val="00511167"/>
    <w:rsid w:val="00513C05"/>
    <w:rsid w:val="00516497"/>
    <w:rsid w:val="005169E5"/>
    <w:rsid w:val="00525988"/>
    <w:rsid w:val="00525E48"/>
    <w:rsid w:val="00526C07"/>
    <w:rsid w:val="005273A6"/>
    <w:rsid w:val="00527533"/>
    <w:rsid w:val="00527E61"/>
    <w:rsid w:val="00527E88"/>
    <w:rsid w:val="00531B39"/>
    <w:rsid w:val="005322B1"/>
    <w:rsid w:val="0053387C"/>
    <w:rsid w:val="00533B86"/>
    <w:rsid w:val="00534F74"/>
    <w:rsid w:val="005356BF"/>
    <w:rsid w:val="00536789"/>
    <w:rsid w:val="00536D2F"/>
    <w:rsid w:val="0053786E"/>
    <w:rsid w:val="00537D18"/>
    <w:rsid w:val="00537D99"/>
    <w:rsid w:val="00537E80"/>
    <w:rsid w:val="00540052"/>
    <w:rsid w:val="0054146B"/>
    <w:rsid w:val="00542880"/>
    <w:rsid w:val="00543DB4"/>
    <w:rsid w:val="00543E08"/>
    <w:rsid w:val="0054456C"/>
    <w:rsid w:val="005449AD"/>
    <w:rsid w:val="00545592"/>
    <w:rsid w:val="00546F0A"/>
    <w:rsid w:val="005505ED"/>
    <w:rsid w:val="00551885"/>
    <w:rsid w:val="005524EF"/>
    <w:rsid w:val="005532BA"/>
    <w:rsid w:val="00564B04"/>
    <w:rsid w:val="00570524"/>
    <w:rsid w:val="00571E4A"/>
    <w:rsid w:val="00573051"/>
    <w:rsid w:val="00573059"/>
    <w:rsid w:val="00574536"/>
    <w:rsid w:val="00575CA5"/>
    <w:rsid w:val="0057621E"/>
    <w:rsid w:val="00577B05"/>
    <w:rsid w:val="00580D6F"/>
    <w:rsid w:val="005812C6"/>
    <w:rsid w:val="0058382A"/>
    <w:rsid w:val="00584B28"/>
    <w:rsid w:val="00585D73"/>
    <w:rsid w:val="00586652"/>
    <w:rsid w:val="00586C9B"/>
    <w:rsid w:val="00590A2E"/>
    <w:rsid w:val="005919F4"/>
    <w:rsid w:val="00591D2A"/>
    <w:rsid w:val="005922A7"/>
    <w:rsid w:val="005944BD"/>
    <w:rsid w:val="005948FA"/>
    <w:rsid w:val="005959BE"/>
    <w:rsid w:val="00596210"/>
    <w:rsid w:val="00596286"/>
    <w:rsid w:val="00596999"/>
    <w:rsid w:val="005A0D26"/>
    <w:rsid w:val="005A0F31"/>
    <w:rsid w:val="005A28A1"/>
    <w:rsid w:val="005A328E"/>
    <w:rsid w:val="005A3D49"/>
    <w:rsid w:val="005A46D0"/>
    <w:rsid w:val="005A6FB5"/>
    <w:rsid w:val="005B0A48"/>
    <w:rsid w:val="005B25E4"/>
    <w:rsid w:val="005B30C8"/>
    <w:rsid w:val="005B4D00"/>
    <w:rsid w:val="005B7778"/>
    <w:rsid w:val="005C051F"/>
    <w:rsid w:val="005C5240"/>
    <w:rsid w:val="005C6E7B"/>
    <w:rsid w:val="005C762E"/>
    <w:rsid w:val="005D07D1"/>
    <w:rsid w:val="005D098C"/>
    <w:rsid w:val="005D0D53"/>
    <w:rsid w:val="005D1AEF"/>
    <w:rsid w:val="005D3FD9"/>
    <w:rsid w:val="005D60FB"/>
    <w:rsid w:val="005E2139"/>
    <w:rsid w:val="005E21A9"/>
    <w:rsid w:val="005E46BB"/>
    <w:rsid w:val="005E7605"/>
    <w:rsid w:val="005E7E96"/>
    <w:rsid w:val="005F1507"/>
    <w:rsid w:val="005F3033"/>
    <w:rsid w:val="005F337D"/>
    <w:rsid w:val="005F548C"/>
    <w:rsid w:val="006001CC"/>
    <w:rsid w:val="006009B9"/>
    <w:rsid w:val="00602B4D"/>
    <w:rsid w:val="00603C94"/>
    <w:rsid w:val="006048E0"/>
    <w:rsid w:val="00604FAD"/>
    <w:rsid w:val="0060662A"/>
    <w:rsid w:val="006076A4"/>
    <w:rsid w:val="006123C2"/>
    <w:rsid w:val="00612789"/>
    <w:rsid w:val="00613D24"/>
    <w:rsid w:val="00614BDA"/>
    <w:rsid w:val="00616CCC"/>
    <w:rsid w:val="00617982"/>
    <w:rsid w:val="00621AFB"/>
    <w:rsid w:val="00623CC5"/>
    <w:rsid w:val="006244CF"/>
    <w:rsid w:val="0062589A"/>
    <w:rsid w:val="00625ED9"/>
    <w:rsid w:val="006307C7"/>
    <w:rsid w:val="00632B82"/>
    <w:rsid w:val="006331B4"/>
    <w:rsid w:val="006339BD"/>
    <w:rsid w:val="006343F3"/>
    <w:rsid w:val="00634596"/>
    <w:rsid w:val="006356DB"/>
    <w:rsid w:val="00640077"/>
    <w:rsid w:val="00640CF2"/>
    <w:rsid w:val="006417D6"/>
    <w:rsid w:val="00642906"/>
    <w:rsid w:val="00643582"/>
    <w:rsid w:val="00643766"/>
    <w:rsid w:val="006439E4"/>
    <w:rsid w:val="00643B75"/>
    <w:rsid w:val="006457EF"/>
    <w:rsid w:val="00650F96"/>
    <w:rsid w:val="006512B7"/>
    <w:rsid w:val="00651782"/>
    <w:rsid w:val="00651C22"/>
    <w:rsid w:val="006547E8"/>
    <w:rsid w:val="00655679"/>
    <w:rsid w:val="00655B4D"/>
    <w:rsid w:val="00655ED5"/>
    <w:rsid w:val="00656753"/>
    <w:rsid w:val="00657C64"/>
    <w:rsid w:val="00665734"/>
    <w:rsid w:val="0066683A"/>
    <w:rsid w:val="0067041D"/>
    <w:rsid w:val="00671977"/>
    <w:rsid w:val="00671D80"/>
    <w:rsid w:val="00672EFB"/>
    <w:rsid w:val="006739CF"/>
    <w:rsid w:val="0067752C"/>
    <w:rsid w:val="006776A2"/>
    <w:rsid w:val="006801A6"/>
    <w:rsid w:val="0068124B"/>
    <w:rsid w:val="00681610"/>
    <w:rsid w:val="006842BD"/>
    <w:rsid w:val="00684AD6"/>
    <w:rsid w:val="00685BEC"/>
    <w:rsid w:val="00685D15"/>
    <w:rsid w:val="00685D36"/>
    <w:rsid w:val="00687100"/>
    <w:rsid w:val="00687304"/>
    <w:rsid w:val="006874D0"/>
    <w:rsid w:val="00691113"/>
    <w:rsid w:val="00692C71"/>
    <w:rsid w:val="006931A0"/>
    <w:rsid w:val="006935BC"/>
    <w:rsid w:val="00694393"/>
    <w:rsid w:val="00696E55"/>
    <w:rsid w:val="006A0B0E"/>
    <w:rsid w:val="006A13CF"/>
    <w:rsid w:val="006A3A9C"/>
    <w:rsid w:val="006A3CC5"/>
    <w:rsid w:val="006A721F"/>
    <w:rsid w:val="006A7CCF"/>
    <w:rsid w:val="006A7EF8"/>
    <w:rsid w:val="006B004F"/>
    <w:rsid w:val="006B0581"/>
    <w:rsid w:val="006B0F36"/>
    <w:rsid w:val="006B25ED"/>
    <w:rsid w:val="006B2EA7"/>
    <w:rsid w:val="006B30FD"/>
    <w:rsid w:val="006B4254"/>
    <w:rsid w:val="006B5CB4"/>
    <w:rsid w:val="006B5E10"/>
    <w:rsid w:val="006B6DCF"/>
    <w:rsid w:val="006B791B"/>
    <w:rsid w:val="006C0B75"/>
    <w:rsid w:val="006C1E0F"/>
    <w:rsid w:val="006C313E"/>
    <w:rsid w:val="006C3B8A"/>
    <w:rsid w:val="006C4793"/>
    <w:rsid w:val="006C6B04"/>
    <w:rsid w:val="006C7EF3"/>
    <w:rsid w:val="006D36FB"/>
    <w:rsid w:val="006D42ED"/>
    <w:rsid w:val="006D4D1A"/>
    <w:rsid w:val="006D60B6"/>
    <w:rsid w:val="006D73F1"/>
    <w:rsid w:val="006E14DF"/>
    <w:rsid w:val="006E2A29"/>
    <w:rsid w:val="006E3514"/>
    <w:rsid w:val="006E3784"/>
    <w:rsid w:val="006E4BE4"/>
    <w:rsid w:val="006E7421"/>
    <w:rsid w:val="006E7647"/>
    <w:rsid w:val="006F02CE"/>
    <w:rsid w:val="006F162C"/>
    <w:rsid w:val="006F1ABD"/>
    <w:rsid w:val="006F1DA8"/>
    <w:rsid w:val="006F22E9"/>
    <w:rsid w:val="006F3D60"/>
    <w:rsid w:val="006F4CFA"/>
    <w:rsid w:val="006F5310"/>
    <w:rsid w:val="006F696E"/>
    <w:rsid w:val="006F6B91"/>
    <w:rsid w:val="007040CB"/>
    <w:rsid w:val="00704C75"/>
    <w:rsid w:val="0070523B"/>
    <w:rsid w:val="00706209"/>
    <w:rsid w:val="00707754"/>
    <w:rsid w:val="00707D16"/>
    <w:rsid w:val="00713A7A"/>
    <w:rsid w:val="007146D2"/>
    <w:rsid w:val="00715E8A"/>
    <w:rsid w:val="00717226"/>
    <w:rsid w:val="00717B5F"/>
    <w:rsid w:val="00720FDD"/>
    <w:rsid w:val="00722883"/>
    <w:rsid w:val="00723AF0"/>
    <w:rsid w:val="00725783"/>
    <w:rsid w:val="00727911"/>
    <w:rsid w:val="0073007E"/>
    <w:rsid w:val="007311E2"/>
    <w:rsid w:val="00732519"/>
    <w:rsid w:val="0073365B"/>
    <w:rsid w:val="00734F5A"/>
    <w:rsid w:val="00735556"/>
    <w:rsid w:val="0073579D"/>
    <w:rsid w:val="0073635F"/>
    <w:rsid w:val="00736D97"/>
    <w:rsid w:val="00736F1E"/>
    <w:rsid w:val="00737CEF"/>
    <w:rsid w:val="00737DDA"/>
    <w:rsid w:val="00737ED7"/>
    <w:rsid w:val="00740818"/>
    <w:rsid w:val="0074274F"/>
    <w:rsid w:val="00743569"/>
    <w:rsid w:val="00743C36"/>
    <w:rsid w:val="007451B5"/>
    <w:rsid w:val="00746B57"/>
    <w:rsid w:val="00747D90"/>
    <w:rsid w:val="007501B9"/>
    <w:rsid w:val="00751CB9"/>
    <w:rsid w:val="00751D06"/>
    <w:rsid w:val="00752DB3"/>
    <w:rsid w:val="00753C31"/>
    <w:rsid w:val="00754A22"/>
    <w:rsid w:val="00754AEF"/>
    <w:rsid w:val="0075624F"/>
    <w:rsid w:val="007562A9"/>
    <w:rsid w:val="00756388"/>
    <w:rsid w:val="00756C54"/>
    <w:rsid w:val="00756D96"/>
    <w:rsid w:val="007620C2"/>
    <w:rsid w:val="00763641"/>
    <w:rsid w:val="007665C2"/>
    <w:rsid w:val="00766805"/>
    <w:rsid w:val="007668BA"/>
    <w:rsid w:val="00770596"/>
    <w:rsid w:val="007710F4"/>
    <w:rsid w:val="007711FD"/>
    <w:rsid w:val="0077277D"/>
    <w:rsid w:val="007747D4"/>
    <w:rsid w:val="00774963"/>
    <w:rsid w:val="00774E4C"/>
    <w:rsid w:val="00781B7F"/>
    <w:rsid w:val="007827BA"/>
    <w:rsid w:val="00782DCB"/>
    <w:rsid w:val="007835B2"/>
    <w:rsid w:val="00784156"/>
    <w:rsid w:val="00784346"/>
    <w:rsid w:val="00785FF1"/>
    <w:rsid w:val="007865F3"/>
    <w:rsid w:val="007933B3"/>
    <w:rsid w:val="0079444A"/>
    <w:rsid w:val="00794D72"/>
    <w:rsid w:val="00797281"/>
    <w:rsid w:val="007A048E"/>
    <w:rsid w:val="007A19AF"/>
    <w:rsid w:val="007A1E9D"/>
    <w:rsid w:val="007A2801"/>
    <w:rsid w:val="007A3E08"/>
    <w:rsid w:val="007A4EEE"/>
    <w:rsid w:val="007A6AE2"/>
    <w:rsid w:val="007A6DAA"/>
    <w:rsid w:val="007A7EC8"/>
    <w:rsid w:val="007B032C"/>
    <w:rsid w:val="007B1AF8"/>
    <w:rsid w:val="007B2A16"/>
    <w:rsid w:val="007B3B80"/>
    <w:rsid w:val="007B4B3F"/>
    <w:rsid w:val="007B665D"/>
    <w:rsid w:val="007B787D"/>
    <w:rsid w:val="007B7B7B"/>
    <w:rsid w:val="007C2E8D"/>
    <w:rsid w:val="007C3165"/>
    <w:rsid w:val="007C3206"/>
    <w:rsid w:val="007C394C"/>
    <w:rsid w:val="007C58D6"/>
    <w:rsid w:val="007C732D"/>
    <w:rsid w:val="007D1008"/>
    <w:rsid w:val="007D137E"/>
    <w:rsid w:val="007D5B27"/>
    <w:rsid w:val="007D5C80"/>
    <w:rsid w:val="007D62AE"/>
    <w:rsid w:val="007D7A3E"/>
    <w:rsid w:val="007E013D"/>
    <w:rsid w:val="007E06EB"/>
    <w:rsid w:val="007E0D0B"/>
    <w:rsid w:val="007E12A4"/>
    <w:rsid w:val="007E2754"/>
    <w:rsid w:val="007E5818"/>
    <w:rsid w:val="007E61A7"/>
    <w:rsid w:val="007E65D7"/>
    <w:rsid w:val="007E77F1"/>
    <w:rsid w:val="007F06C9"/>
    <w:rsid w:val="007F1E42"/>
    <w:rsid w:val="007F227E"/>
    <w:rsid w:val="0080089C"/>
    <w:rsid w:val="00800B86"/>
    <w:rsid w:val="00803318"/>
    <w:rsid w:val="00803456"/>
    <w:rsid w:val="0080390A"/>
    <w:rsid w:val="008070B2"/>
    <w:rsid w:val="00811BBD"/>
    <w:rsid w:val="00812976"/>
    <w:rsid w:val="00814DEF"/>
    <w:rsid w:val="0082239E"/>
    <w:rsid w:val="008257AB"/>
    <w:rsid w:val="00825A87"/>
    <w:rsid w:val="00827CEB"/>
    <w:rsid w:val="00830A33"/>
    <w:rsid w:val="00831B9B"/>
    <w:rsid w:val="00832077"/>
    <w:rsid w:val="00835008"/>
    <w:rsid w:val="00837365"/>
    <w:rsid w:val="00842A7E"/>
    <w:rsid w:val="00842B7C"/>
    <w:rsid w:val="008431AE"/>
    <w:rsid w:val="0084460F"/>
    <w:rsid w:val="00844D3D"/>
    <w:rsid w:val="0084532E"/>
    <w:rsid w:val="00845810"/>
    <w:rsid w:val="00845F3C"/>
    <w:rsid w:val="00846159"/>
    <w:rsid w:val="008505C3"/>
    <w:rsid w:val="008514BF"/>
    <w:rsid w:val="00851677"/>
    <w:rsid w:val="008517FD"/>
    <w:rsid w:val="008522C6"/>
    <w:rsid w:val="00852E40"/>
    <w:rsid w:val="008535F9"/>
    <w:rsid w:val="00857171"/>
    <w:rsid w:val="00857A90"/>
    <w:rsid w:val="00857CDD"/>
    <w:rsid w:val="00860EA8"/>
    <w:rsid w:val="00860F78"/>
    <w:rsid w:val="008630C4"/>
    <w:rsid w:val="0086472B"/>
    <w:rsid w:val="008727EF"/>
    <w:rsid w:val="0087368E"/>
    <w:rsid w:val="008742A9"/>
    <w:rsid w:val="008802D9"/>
    <w:rsid w:val="00880896"/>
    <w:rsid w:val="00880B98"/>
    <w:rsid w:val="00880F3B"/>
    <w:rsid w:val="00881F26"/>
    <w:rsid w:val="00882C33"/>
    <w:rsid w:val="00882F82"/>
    <w:rsid w:val="008838A1"/>
    <w:rsid w:val="0088685E"/>
    <w:rsid w:val="0088689E"/>
    <w:rsid w:val="00886DC4"/>
    <w:rsid w:val="00891794"/>
    <w:rsid w:val="00891929"/>
    <w:rsid w:val="00892CFA"/>
    <w:rsid w:val="00893176"/>
    <w:rsid w:val="00895446"/>
    <w:rsid w:val="008955C5"/>
    <w:rsid w:val="00897BD7"/>
    <w:rsid w:val="008A05E4"/>
    <w:rsid w:val="008A2098"/>
    <w:rsid w:val="008A32D1"/>
    <w:rsid w:val="008A52B3"/>
    <w:rsid w:val="008A7067"/>
    <w:rsid w:val="008B03D8"/>
    <w:rsid w:val="008B058B"/>
    <w:rsid w:val="008B0BA6"/>
    <w:rsid w:val="008B4290"/>
    <w:rsid w:val="008B55F1"/>
    <w:rsid w:val="008B61CD"/>
    <w:rsid w:val="008C0C5D"/>
    <w:rsid w:val="008C1EB8"/>
    <w:rsid w:val="008C4A61"/>
    <w:rsid w:val="008C4CB3"/>
    <w:rsid w:val="008C4F0F"/>
    <w:rsid w:val="008C57B3"/>
    <w:rsid w:val="008C6CFD"/>
    <w:rsid w:val="008C7D07"/>
    <w:rsid w:val="008C7F38"/>
    <w:rsid w:val="008D3B9E"/>
    <w:rsid w:val="008D55C9"/>
    <w:rsid w:val="008E3412"/>
    <w:rsid w:val="008E4470"/>
    <w:rsid w:val="008E7460"/>
    <w:rsid w:val="008E7585"/>
    <w:rsid w:val="008F02C2"/>
    <w:rsid w:val="008F0633"/>
    <w:rsid w:val="008F2E5C"/>
    <w:rsid w:val="008F33DF"/>
    <w:rsid w:val="008F517C"/>
    <w:rsid w:val="008F646F"/>
    <w:rsid w:val="009025BC"/>
    <w:rsid w:val="00906982"/>
    <w:rsid w:val="009076D0"/>
    <w:rsid w:val="00910D65"/>
    <w:rsid w:val="0091178E"/>
    <w:rsid w:val="00914F38"/>
    <w:rsid w:val="0091750B"/>
    <w:rsid w:val="00917677"/>
    <w:rsid w:val="0091776B"/>
    <w:rsid w:val="00920396"/>
    <w:rsid w:val="00920D5F"/>
    <w:rsid w:val="00925D58"/>
    <w:rsid w:val="0092617C"/>
    <w:rsid w:val="0092657D"/>
    <w:rsid w:val="0093278D"/>
    <w:rsid w:val="00932B67"/>
    <w:rsid w:val="00934695"/>
    <w:rsid w:val="00935018"/>
    <w:rsid w:val="0093671F"/>
    <w:rsid w:val="00937D0C"/>
    <w:rsid w:val="00937F0D"/>
    <w:rsid w:val="00941D1F"/>
    <w:rsid w:val="0094366C"/>
    <w:rsid w:val="0094666B"/>
    <w:rsid w:val="00947765"/>
    <w:rsid w:val="009479C0"/>
    <w:rsid w:val="00950914"/>
    <w:rsid w:val="00950C51"/>
    <w:rsid w:val="00951973"/>
    <w:rsid w:val="0095252E"/>
    <w:rsid w:val="00952591"/>
    <w:rsid w:val="00952C90"/>
    <w:rsid w:val="00953ADF"/>
    <w:rsid w:val="00953B55"/>
    <w:rsid w:val="0095579B"/>
    <w:rsid w:val="009564E5"/>
    <w:rsid w:val="00957E73"/>
    <w:rsid w:val="009602B0"/>
    <w:rsid w:val="0096135C"/>
    <w:rsid w:val="00964B2F"/>
    <w:rsid w:val="009650D6"/>
    <w:rsid w:val="00965584"/>
    <w:rsid w:val="00967832"/>
    <w:rsid w:val="0097173A"/>
    <w:rsid w:val="009746D7"/>
    <w:rsid w:val="00974BF3"/>
    <w:rsid w:val="009757A3"/>
    <w:rsid w:val="009761BB"/>
    <w:rsid w:val="009765AC"/>
    <w:rsid w:val="00977A8F"/>
    <w:rsid w:val="00977B8E"/>
    <w:rsid w:val="00977C75"/>
    <w:rsid w:val="009808B4"/>
    <w:rsid w:val="00980F1A"/>
    <w:rsid w:val="00980F71"/>
    <w:rsid w:val="00983391"/>
    <w:rsid w:val="00983A32"/>
    <w:rsid w:val="00984821"/>
    <w:rsid w:val="00985AD6"/>
    <w:rsid w:val="00991660"/>
    <w:rsid w:val="00991B59"/>
    <w:rsid w:val="009937F3"/>
    <w:rsid w:val="0099478C"/>
    <w:rsid w:val="009961A7"/>
    <w:rsid w:val="0099716A"/>
    <w:rsid w:val="00997AE9"/>
    <w:rsid w:val="00997F4F"/>
    <w:rsid w:val="009A0593"/>
    <w:rsid w:val="009A2797"/>
    <w:rsid w:val="009A2C14"/>
    <w:rsid w:val="009A3D97"/>
    <w:rsid w:val="009A3ED6"/>
    <w:rsid w:val="009A598B"/>
    <w:rsid w:val="009A698B"/>
    <w:rsid w:val="009B2A48"/>
    <w:rsid w:val="009B2D86"/>
    <w:rsid w:val="009B3F94"/>
    <w:rsid w:val="009B4B02"/>
    <w:rsid w:val="009B52E9"/>
    <w:rsid w:val="009B5D34"/>
    <w:rsid w:val="009B5E70"/>
    <w:rsid w:val="009B621A"/>
    <w:rsid w:val="009B672F"/>
    <w:rsid w:val="009B6EAB"/>
    <w:rsid w:val="009B718D"/>
    <w:rsid w:val="009C0BCC"/>
    <w:rsid w:val="009C0D9B"/>
    <w:rsid w:val="009C3FA3"/>
    <w:rsid w:val="009C45D9"/>
    <w:rsid w:val="009C6530"/>
    <w:rsid w:val="009C6F32"/>
    <w:rsid w:val="009D2BEF"/>
    <w:rsid w:val="009D2E72"/>
    <w:rsid w:val="009D358E"/>
    <w:rsid w:val="009D4D3B"/>
    <w:rsid w:val="009D528E"/>
    <w:rsid w:val="009D6FC9"/>
    <w:rsid w:val="009D7187"/>
    <w:rsid w:val="009D783B"/>
    <w:rsid w:val="009D7E55"/>
    <w:rsid w:val="009E01DD"/>
    <w:rsid w:val="009E128F"/>
    <w:rsid w:val="009E257B"/>
    <w:rsid w:val="009E2676"/>
    <w:rsid w:val="009E547A"/>
    <w:rsid w:val="009F30C8"/>
    <w:rsid w:val="009F3209"/>
    <w:rsid w:val="009F4054"/>
    <w:rsid w:val="009F4C56"/>
    <w:rsid w:val="009F58D8"/>
    <w:rsid w:val="009F61BB"/>
    <w:rsid w:val="00A01BC3"/>
    <w:rsid w:val="00A02F7D"/>
    <w:rsid w:val="00A03791"/>
    <w:rsid w:val="00A04FDF"/>
    <w:rsid w:val="00A055BD"/>
    <w:rsid w:val="00A06657"/>
    <w:rsid w:val="00A115B3"/>
    <w:rsid w:val="00A12DA0"/>
    <w:rsid w:val="00A16DFA"/>
    <w:rsid w:val="00A170FE"/>
    <w:rsid w:val="00A17C0A"/>
    <w:rsid w:val="00A22FA7"/>
    <w:rsid w:val="00A238D0"/>
    <w:rsid w:val="00A3111A"/>
    <w:rsid w:val="00A3294A"/>
    <w:rsid w:val="00A33919"/>
    <w:rsid w:val="00A346B2"/>
    <w:rsid w:val="00A351A6"/>
    <w:rsid w:val="00A3601F"/>
    <w:rsid w:val="00A365F7"/>
    <w:rsid w:val="00A3689B"/>
    <w:rsid w:val="00A36968"/>
    <w:rsid w:val="00A41149"/>
    <w:rsid w:val="00A44745"/>
    <w:rsid w:val="00A44F15"/>
    <w:rsid w:val="00A46077"/>
    <w:rsid w:val="00A47B7B"/>
    <w:rsid w:val="00A50621"/>
    <w:rsid w:val="00A54175"/>
    <w:rsid w:val="00A56809"/>
    <w:rsid w:val="00A60D9A"/>
    <w:rsid w:val="00A61B85"/>
    <w:rsid w:val="00A63A07"/>
    <w:rsid w:val="00A64982"/>
    <w:rsid w:val="00A654A2"/>
    <w:rsid w:val="00A65A56"/>
    <w:rsid w:val="00A66A7F"/>
    <w:rsid w:val="00A67183"/>
    <w:rsid w:val="00A70079"/>
    <w:rsid w:val="00A71848"/>
    <w:rsid w:val="00A72954"/>
    <w:rsid w:val="00A74F0D"/>
    <w:rsid w:val="00A74F1F"/>
    <w:rsid w:val="00A75E36"/>
    <w:rsid w:val="00A76391"/>
    <w:rsid w:val="00A76452"/>
    <w:rsid w:val="00A817BA"/>
    <w:rsid w:val="00A83F5F"/>
    <w:rsid w:val="00A84DF8"/>
    <w:rsid w:val="00A860E8"/>
    <w:rsid w:val="00A86D3D"/>
    <w:rsid w:val="00A9013E"/>
    <w:rsid w:val="00A915F3"/>
    <w:rsid w:val="00A94B17"/>
    <w:rsid w:val="00A94F1F"/>
    <w:rsid w:val="00A95347"/>
    <w:rsid w:val="00AA1D98"/>
    <w:rsid w:val="00AA2A17"/>
    <w:rsid w:val="00AA349C"/>
    <w:rsid w:val="00AA471D"/>
    <w:rsid w:val="00AA4B1C"/>
    <w:rsid w:val="00AA6188"/>
    <w:rsid w:val="00AA7E33"/>
    <w:rsid w:val="00AB2216"/>
    <w:rsid w:val="00AB265E"/>
    <w:rsid w:val="00AB2948"/>
    <w:rsid w:val="00AB39FA"/>
    <w:rsid w:val="00AB3B30"/>
    <w:rsid w:val="00AB4164"/>
    <w:rsid w:val="00AB426C"/>
    <w:rsid w:val="00AB4316"/>
    <w:rsid w:val="00AB451C"/>
    <w:rsid w:val="00AB59F2"/>
    <w:rsid w:val="00AB63E8"/>
    <w:rsid w:val="00AC083C"/>
    <w:rsid w:val="00AC1C3C"/>
    <w:rsid w:val="00AC2B17"/>
    <w:rsid w:val="00AC2C5A"/>
    <w:rsid w:val="00AC3E62"/>
    <w:rsid w:val="00AC5620"/>
    <w:rsid w:val="00AC5AF9"/>
    <w:rsid w:val="00AC6192"/>
    <w:rsid w:val="00AD0051"/>
    <w:rsid w:val="00AD1F31"/>
    <w:rsid w:val="00AD2F03"/>
    <w:rsid w:val="00AD55F4"/>
    <w:rsid w:val="00AD57FE"/>
    <w:rsid w:val="00AD6933"/>
    <w:rsid w:val="00AD6B7B"/>
    <w:rsid w:val="00AD74BD"/>
    <w:rsid w:val="00AD781A"/>
    <w:rsid w:val="00AD7CAB"/>
    <w:rsid w:val="00AE0D6A"/>
    <w:rsid w:val="00AE10BE"/>
    <w:rsid w:val="00AE16C9"/>
    <w:rsid w:val="00AE18DE"/>
    <w:rsid w:val="00AE1A16"/>
    <w:rsid w:val="00AE3EF5"/>
    <w:rsid w:val="00AE4962"/>
    <w:rsid w:val="00AE4F2A"/>
    <w:rsid w:val="00AE569A"/>
    <w:rsid w:val="00AE5F33"/>
    <w:rsid w:val="00AF0AD5"/>
    <w:rsid w:val="00AF15E6"/>
    <w:rsid w:val="00AF51E7"/>
    <w:rsid w:val="00AF6744"/>
    <w:rsid w:val="00B0549A"/>
    <w:rsid w:val="00B05620"/>
    <w:rsid w:val="00B10BE1"/>
    <w:rsid w:val="00B12E05"/>
    <w:rsid w:val="00B12EBE"/>
    <w:rsid w:val="00B15414"/>
    <w:rsid w:val="00B15B2E"/>
    <w:rsid w:val="00B16431"/>
    <w:rsid w:val="00B166A4"/>
    <w:rsid w:val="00B16890"/>
    <w:rsid w:val="00B219B7"/>
    <w:rsid w:val="00B21DFF"/>
    <w:rsid w:val="00B21EEF"/>
    <w:rsid w:val="00B24BF2"/>
    <w:rsid w:val="00B25038"/>
    <w:rsid w:val="00B27FF1"/>
    <w:rsid w:val="00B3159A"/>
    <w:rsid w:val="00B33114"/>
    <w:rsid w:val="00B33465"/>
    <w:rsid w:val="00B336A7"/>
    <w:rsid w:val="00B34815"/>
    <w:rsid w:val="00B35C09"/>
    <w:rsid w:val="00B379C5"/>
    <w:rsid w:val="00B4183F"/>
    <w:rsid w:val="00B42198"/>
    <w:rsid w:val="00B46AD2"/>
    <w:rsid w:val="00B4770B"/>
    <w:rsid w:val="00B47A5B"/>
    <w:rsid w:val="00B51ACF"/>
    <w:rsid w:val="00B537E0"/>
    <w:rsid w:val="00B5507C"/>
    <w:rsid w:val="00B64BBE"/>
    <w:rsid w:val="00B66C39"/>
    <w:rsid w:val="00B67DE1"/>
    <w:rsid w:val="00B67DF2"/>
    <w:rsid w:val="00B70CC6"/>
    <w:rsid w:val="00B721E3"/>
    <w:rsid w:val="00B73894"/>
    <w:rsid w:val="00B801E0"/>
    <w:rsid w:val="00B8166D"/>
    <w:rsid w:val="00B8193F"/>
    <w:rsid w:val="00B829BE"/>
    <w:rsid w:val="00B82A82"/>
    <w:rsid w:val="00B8464A"/>
    <w:rsid w:val="00B8473D"/>
    <w:rsid w:val="00B90410"/>
    <w:rsid w:val="00B90E10"/>
    <w:rsid w:val="00B964CA"/>
    <w:rsid w:val="00BA13DF"/>
    <w:rsid w:val="00BA31C4"/>
    <w:rsid w:val="00BA3771"/>
    <w:rsid w:val="00BA3E08"/>
    <w:rsid w:val="00BA4655"/>
    <w:rsid w:val="00BA78B6"/>
    <w:rsid w:val="00BA7935"/>
    <w:rsid w:val="00BB047B"/>
    <w:rsid w:val="00BB4818"/>
    <w:rsid w:val="00BB4AF3"/>
    <w:rsid w:val="00BB6398"/>
    <w:rsid w:val="00BB73F1"/>
    <w:rsid w:val="00BC25EF"/>
    <w:rsid w:val="00BC2DAF"/>
    <w:rsid w:val="00BC4FD3"/>
    <w:rsid w:val="00BC50EE"/>
    <w:rsid w:val="00BC5805"/>
    <w:rsid w:val="00BC6186"/>
    <w:rsid w:val="00BC6827"/>
    <w:rsid w:val="00BC6C7A"/>
    <w:rsid w:val="00BC7D9E"/>
    <w:rsid w:val="00BD0372"/>
    <w:rsid w:val="00BD2851"/>
    <w:rsid w:val="00BD3FF2"/>
    <w:rsid w:val="00BD44F5"/>
    <w:rsid w:val="00BE3C4E"/>
    <w:rsid w:val="00BE4340"/>
    <w:rsid w:val="00BE5C41"/>
    <w:rsid w:val="00BF0646"/>
    <w:rsid w:val="00BF1B1B"/>
    <w:rsid w:val="00BF1C32"/>
    <w:rsid w:val="00BF76A6"/>
    <w:rsid w:val="00C0068D"/>
    <w:rsid w:val="00C01F23"/>
    <w:rsid w:val="00C03625"/>
    <w:rsid w:val="00C044BE"/>
    <w:rsid w:val="00C04BAB"/>
    <w:rsid w:val="00C05BA9"/>
    <w:rsid w:val="00C0607B"/>
    <w:rsid w:val="00C065D8"/>
    <w:rsid w:val="00C06DEF"/>
    <w:rsid w:val="00C075A2"/>
    <w:rsid w:val="00C107CB"/>
    <w:rsid w:val="00C118C4"/>
    <w:rsid w:val="00C11BE8"/>
    <w:rsid w:val="00C11F58"/>
    <w:rsid w:val="00C120D7"/>
    <w:rsid w:val="00C12B65"/>
    <w:rsid w:val="00C132D1"/>
    <w:rsid w:val="00C139CA"/>
    <w:rsid w:val="00C13A7D"/>
    <w:rsid w:val="00C20ADC"/>
    <w:rsid w:val="00C22304"/>
    <w:rsid w:val="00C241A8"/>
    <w:rsid w:val="00C24ABA"/>
    <w:rsid w:val="00C264CB"/>
    <w:rsid w:val="00C31253"/>
    <w:rsid w:val="00C330CD"/>
    <w:rsid w:val="00C35129"/>
    <w:rsid w:val="00C3540D"/>
    <w:rsid w:val="00C36838"/>
    <w:rsid w:val="00C37807"/>
    <w:rsid w:val="00C41197"/>
    <w:rsid w:val="00C419DB"/>
    <w:rsid w:val="00C41FFB"/>
    <w:rsid w:val="00C42293"/>
    <w:rsid w:val="00C43BB7"/>
    <w:rsid w:val="00C476F1"/>
    <w:rsid w:val="00C51429"/>
    <w:rsid w:val="00C51E8F"/>
    <w:rsid w:val="00C52C5A"/>
    <w:rsid w:val="00C52CE9"/>
    <w:rsid w:val="00C52FC0"/>
    <w:rsid w:val="00C53F9E"/>
    <w:rsid w:val="00C55502"/>
    <w:rsid w:val="00C559E9"/>
    <w:rsid w:val="00C56A24"/>
    <w:rsid w:val="00C608C1"/>
    <w:rsid w:val="00C6141C"/>
    <w:rsid w:val="00C63D4E"/>
    <w:rsid w:val="00C63EA9"/>
    <w:rsid w:val="00C665A0"/>
    <w:rsid w:val="00C67725"/>
    <w:rsid w:val="00C700F3"/>
    <w:rsid w:val="00C7092F"/>
    <w:rsid w:val="00C7433A"/>
    <w:rsid w:val="00C76DDA"/>
    <w:rsid w:val="00C77C2D"/>
    <w:rsid w:val="00C807B3"/>
    <w:rsid w:val="00C81DB1"/>
    <w:rsid w:val="00C825C9"/>
    <w:rsid w:val="00C82809"/>
    <w:rsid w:val="00C86CC3"/>
    <w:rsid w:val="00C86E37"/>
    <w:rsid w:val="00C901B1"/>
    <w:rsid w:val="00C90EBC"/>
    <w:rsid w:val="00C91B69"/>
    <w:rsid w:val="00C93814"/>
    <w:rsid w:val="00C938DA"/>
    <w:rsid w:val="00C94795"/>
    <w:rsid w:val="00C9605C"/>
    <w:rsid w:val="00C96600"/>
    <w:rsid w:val="00CA11C9"/>
    <w:rsid w:val="00CA2FAE"/>
    <w:rsid w:val="00CA3856"/>
    <w:rsid w:val="00CA5562"/>
    <w:rsid w:val="00CA5A3F"/>
    <w:rsid w:val="00CA67E0"/>
    <w:rsid w:val="00CA6816"/>
    <w:rsid w:val="00CA79A4"/>
    <w:rsid w:val="00CB0122"/>
    <w:rsid w:val="00CB0269"/>
    <w:rsid w:val="00CB0833"/>
    <w:rsid w:val="00CB18F5"/>
    <w:rsid w:val="00CB69E6"/>
    <w:rsid w:val="00CC008E"/>
    <w:rsid w:val="00CC02ED"/>
    <w:rsid w:val="00CC2494"/>
    <w:rsid w:val="00CC63EB"/>
    <w:rsid w:val="00CC6738"/>
    <w:rsid w:val="00CD022A"/>
    <w:rsid w:val="00CD03BE"/>
    <w:rsid w:val="00CD0516"/>
    <w:rsid w:val="00CD0707"/>
    <w:rsid w:val="00CD11AF"/>
    <w:rsid w:val="00CD1A25"/>
    <w:rsid w:val="00CD2E16"/>
    <w:rsid w:val="00CD58B6"/>
    <w:rsid w:val="00CD65E7"/>
    <w:rsid w:val="00CD6769"/>
    <w:rsid w:val="00CD67AA"/>
    <w:rsid w:val="00CD7BFC"/>
    <w:rsid w:val="00CE2B95"/>
    <w:rsid w:val="00CE2F1A"/>
    <w:rsid w:val="00CE32D6"/>
    <w:rsid w:val="00CE390F"/>
    <w:rsid w:val="00CF1A11"/>
    <w:rsid w:val="00CF30FC"/>
    <w:rsid w:val="00CF4286"/>
    <w:rsid w:val="00CF5753"/>
    <w:rsid w:val="00CF5CB2"/>
    <w:rsid w:val="00CF6BE7"/>
    <w:rsid w:val="00D019BA"/>
    <w:rsid w:val="00D01B9F"/>
    <w:rsid w:val="00D01DF9"/>
    <w:rsid w:val="00D02562"/>
    <w:rsid w:val="00D03B38"/>
    <w:rsid w:val="00D03F87"/>
    <w:rsid w:val="00D04CD4"/>
    <w:rsid w:val="00D07174"/>
    <w:rsid w:val="00D10742"/>
    <w:rsid w:val="00D10B1B"/>
    <w:rsid w:val="00D12095"/>
    <w:rsid w:val="00D1355C"/>
    <w:rsid w:val="00D1517C"/>
    <w:rsid w:val="00D1568B"/>
    <w:rsid w:val="00D16864"/>
    <w:rsid w:val="00D17720"/>
    <w:rsid w:val="00D20F1E"/>
    <w:rsid w:val="00D21AEC"/>
    <w:rsid w:val="00D22AF0"/>
    <w:rsid w:val="00D22D06"/>
    <w:rsid w:val="00D24772"/>
    <w:rsid w:val="00D26E91"/>
    <w:rsid w:val="00D272A6"/>
    <w:rsid w:val="00D32032"/>
    <w:rsid w:val="00D3441D"/>
    <w:rsid w:val="00D355C4"/>
    <w:rsid w:val="00D3612A"/>
    <w:rsid w:val="00D364D9"/>
    <w:rsid w:val="00D37703"/>
    <w:rsid w:val="00D37DBF"/>
    <w:rsid w:val="00D37F25"/>
    <w:rsid w:val="00D41A8A"/>
    <w:rsid w:val="00D42F4F"/>
    <w:rsid w:val="00D44141"/>
    <w:rsid w:val="00D4444F"/>
    <w:rsid w:val="00D55AFF"/>
    <w:rsid w:val="00D568B7"/>
    <w:rsid w:val="00D56A53"/>
    <w:rsid w:val="00D6324F"/>
    <w:rsid w:val="00D632A5"/>
    <w:rsid w:val="00D63458"/>
    <w:rsid w:val="00D66D37"/>
    <w:rsid w:val="00D67707"/>
    <w:rsid w:val="00D71EEB"/>
    <w:rsid w:val="00D750CC"/>
    <w:rsid w:val="00D758DC"/>
    <w:rsid w:val="00D822B7"/>
    <w:rsid w:val="00D83D2E"/>
    <w:rsid w:val="00D84369"/>
    <w:rsid w:val="00D84C8F"/>
    <w:rsid w:val="00D84F48"/>
    <w:rsid w:val="00D87334"/>
    <w:rsid w:val="00D873AD"/>
    <w:rsid w:val="00D90BEE"/>
    <w:rsid w:val="00D91AAC"/>
    <w:rsid w:val="00D91C06"/>
    <w:rsid w:val="00D91C9F"/>
    <w:rsid w:val="00D93B85"/>
    <w:rsid w:val="00D93FD1"/>
    <w:rsid w:val="00D95629"/>
    <w:rsid w:val="00D95C68"/>
    <w:rsid w:val="00DA0276"/>
    <w:rsid w:val="00DA08F5"/>
    <w:rsid w:val="00DA172A"/>
    <w:rsid w:val="00DA1796"/>
    <w:rsid w:val="00DA2ADC"/>
    <w:rsid w:val="00DB01E2"/>
    <w:rsid w:val="00DB0764"/>
    <w:rsid w:val="00DB2DBD"/>
    <w:rsid w:val="00DB3506"/>
    <w:rsid w:val="00DB76AC"/>
    <w:rsid w:val="00DB7A9A"/>
    <w:rsid w:val="00DC3177"/>
    <w:rsid w:val="00DC3276"/>
    <w:rsid w:val="00DC3DC6"/>
    <w:rsid w:val="00DC4848"/>
    <w:rsid w:val="00DC4A5D"/>
    <w:rsid w:val="00DC71A9"/>
    <w:rsid w:val="00DD01AA"/>
    <w:rsid w:val="00DD1173"/>
    <w:rsid w:val="00DD13AB"/>
    <w:rsid w:val="00DD2841"/>
    <w:rsid w:val="00DD323F"/>
    <w:rsid w:val="00DD37D8"/>
    <w:rsid w:val="00DD4EB5"/>
    <w:rsid w:val="00DD5902"/>
    <w:rsid w:val="00DD638C"/>
    <w:rsid w:val="00DE01A4"/>
    <w:rsid w:val="00DE0918"/>
    <w:rsid w:val="00DE3E40"/>
    <w:rsid w:val="00DE421E"/>
    <w:rsid w:val="00DE4597"/>
    <w:rsid w:val="00DE643F"/>
    <w:rsid w:val="00DF0A47"/>
    <w:rsid w:val="00DF6840"/>
    <w:rsid w:val="00E010AB"/>
    <w:rsid w:val="00E015AD"/>
    <w:rsid w:val="00E0233F"/>
    <w:rsid w:val="00E02678"/>
    <w:rsid w:val="00E047A2"/>
    <w:rsid w:val="00E050EC"/>
    <w:rsid w:val="00E06262"/>
    <w:rsid w:val="00E063D9"/>
    <w:rsid w:val="00E0748A"/>
    <w:rsid w:val="00E10599"/>
    <w:rsid w:val="00E128A9"/>
    <w:rsid w:val="00E12AA0"/>
    <w:rsid w:val="00E13051"/>
    <w:rsid w:val="00E132A4"/>
    <w:rsid w:val="00E143DA"/>
    <w:rsid w:val="00E14BA3"/>
    <w:rsid w:val="00E150FB"/>
    <w:rsid w:val="00E1615F"/>
    <w:rsid w:val="00E16744"/>
    <w:rsid w:val="00E24CDE"/>
    <w:rsid w:val="00E25474"/>
    <w:rsid w:val="00E25953"/>
    <w:rsid w:val="00E2645B"/>
    <w:rsid w:val="00E27F5A"/>
    <w:rsid w:val="00E30754"/>
    <w:rsid w:val="00E32BEA"/>
    <w:rsid w:val="00E32F5B"/>
    <w:rsid w:val="00E35642"/>
    <w:rsid w:val="00E36605"/>
    <w:rsid w:val="00E36ADF"/>
    <w:rsid w:val="00E3773A"/>
    <w:rsid w:val="00E3799F"/>
    <w:rsid w:val="00E37DA2"/>
    <w:rsid w:val="00E4121B"/>
    <w:rsid w:val="00E42FA4"/>
    <w:rsid w:val="00E43348"/>
    <w:rsid w:val="00E439FD"/>
    <w:rsid w:val="00E43ACF"/>
    <w:rsid w:val="00E43B5E"/>
    <w:rsid w:val="00E45864"/>
    <w:rsid w:val="00E4622C"/>
    <w:rsid w:val="00E47F40"/>
    <w:rsid w:val="00E51FFB"/>
    <w:rsid w:val="00E52DD3"/>
    <w:rsid w:val="00E5433F"/>
    <w:rsid w:val="00E5471E"/>
    <w:rsid w:val="00E558A4"/>
    <w:rsid w:val="00E571CC"/>
    <w:rsid w:val="00E57413"/>
    <w:rsid w:val="00E576D9"/>
    <w:rsid w:val="00E65C76"/>
    <w:rsid w:val="00E65EA1"/>
    <w:rsid w:val="00E6605D"/>
    <w:rsid w:val="00E6611F"/>
    <w:rsid w:val="00E67620"/>
    <w:rsid w:val="00E70D84"/>
    <w:rsid w:val="00E75897"/>
    <w:rsid w:val="00E802AD"/>
    <w:rsid w:val="00E8377F"/>
    <w:rsid w:val="00E90DF0"/>
    <w:rsid w:val="00E9168B"/>
    <w:rsid w:val="00E91A28"/>
    <w:rsid w:val="00E923A0"/>
    <w:rsid w:val="00E9265B"/>
    <w:rsid w:val="00E95253"/>
    <w:rsid w:val="00E95569"/>
    <w:rsid w:val="00E9761F"/>
    <w:rsid w:val="00E978F3"/>
    <w:rsid w:val="00EA1CB1"/>
    <w:rsid w:val="00EA3AEB"/>
    <w:rsid w:val="00EA6125"/>
    <w:rsid w:val="00EA6457"/>
    <w:rsid w:val="00EB0BA8"/>
    <w:rsid w:val="00EB48AA"/>
    <w:rsid w:val="00EB7154"/>
    <w:rsid w:val="00EC0435"/>
    <w:rsid w:val="00EC1275"/>
    <w:rsid w:val="00EC6289"/>
    <w:rsid w:val="00EC69E0"/>
    <w:rsid w:val="00EC7180"/>
    <w:rsid w:val="00ED1A2E"/>
    <w:rsid w:val="00ED209D"/>
    <w:rsid w:val="00ED26C0"/>
    <w:rsid w:val="00ED28EE"/>
    <w:rsid w:val="00ED418D"/>
    <w:rsid w:val="00ED46C4"/>
    <w:rsid w:val="00ED5F88"/>
    <w:rsid w:val="00ED664B"/>
    <w:rsid w:val="00ED7359"/>
    <w:rsid w:val="00ED7C2E"/>
    <w:rsid w:val="00EE12C4"/>
    <w:rsid w:val="00EE12E0"/>
    <w:rsid w:val="00EE5111"/>
    <w:rsid w:val="00EE6099"/>
    <w:rsid w:val="00EF157F"/>
    <w:rsid w:val="00EF2730"/>
    <w:rsid w:val="00EF28D7"/>
    <w:rsid w:val="00F01BD2"/>
    <w:rsid w:val="00F01D63"/>
    <w:rsid w:val="00F03786"/>
    <w:rsid w:val="00F03AB8"/>
    <w:rsid w:val="00F0417C"/>
    <w:rsid w:val="00F05E37"/>
    <w:rsid w:val="00F07897"/>
    <w:rsid w:val="00F07EF7"/>
    <w:rsid w:val="00F112AC"/>
    <w:rsid w:val="00F130AD"/>
    <w:rsid w:val="00F2002D"/>
    <w:rsid w:val="00F20625"/>
    <w:rsid w:val="00F22093"/>
    <w:rsid w:val="00F227E8"/>
    <w:rsid w:val="00F24647"/>
    <w:rsid w:val="00F26374"/>
    <w:rsid w:val="00F265CB"/>
    <w:rsid w:val="00F26A9F"/>
    <w:rsid w:val="00F30DE4"/>
    <w:rsid w:val="00F331B5"/>
    <w:rsid w:val="00F34AF9"/>
    <w:rsid w:val="00F375F5"/>
    <w:rsid w:val="00F37FAA"/>
    <w:rsid w:val="00F41E62"/>
    <w:rsid w:val="00F42614"/>
    <w:rsid w:val="00F45725"/>
    <w:rsid w:val="00F47B58"/>
    <w:rsid w:val="00F47BED"/>
    <w:rsid w:val="00F47E4A"/>
    <w:rsid w:val="00F519E1"/>
    <w:rsid w:val="00F52BB9"/>
    <w:rsid w:val="00F53521"/>
    <w:rsid w:val="00F53991"/>
    <w:rsid w:val="00F54D51"/>
    <w:rsid w:val="00F56525"/>
    <w:rsid w:val="00F6084A"/>
    <w:rsid w:val="00F61667"/>
    <w:rsid w:val="00F61722"/>
    <w:rsid w:val="00F617C6"/>
    <w:rsid w:val="00F6208E"/>
    <w:rsid w:val="00F63F21"/>
    <w:rsid w:val="00F65587"/>
    <w:rsid w:val="00F65A4D"/>
    <w:rsid w:val="00F65C75"/>
    <w:rsid w:val="00F65F61"/>
    <w:rsid w:val="00F661DD"/>
    <w:rsid w:val="00F66A33"/>
    <w:rsid w:val="00F66F7C"/>
    <w:rsid w:val="00F70BA5"/>
    <w:rsid w:val="00F71818"/>
    <w:rsid w:val="00F722D9"/>
    <w:rsid w:val="00F73842"/>
    <w:rsid w:val="00F73B39"/>
    <w:rsid w:val="00F74727"/>
    <w:rsid w:val="00F74981"/>
    <w:rsid w:val="00F75C04"/>
    <w:rsid w:val="00F81EF6"/>
    <w:rsid w:val="00F81F50"/>
    <w:rsid w:val="00F82F4B"/>
    <w:rsid w:val="00F86596"/>
    <w:rsid w:val="00F87CFF"/>
    <w:rsid w:val="00F90692"/>
    <w:rsid w:val="00F95772"/>
    <w:rsid w:val="00F9661E"/>
    <w:rsid w:val="00FA0733"/>
    <w:rsid w:val="00FA0846"/>
    <w:rsid w:val="00FA1E42"/>
    <w:rsid w:val="00FA27ED"/>
    <w:rsid w:val="00FA3A06"/>
    <w:rsid w:val="00FB17F0"/>
    <w:rsid w:val="00FB2CA2"/>
    <w:rsid w:val="00FB4289"/>
    <w:rsid w:val="00FC0149"/>
    <w:rsid w:val="00FC1824"/>
    <w:rsid w:val="00FC2985"/>
    <w:rsid w:val="00FC7254"/>
    <w:rsid w:val="00FD008B"/>
    <w:rsid w:val="00FD0E0E"/>
    <w:rsid w:val="00FD12A2"/>
    <w:rsid w:val="00FD27C1"/>
    <w:rsid w:val="00FD424D"/>
    <w:rsid w:val="00FD5803"/>
    <w:rsid w:val="00FD5958"/>
    <w:rsid w:val="00FD7C5D"/>
    <w:rsid w:val="00FE1B2A"/>
    <w:rsid w:val="00FE2CE3"/>
    <w:rsid w:val="00FE2CF0"/>
    <w:rsid w:val="00FE2D8C"/>
    <w:rsid w:val="00FE7F11"/>
    <w:rsid w:val="00FE7F28"/>
    <w:rsid w:val="00FF151E"/>
    <w:rsid w:val="00FF20D4"/>
    <w:rsid w:val="00FF2AF6"/>
    <w:rsid w:val="00FF3F44"/>
    <w:rsid w:val="00FF491C"/>
    <w:rsid w:val="00FF5E14"/>
    <w:rsid w:val="00FF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54CA2C"/>
  <w15:chartTrackingRefBased/>
  <w15:docId w15:val="{24E445A6-B974-4A77-B830-3686090E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0B54A9"/>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6F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0B54A9"/>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F81F50"/>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F81F50"/>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6F3D6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F81F50"/>
    <w:pPr>
      <w:numPr>
        <w:numId w:val="22"/>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F81F50"/>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Default">
    <w:name w:val="Default"/>
    <w:rsid w:val="00227882"/>
    <w:pPr>
      <w:autoSpaceDE w:val="0"/>
      <w:autoSpaceDN w:val="0"/>
      <w:adjustRightInd w:val="0"/>
    </w:pPr>
    <w:rPr>
      <w:rFonts w:ascii="Verdana" w:hAnsi="Verdana" w:cs="Verdana"/>
      <w:color w:val="000000"/>
      <w:sz w:val="24"/>
      <w:szCs w:val="24"/>
    </w:rPr>
  </w:style>
  <w:style w:type="paragraph" w:customStyle="1" w:styleId="Section412paragraphs">
    <w:name w:val="Section 4.1.2 paragraphs"/>
    <w:basedOn w:val="NICEnormal"/>
    <w:rsid w:val="00F6084A"/>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06118">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174418348">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31839299">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27053887">
      <w:bodyDiv w:val="1"/>
      <w:marLeft w:val="0"/>
      <w:marRight w:val="0"/>
      <w:marTop w:val="0"/>
      <w:marBottom w:val="0"/>
      <w:divBdr>
        <w:top w:val="none" w:sz="0" w:space="0" w:color="auto"/>
        <w:left w:val="none" w:sz="0" w:space="0" w:color="auto"/>
        <w:bottom w:val="none" w:sz="0" w:space="0" w:color="auto"/>
        <w:right w:val="none" w:sz="0" w:space="0" w:color="auto"/>
      </w:divBdr>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77561799">
      <w:bodyDiv w:val="1"/>
      <w:marLeft w:val="0"/>
      <w:marRight w:val="0"/>
      <w:marTop w:val="0"/>
      <w:marBottom w:val="0"/>
      <w:divBdr>
        <w:top w:val="none" w:sz="0" w:space="0" w:color="auto"/>
        <w:left w:val="none" w:sz="0" w:space="0" w:color="auto"/>
        <w:bottom w:val="none" w:sz="0" w:space="0" w:color="auto"/>
        <w:right w:val="none" w:sz="0" w:space="0" w:color="auto"/>
      </w:divBdr>
    </w:div>
    <w:div w:id="1586644599">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942451264">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99132513">
      <w:bodyDiv w:val="1"/>
      <w:marLeft w:val="0"/>
      <w:marRight w:val="0"/>
      <w:marTop w:val="0"/>
      <w:marBottom w:val="0"/>
      <w:divBdr>
        <w:top w:val="none" w:sz="0" w:space="0" w:color="auto"/>
        <w:left w:val="none" w:sz="0" w:space="0" w:color="auto"/>
        <w:bottom w:val="none" w:sz="0" w:space="0" w:color="auto"/>
        <w:right w:val="none" w:sz="0" w:space="0" w:color="auto"/>
      </w:divBdr>
      <w:divsChild>
        <w:div w:id="1064643724">
          <w:marLeft w:val="446"/>
          <w:marRight w:val="0"/>
          <w:marTop w:val="120"/>
          <w:marBottom w:val="0"/>
          <w:divBdr>
            <w:top w:val="none" w:sz="0" w:space="0" w:color="auto"/>
            <w:left w:val="none" w:sz="0" w:space="0" w:color="auto"/>
            <w:bottom w:val="none" w:sz="0" w:space="0" w:color="auto"/>
            <w:right w:val="none" w:sz="0" w:space="0" w:color="auto"/>
          </w:divBdr>
        </w:div>
      </w:divsChild>
    </w:div>
    <w:div w:id="21142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96/documents" TargetMode="External"/><Relationship Id="rId13" Type="http://schemas.openxmlformats.org/officeDocument/2006/relationships/hyperlink" Target="https://www.nice.org.uk/guidance/indevelopment/gid-ta10496/documents" TargetMode="External"/><Relationship Id="rId18" Type="http://schemas.openxmlformats.org/officeDocument/2006/relationships/hyperlink" Target="https://www.nice.org.uk/process/pmg9/chapter/forewor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ice.org.uk/Get-Involved/Meetings-in-public/Technology-appraisal-Committee/Committee-B-Members" TargetMode="External"/><Relationship Id="rId7" Type="http://schemas.openxmlformats.org/officeDocument/2006/relationships/endnotes" Target="endnotes.xml"/><Relationship Id="rId12" Type="http://schemas.openxmlformats.org/officeDocument/2006/relationships/hyperlink" Target="https://www.ema.europa.eu/en/documents/product-information/braftovi-epar-product-information_en.pdf" TargetMode="External"/><Relationship Id="rId17" Type="http://schemas.openxmlformats.org/officeDocument/2006/relationships/hyperlink" Target="https://www.nice.org.uk/guidance/ta43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uidance/ta242" TargetMode="External"/><Relationship Id="rId20" Type="http://schemas.openxmlformats.org/officeDocument/2006/relationships/hyperlink" Target="https://www.nice.org.uk/about/what-we-do/our-programmes/nice-guidance/nice-technology-appraisal-guidance/cancer-drugs-f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article/pmg19/chapter/Forewor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ta405" TargetMode="External"/><Relationship Id="rId23" Type="http://schemas.openxmlformats.org/officeDocument/2006/relationships/header" Target="header1.xml"/><Relationship Id="rId10" Type="http://schemas.openxmlformats.org/officeDocument/2006/relationships/hyperlink" Target="http://www.nice.org.uk/article/pmg19/chapter/Foreword" TargetMode="External"/><Relationship Id="rId19" Type="http://schemas.openxmlformats.org/officeDocument/2006/relationships/hyperlink" Target="https://www.nice.org.uk/process/pmg9/chapter/the-appraisal-of-the-evidence-and-structured-decision-making" TargetMode="External"/><Relationship Id="rId4" Type="http://schemas.openxmlformats.org/officeDocument/2006/relationships/settings" Target="settings.xml"/><Relationship Id="rId9" Type="http://schemas.openxmlformats.org/officeDocument/2006/relationships/hyperlink" Target="https://www.nice.org.uk/guidance/indevelopment/gid-ta10496/documents" TargetMode="External"/><Relationship Id="rId14" Type="http://schemas.openxmlformats.org/officeDocument/2006/relationships/hyperlink" Target="https://pathways.nice.org.uk/pathways/colorectal-cancer" TargetMode="External"/><Relationship Id="rId22"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2738-B025-1A4F-83F0-6EDCCF14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7010</Words>
  <Characters>40987</Characters>
  <Application>Microsoft Office Word</Application>
  <DocSecurity>0</DocSecurity>
  <Lines>341</Lines>
  <Paragraphs>95</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47902</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Jessica Cronshaw</dc:creator>
  <cp:keywords/>
  <cp:lastModifiedBy>Jessica Cronshaw</cp:lastModifiedBy>
  <cp:revision>3</cp:revision>
  <cp:lastPrinted>2012-11-14T14:34:00Z</cp:lastPrinted>
  <dcterms:created xsi:type="dcterms:W3CDTF">2020-08-27T12:15:00Z</dcterms:created>
  <dcterms:modified xsi:type="dcterms:W3CDTF">2020-08-27T12:15:00Z</dcterms:modified>
</cp:coreProperties>
</file>