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E950A" w14:textId="77777777" w:rsidR="000F48EC" w:rsidRPr="000F48EC" w:rsidRDefault="000F48EC" w:rsidP="0093671F">
      <w:pPr>
        <w:pStyle w:val="Title2"/>
      </w:pPr>
      <w:r w:rsidRPr="000F48EC">
        <w:t>NATIONAL INSTITUTE FOR HEALTH AND C</w:t>
      </w:r>
      <w:r w:rsidR="00CC63EB">
        <w:t>ARE</w:t>
      </w:r>
      <w:r w:rsidRPr="000F48EC">
        <w:t xml:space="preserve"> EXCELLENCE</w:t>
      </w:r>
    </w:p>
    <w:p w14:paraId="57888303" w14:textId="148AD96E" w:rsidR="000F48EC" w:rsidRPr="000F48EC" w:rsidRDefault="007A2801" w:rsidP="000069F9">
      <w:pPr>
        <w:pStyle w:val="Title2"/>
      </w:pPr>
      <w:r>
        <w:t>Appraisal consultation document</w:t>
      </w:r>
    </w:p>
    <w:p w14:paraId="2B0A326A" w14:textId="427ADF5F" w:rsidR="004921C3" w:rsidRDefault="000304DB" w:rsidP="000304DB">
      <w:pPr>
        <w:pStyle w:val="NICEnormal"/>
        <w:jc w:val="center"/>
      </w:pPr>
      <w:r w:rsidRPr="000304DB">
        <w:rPr>
          <w:rFonts w:cs="Arial"/>
          <w:b/>
          <w:bCs/>
          <w:kern w:val="28"/>
          <w:sz w:val="40"/>
          <w:szCs w:val="32"/>
        </w:rPr>
        <w:t>Anakinra for treating Still’s disease</w:t>
      </w:r>
    </w:p>
    <w:p w14:paraId="556DFE5C" w14:textId="6708C188" w:rsidR="007A2801" w:rsidRDefault="004921C3" w:rsidP="008319E0">
      <w:pPr>
        <w:pStyle w:val="NICEnormal"/>
      </w:pPr>
      <w:r>
        <w:br w:type="page"/>
      </w:r>
    </w:p>
    <w:p w14:paraId="77C3DFAB" w14:textId="77777777" w:rsidR="000F48EC" w:rsidRPr="000F48EC" w:rsidRDefault="00B379C5" w:rsidP="00F130AD">
      <w:pPr>
        <w:pStyle w:val="Numberedheading1"/>
      </w:pPr>
      <w:r>
        <w:t>Recommendations</w:t>
      </w:r>
    </w:p>
    <w:p w14:paraId="23888406" w14:textId="7D71F4D9" w:rsidR="00FF2F40" w:rsidRPr="00A91E65" w:rsidRDefault="00CF55BB" w:rsidP="00775A3A">
      <w:pPr>
        <w:pStyle w:val="Numberedlevel2text"/>
      </w:pPr>
      <w:r w:rsidRPr="00775A3A">
        <w:t>Anakinra</w:t>
      </w:r>
      <w:r w:rsidR="00D63458" w:rsidRPr="00122B0F">
        <w:t xml:space="preserve"> </w:t>
      </w:r>
      <w:r w:rsidR="00C31253" w:rsidRPr="00122B0F">
        <w:t xml:space="preserve">is recommended as an option for </w:t>
      </w:r>
      <w:r w:rsidRPr="00122B0F">
        <w:t>treating</w:t>
      </w:r>
      <w:r w:rsidRPr="003A2DC0">
        <w:t xml:space="preserve"> </w:t>
      </w:r>
      <w:r w:rsidR="00FF2F40" w:rsidRPr="00FF2F40">
        <w:rPr>
          <w:lang w:val="en-GB"/>
        </w:rPr>
        <w:t>Still’s disease with moderate to high disease activity, or continued disease activity after non-steroidal anti-inflammatory drugs (NSAIDs) or glucocorticoids</w:t>
      </w:r>
      <w:r w:rsidR="00665124">
        <w:rPr>
          <w:lang w:val="en-GB"/>
        </w:rPr>
        <w:t>. It is only recommended for</w:t>
      </w:r>
      <w:r w:rsidR="00FF2F40">
        <w:rPr>
          <w:lang w:val="en-GB"/>
        </w:rPr>
        <w:t>:</w:t>
      </w:r>
    </w:p>
    <w:p w14:paraId="2EB3D93F" w14:textId="14AB97BF" w:rsidR="00775A3A" w:rsidRPr="00122B0F" w:rsidRDefault="00775A3A" w:rsidP="001645C9">
      <w:pPr>
        <w:pStyle w:val="Bulletindent1"/>
      </w:pPr>
      <w:r w:rsidRPr="003A2DC0">
        <w:t xml:space="preserve">adult-onset </w:t>
      </w:r>
      <w:r w:rsidR="00CF55BB" w:rsidRPr="00122B0F">
        <w:t>Still’s disease</w:t>
      </w:r>
      <w:r w:rsidR="00F9789E">
        <w:t xml:space="preserve"> that</w:t>
      </w:r>
      <w:r w:rsidR="00576392" w:rsidRPr="00775A3A">
        <w:t xml:space="preserve"> </w:t>
      </w:r>
      <w:r w:rsidR="003779C3" w:rsidRPr="00775A3A">
        <w:t>has responded inadequately to</w:t>
      </w:r>
      <w:r w:rsidR="00576392" w:rsidRPr="00775A3A">
        <w:t xml:space="preserve"> 2</w:t>
      </w:r>
      <w:r w:rsidRPr="00775A3A">
        <w:t> </w:t>
      </w:r>
      <w:r w:rsidR="00576392" w:rsidRPr="00775A3A">
        <w:t>or more conventional disease-modifying antirheumatic drugs</w:t>
      </w:r>
      <w:r>
        <w:t xml:space="preserve"> (DMARDs)</w:t>
      </w:r>
    </w:p>
    <w:p w14:paraId="0BAF3BB9" w14:textId="2464E6C5" w:rsidR="00B74002" w:rsidRPr="00775A3A" w:rsidRDefault="00C75BD5" w:rsidP="00A91E65">
      <w:pPr>
        <w:pStyle w:val="Bulletindent1last"/>
      </w:pPr>
      <w:r w:rsidRPr="00775A3A">
        <w:t xml:space="preserve">systemic juvenile idiopathic arthritis </w:t>
      </w:r>
      <w:r w:rsidR="00775A3A" w:rsidRPr="00775A3A">
        <w:t xml:space="preserve">in </w:t>
      </w:r>
      <w:r w:rsidR="00665124">
        <w:t>people</w:t>
      </w:r>
      <w:r w:rsidR="00775A3A">
        <w:t xml:space="preserve"> 8 months and older with a body weight of 10 kg or more </w:t>
      </w:r>
      <w:r w:rsidR="00F9789E">
        <w:t>that</w:t>
      </w:r>
      <w:r w:rsidR="00576392" w:rsidRPr="00122B0F">
        <w:t xml:space="preserve"> </w:t>
      </w:r>
      <w:r w:rsidRPr="00122B0F">
        <w:t xml:space="preserve">has </w:t>
      </w:r>
      <w:r w:rsidR="00576392" w:rsidRPr="003A2DC0">
        <w:t>not respond</w:t>
      </w:r>
      <w:r w:rsidRPr="003A2DC0">
        <w:t>ed</w:t>
      </w:r>
      <w:r w:rsidR="00576392" w:rsidRPr="003A2DC0">
        <w:t xml:space="preserve"> to</w:t>
      </w:r>
      <w:r w:rsidRPr="003F4945">
        <w:t xml:space="preserve"> </w:t>
      </w:r>
      <w:r w:rsidR="00933213" w:rsidRPr="00775A3A">
        <w:t>at least 1</w:t>
      </w:r>
      <w:r w:rsidR="00775A3A">
        <w:t> </w:t>
      </w:r>
      <w:r w:rsidR="00B82D72" w:rsidRPr="00775A3A">
        <w:t xml:space="preserve">conventional </w:t>
      </w:r>
      <w:r w:rsidR="00775A3A">
        <w:t>DMARD</w:t>
      </w:r>
      <w:r w:rsidR="00775A3A" w:rsidRPr="00122B0F">
        <w:t>.</w:t>
      </w:r>
    </w:p>
    <w:p w14:paraId="6E963D48" w14:textId="25B6261D" w:rsidR="00B718DF" w:rsidRPr="00163BE9" w:rsidRDefault="0054233E" w:rsidP="00A91E65">
      <w:pPr>
        <w:pStyle w:val="Numberedlevel2text"/>
      </w:pPr>
      <w:r w:rsidRPr="006D0C54">
        <w:t>Th</w:t>
      </w:r>
      <w:r>
        <w:rPr>
          <w:lang w:val="en-GB"/>
        </w:rPr>
        <w:t>is</w:t>
      </w:r>
      <w:r w:rsidRPr="006D0C54">
        <w:t xml:space="preserve"> </w:t>
      </w:r>
      <w:r w:rsidR="002F7D76" w:rsidRPr="006D0C54">
        <w:t>recommendation</w:t>
      </w:r>
      <w:r>
        <w:rPr>
          <w:lang w:val="en-GB"/>
        </w:rPr>
        <w:t xml:space="preserve"> </w:t>
      </w:r>
      <w:r w:rsidR="002A136A">
        <w:rPr>
          <w:lang w:val="en-GB"/>
        </w:rPr>
        <w:t>is</w:t>
      </w:r>
      <w:r w:rsidR="00B74002" w:rsidRPr="006D0C54">
        <w:t xml:space="preserve"> </w:t>
      </w:r>
      <w:r w:rsidR="002F7D76" w:rsidRPr="006D0C54">
        <w:t xml:space="preserve">not intended to affect treatment with </w:t>
      </w:r>
      <w:r w:rsidR="00B74002" w:rsidRPr="005969C4">
        <w:t>an</w:t>
      </w:r>
      <w:r w:rsidR="00E97666" w:rsidRPr="00163BE9">
        <w:t>akin</w:t>
      </w:r>
      <w:r w:rsidR="00B74002" w:rsidRPr="00163BE9">
        <w:t>ra</w:t>
      </w:r>
      <w:r w:rsidR="002F7D76" w:rsidRPr="00163BE9">
        <w:t xml:space="preserve"> that was started in the NHS before this guidance was published. People having treatment outside this recommendation</w:t>
      </w:r>
      <w:r w:rsidR="00E97666" w:rsidRPr="00163BE9">
        <w:t xml:space="preserve"> </w:t>
      </w:r>
      <w:r w:rsidR="002F7D76" w:rsidRPr="00163BE9">
        <w:t xml:space="preserve">may continue without change to the funding arrangements in place for them before this guidance was published, until they and their NHS clinician consider it appropriate to stop. </w:t>
      </w:r>
      <w:r w:rsidR="00BE4DB3" w:rsidRPr="00163BE9">
        <w:t>In the case of children</w:t>
      </w:r>
      <w:r w:rsidR="00AC465A">
        <w:rPr>
          <w:lang w:val="en-GB"/>
        </w:rPr>
        <w:t xml:space="preserve"> and </w:t>
      </w:r>
      <w:r w:rsidR="00BE4DB3" w:rsidRPr="00163BE9">
        <w:t>young people, t</w:t>
      </w:r>
      <w:r w:rsidR="002F7D76" w:rsidRPr="00163BE9">
        <w:t>his decision should be made jointly by the clinician</w:t>
      </w:r>
      <w:r w:rsidR="00AC465A">
        <w:rPr>
          <w:lang w:val="en-GB"/>
        </w:rPr>
        <w:t>,</w:t>
      </w:r>
      <w:r w:rsidR="002F7D76" w:rsidRPr="00163BE9">
        <w:t xml:space="preserve"> the child</w:t>
      </w:r>
      <w:r w:rsidR="00AC465A">
        <w:rPr>
          <w:lang w:val="en-GB"/>
        </w:rPr>
        <w:t xml:space="preserve"> or </w:t>
      </w:r>
      <w:r w:rsidR="002F7D76" w:rsidRPr="00163BE9">
        <w:t>young person</w:t>
      </w:r>
      <w:r>
        <w:rPr>
          <w:lang w:val="en-GB"/>
        </w:rPr>
        <w:t>,</w:t>
      </w:r>
      <w:r w:rsidR="002F7D76" w:rsidRPr="00163BE9">
        <w:t xml:space="preserve"> and</w:t>
      </w:r>
      <w:r w:rsidR="00AC465A">
        <w:rPr>
          <w:lang w:val="en-GB"/>
        </w:rPr>
        <w:t xml:space="preserve"> their</w:t>
      </w:r>
      <w:r w:rsidR="002F7D76" w:rsidRPr="00163BE9">
        <w:t xml:space="preserve"> parents or carers.</w:t>
      </w:r>
      <w:r w:rsidR="00E37B2D">
        <w:rPr>
          <w:lang w:val="en-GB"/>
        </w:rPr>
        <w:t xml:space="preserve"> </w:t>
      </w:r>
    </w:p>
    <w:p w14:paraId="617F242D" w14:textId="77777777" w:rsidR="00C11F58" w:rsidRPr="008522C6" w:rsidRDefault="00C11F58" w:rsidP="008522C6">
      <w:pPr>
        <w:pStyle w:val="NICEnormal"/>
        <w:rPr>
          <w:b/>
        </w:rPr>
      </w:pPr>
      <w:r w:rsidRPr="008522C6">
        <w:rPr>
          <w:b/>
        </w:rPr>
        <w:t>Why the committee made these recommendations</w:t>
      </w:r>
    </w:p>
    <w:p w14:paraId="694A4A36" w14:textId="4E317537" w:rsidR="00F54D88" w:rsidRPr="00F54D88" w:rsidRDefault="00110935" w:rsidP="00F54D88">
      <w:pPr>
        <w:pStyle w:val="NICEnormal"/>
      </w:pPr>
      <w:r w:rsidRPr="00110935">
        <w:t xml:space="preserve">Still’s disease is a rare systemic </w:t>
      </w:r>
      <w:r w:rsidR="0040010B">
        <w:t>auto</w:t>
      </w:r>
      <w:r w:rsidRPr="00110935">
        <w:t xml:space="preserve">inflammatory </w:t>
      </w:r>
      <w:r w:rsidR="00AC465A">
        <w:t>condition</w:t>
      </w:r>
      <w:r w:rsidRPr="00110935">
        <w:t>.</w:t>
      </w:r>
      <w:r w:rsidR="00BE4DB3">
        <w:t xml:space="preserve"> People</w:t>
      </w:r>
      <w:r w:rsidR="00E43115">
        <w:t xml:space="preserve"> </w:t>
      </w:r>
      <w:r w:rsidR="00AC465A">
        <w:t xml:space="preserve">who are </w:t>
      </w:r>
      <w:r w:rsidR="00BE4DB3">
        <w:t>16</w:t>
      </w:r>
      <w:r w:rsidR="006527E6">
        <w:t> </w:t>
      </w:r>
      <w:r w:rsidR="0054233E">
        <w:t>and</w:t>
      </w:r>
      <w:r w:rsidR="00BE4DB3">
        <w:t xml:space="preserve"> </w:t>
      </w:r>
      <w:r w:rsidR="0054233E">
        <w:t xml:space="preserve">under </w:t>
      </w:r>
      <w:r w:rsidR="00E43115">
        <w:t xml:space="preserve">at diagnosis </w:t>
      </w:r>
      <w:r w:rsidR="00BE4DB3">
        <w:t>are considered to have systemic juvenile idiopathic arthritis</w:t>
      </w:r>
      <w:r w:rsidR="00AC465A">
        <w:t>, even in</w:t>
      </w:r>
      <w:r w:rsidR="00BE4DB3">
        <w:t xml:space="preserve"> adulthood. People </w:t>
      </w:r>
      <w:r w:rsidR="00AC465A">
        <w:t xml:space="preserve">who are </w:t>
      </w:r>
      <w:r w:rsidR="00BE4DB3">
        <w:t>over</w:t>
      </w:r>
      <w:r w:rsidR="00D95A61">
        <w:t> </w:t>
      </w:r>
      <w:r w:rsidR="00E43115">
        <w:t xml:space="preserve">16 at diagnosis are considered to have adult-onset Still’s disease. </w:t>
      </w:r>
      <w:r w:rsidR="002D33C8">
        <w:t xml:space="preserve">Treatment options </w:t>
      </w:r>
      <w:r w:rsidR="0001704E">
        <w:t xml:space="preserve">for Still’s disease include </w:t>
      </w:r>
      <w:r w:rsidR="00E43115">
        <w:t>NSAIDs</w:t>
      </w:r>
      <w:r w:rsidR="0001704E">
        <w:t>,</w:t>
      </w:r>
      <w:r w:rsidR="002D33C8" w:rsidRPr="002D33C8">
        <w:t xml:space="preserve"> </w:t>
      </w:r>
      <w:r w:rsidR="00E43115">
        <w:t xml:space="preserve">corticosteroids, </w:t>
      </w:r>
      <w:r w:rsidR="002D33C8" w:rsidRPr="002D33C8">
        <w:t>non-</w:t>
      </w:r>
      <w:r w:rsidR="00091081">
        <w:t>biologic</w:t>
      </w:r>
      <w:r w:rsidR="00AC465A">
        <w:t>al</w:t>
      </w:r>
      <w:r w:rsidR="002D33C8" w:rsidRPr="002D33C8">
        <w:t xml:space="preserve"> DMARDs </w:t>
      </w:r>
      <w:r w:rsidR="00447122">
        <w:t xml:space="preserve">and </w:t>
      </w:r>
      <w:r w:rsidR="00091081">
        <w:t>biologic</w:t>
      </w:r>
      <w:r w:rsidR="00AC465A">
        <w:t>al</w:t>
      </w:r>
      <w:r w:rsidR="002D33C8" w:rsidRPr="002D33C8">
        <w:t xml:space="preserve"> </w:t>
      </w:r>
      <w:r w:rsidR="00E43115">
        <w:t>DMARDs</w:t>
      </w:r>
      <w:r w:rsidR="002D33C8" w:rsidRPr="002D33C8">
        <w:t xml:space="preserve"> such as tocilizumab</w:t>
      </w:r>
      <w:r w:rsidR="00447122">
        <w:t xml:space="preserve"> and anakinra</w:t>
      </w:r>
      <w:r w:rsidR="002D33C8" w:rsidRPr="002D33C8">
        <w:t>.</w:t>
      </w:r>
    </w:p>
    <w:p w14:paraId="4E90AAD2" w14:textId="32C73860" w:rsidR="00E675E1" w:rsidRDefault="00F54D88" w:rsidP="00F54D88">
      <w:pPr>
        <w:pStyle w:val="NICEnormal"/>
      </w:pPr>
      <w:r>
        <w:t xml:space="preserve">Clinical evidence </w:t>
      </w:r>
      <w:r w:rsidR="00390C00">
        <w:t>about the efficacy of</w:t>
      </w:r>
      <w:r>
        <w:t xml:space="preserve"> anakinra </w:t>
      </w:r>
      <w:r w:rsidR="00AC465A">
        <w:t>after treatment with</w:t>
      </w:r>
      <w:r w:rsidR="00302696">
        <w:t xml:space="preserve"> </w:t>
      </w:r>
      <w:r>
        <w:t xml:space="preserve">NSAIDs and corticosteroids is highly uncertain. </w:t>
      </w:r>
      <w:r w:rsidR="000C141E">
        <w:t xml:space="preserve">But it is reasonable to assume that it is as effective as tocilizumab. </w:t>
      </w:r>
      <w:r w:rsidR="002161CB">
        <w:t>C</w:t>
      </w:r>
      <w:r w:rsidR="0028322E">
        <w:t xml:space="preserve">ost-effectiveness </w:t>
      </w:r>
      <w:r w:rsidR="002161CB">
        <w:t>estimates for</w:t>
      </w:r>
      <w:r w:rsidR="0028322E">
        <w:t xml:space="preserve"> anakinra are</w:t>
      </w:r>
      <w:r w:rsidR="00D30C20">
        <w:t xml:space="preserve"> also</w:t>
      </w:r>
      <w:r w:rsidR="0028322E">
        <w:t xml:space="preserve"> uncertain </w:t>
      </w:r>
      <w:r w:rsidR="00AC465A">
        <w:t>because of</w:t>
      </w:r>
      <w:r w:rsidR="0028322E">
        <w:t xml:space="preserve"> issues with the company’s </w:t>
      </w:r>
      <w:r w:rsidR="00AC465A">
        <w:t>economic</w:t>
      </w:r>
      <w:r w:rsidR="00384753">
        <w:t xml:space="preserve"> </w:t>
      </w:r>
      <w:r w:rsidR="006A7199">
        <w:t>model</w:t>
      </w:r>
      <w:r w:rsidR="0040010B">
        <w:t xml:space="preserve"> and the lack of robust clinical </w:t>
      </w:r>
      <w:r w:rsidR="0040010B">
        <w:lastRenderedPageBreak/>
        <w:t>evidence to support it</w:t>
      </w:r>
      <w:r w:rsidR="003963C3">
        <w:t>.</w:t>
      </w:r>
      <w:r w:rsidR="006A7199">
        <w:t xml:space="preserve"> </w:t>
      </w:r>
      <w:r w:rsidR="00E675E1">
        <w:t>However</w:t>
      </w:r>
      <w:r w:rsidR="002161CB">
        <w:t xml:space="preserve">, </w:t>
      </w:r>
      <w:r w:rsidR="00B41436">
        <w:t xml:space="preserve">a </w:t>
      </w:r>
      <w:r w:rsidR="002161CB">
        <w:t>compari</w:t>
      </w:r>
      <w:r w:rsidR="00B41436">
        <w:t>son of</w:t>
      </w:r>
      <w:r w:rsidR="002161CB">
        <w:t xml:space="preserve"> the costs</w:t>
      </w:r>
      <w:r w:rsidR="00E675E1">
        <w:t xml:space="preserve"> </w:t>
      </w:r>
      <w:r w:rsidR="00B41436">
        <w:t>of</w:t>
      </w:r>
      <w:r w:rsidR="0054233E">
        <w:t xml:space="preserve"> </w:t>
      </w:r>
      <w:r w:rsidR="00E675E1">
        <w:t xml:space="preserve">anakinra </w:t>
      </w:r>
      <w:r w:rsidR="00B41436">
        <w:t>and tocilizumab shows that they have</w:t>
      </w:r>
      <w:r w:rsidR="004F1AB9">
        <w:t xml:space="preserve"> similar weekly costs</w:t>
      </w:r>
      <w:r w:rsidR="00B41436">
        <w:t xml:space="preserve"> </w:t>
      </w:r>
      <w:r w:rsidR="00D95A61">
        <w:t>for</w:t>
      </w:r>
      <w:r w:rsidR="00E675E1">
        <w:t>:</w:t>
      </w:r>
    </w:p>
    <w:p w14:paraId="613849F0" w14:textId="5FB65F16" w:rsidR="00E675E1" w:rsidRDefault="00D95A61" w:rsidP="008F6430">
      <w:pPr>
        <w:pStyle w:val="Bulletleft1"/>
      </w:pPr>
      <w:r>
        <w:t>adult-onset Still’s disease</w:t>
      </w:r>
      <w:r w:rsidRPr="00D95A61">
        <w:t xml:space="preserve"> </w:t>
      </w:r>
      <w:r>
        <w:t xml:space="preserve">that </w:t>
      </w:r>
      <w:r w:rsidRPr="00775A3A">
        <w:t xml:space="preserve">has responded inadequately </w:t>
      </w:r>
      <w:r>
        <w:t>to 2 or more conventional DMARDs</w:t>
      </w:r>
    </w:p>
    <w:p w14:paraId="7CD473BD" w14:textId="5F223012" w:rsidR="000C141E" w:rsidRDefault="00D95A61" w:rsidP="008F6430">
      <w:pPr>
        <w:pStyle w:val="Bulletleft1last"/>
      </w:pPr>
      <w:r>
        <w:t>systemic juvenile idiopathic arthritis</w:t>
      </w:r>
      <w:r w:rsidRPr="00D95A61">
        <w:t xml:space="preserve"> </w:t>
      </w:r>
      <w:r>
        <w:t>that has not responded to at least 1 conventional DMARDs</w:t>
      </w:r>
      <w:r w:rsidR="00E675E1">
        <w:t>.</w:t>
      </w:r>
    </w:p>
    <w:p w14:paraId="659BBC98" w14:textId="0AB675E4" w:rsidR="00B8464A" w:rsidRPr="00B8464A" w:rsidRDefault="00E675E1" w:rsidP="00F54D88">
      <w:pPr>
        <w:pStyle w:val="NICEnormal"/>
      </w:pPr>
      <w:r>
        <w:t>A</w:t>
      </w:r>
      <w:r w:rsidR="00507F5F">
        <w:t xml:space="preserve">nakinra </w:t>
      </w:r>
      <w:r>
        <w:t>is therefore</w:t>
      </w:r>
      <w:r w:rsidR="00D30C20" w:rsidRPr="00D30C20">
        <w:t xml:space="preserve"> </w:t>
      </w:r>
      <w:r w:rsidR="00B6157F">
        <w:t>recommended for use in the NHS</w:t>
      </w:r>
      <w:r w:rsidR="000C141E">
        <w:t xml:space="preserve"> in these circumstances</w:t>
      </w:r>
      <w:r w:rsidR="00D30C20" w:rsidRPr="00D30C20">
        <w:t>.</w:t>
      </w:r>
    </w:p>
    <w:p w14:paraId="229F02CA" w14:textId="71EAC3C6" w:rsidR="00EA1CB1" w:rsidRDefault="00EA1CB1" w:rsidP="00EA1CB1">
      <w:pPr>
        <w:pStyle w:val="Numberedheading1"/>
        <w:keepLines/>
      </w:pPr>
      <w:r>
        <w:t xml:space="preserve">Information about </w:t>
      </w:r>
      <w:r w:rsidR="00200777">
        <w:t>anakinra</w:t>
      </w:r>
    </w:p>
    <w:p w14:paraId="493AC49E" w14:textId="47DDFC95" w:rsidR="00B82A82" w:rsidRDefault="00B82A82" w:rsidP="00B82A82">
      <w:pPr>
        <w:pStyle w:val="Heading2"/>
      </w:pPr>
      <w:r w:rsidRPr="00A76391">
        <w:t>Marketing authorisation indication</w:t>
      </w:r>
    </w:p>
    <w:p w14:paraId="31B77424" w14:textId="72E149C9" w:rsidR="00E425FC" w:rsidRDefault="00E425FC" w:rsidP="00EE2C25">
      <w:pPr>
        <w:pStyle w:val="Numberedlevel2text"/>
      </w:pPr>
      <w:r>
        <w:t xml:space="preserve">Anakinra (Kineret, Sobi) is </w:t>
      </w:r>
      <w:r w:rsidR="00775A3A">
        <w:rPr>
          <w:lang w:val="en-GB"/>
        </w:rPr>
        <w:t>‘</w:t>
      </w:r>
      <w:r>
        <w:t>i</w:t>
      </w:r>
      <w:r w:rsidRPr="00E425FC">
        <w:t>ndicated in adults, adolescents, children and infants aged 8</w:t>
      </w:r>
      <w:r w:rsidR="00775A3A">
        <w:rPr>
          <w:lang w:val="en-GB"/>
        </w:rPr>
        <w:t> </w:t>
      </w:r>
      <w:r w:rsidRPr="00E425FC">
        <w:t>months and older with a body weight of 10</w:t>
      </w:r>
      <w:r w:rsidR="00775A3A">
        <w:rPr>
          <w:lang w:val="en-GB"/>
        </w:rPr>
        <w:t> </w:t>
      </w:r>
      <w:r w:rsidRPr="00E425FC">
        <w:t xml:space="preserve">kg or above for the treatment of Still’s disease, including </w:t>
      </w:r>
      <w:r w:rsidR="00122B0F">
        <w:rPr>
          <w:lang w:val="en-GB"/>
        </w:rPr>
        <w:t>S</w:t>
      </w:r>
      <w:r w:rsidRPr="00E425FC">
        <w:t xml:space="preserve">ystemic </w:t>
      </w:r>
      <w:r w:rsidR="00122B0F">
        <w:rPr>
          <w:lang w:val="en-GB"/>
        </w:rPr>
        <w:t>J</w:t>
      </w:r>
      <w:r w:rsidRPr="00E425FC">
        <w:t xml:space="preserve">uvenile </w:t>
      </w:r>
      <w:r w:rsidR="00122B0F">
        <w:rPr>
          <w:lang w:val="en-GB"/>
        </w:rPr>
        <w:t>I</w:t>
      </w:r>
      <w:r w:rsidRPr="00E425FC">
        <w:t xml:space="preserve">diopathic </w:t>
      </w:r>
      <w:r w:rsidR="00122B0F">
        <w:rPr>
          <w:lang w:val="en-GB"/>
        </w:rPr>
        <w:t>A</w:t>
      </w:r>
      <w:r w:rsidRPr="00E425FC">
        <w:t xml:space="preserve">rthritis (sJIA) and </w:t>
      </w:r>
      <w:r w:rsidR="00122B0F">
        <w:rPr>
          <w:lang w:val="en-GB"/>
        </w:rPr>
        <w:t>A</w:t>
      </w:r>
      <w:r w:rsidRPr="00E425FC">
        <w:t>dult-</w:t>
      </w:r>
      <w:r w:rsidR="00122B0F">
        <w:rPr>
          <w:lang w:val="en-GB"/>
        </w:rPr>
        <w:t>O</w:t>
      </w:r>
      <w:r w:rsidRPr="00E425FC">
        <w:t xml:space="preserve">nset Still’s </w:t>
      </w:r>
      <w:r w:rsidR="00122B0F">
        <w:rPr>
          <w:lang w:val="en-GB"/>
        </w:rPr>
        <w:t>D</w:t>
      </w:r>
      <w:r w:rsidRPr="00E425FC">
        <w:t xml:space="preserve">isease (AOSD), with active systemic features of moderate to high disease activity, or in patients with continued disease activity after treatment with non-steroidal anti-inflammatory drugs </w:t>
      </w:r>
      <w:r>
        <w:t xml:space="preserve">(NSAIDs) </w:t>
      </w:r>
      <w:r w:rsidRPr="00E425FC">
        <w:t>or glucocorticoids</w:t>
      </w:r>
      <w:r w:rsidR="00122B0F">
        <w:rPr>
          <w:lang w:val="en-GB"/>
        </w:rPr>
        <w:t>’</w:t>
      </w:r>
      <w:r w:rsidRPr="00E425FC">
        <w:t>.</w:t>
      </w:r>
      <w:r>
        <w:t xml:space="preserve"> </w:t>
      </w:r>
      <w:r w:rsidRPr="00E425FC">
        <w:t xml:space="preserve">It can be given </w:t>
      </w:r>
      <w:r w:rsidR="00122B0F">
        <w:rPr>
          <w:lang w:val="en-GB"/>
        </w:rPr>
        <w:t>alone or</w:t>
      </w:r>
      <w:r w:rsidRPr="00E425FC">
        <w:t xml:space="preserve"> with other anti-inflammatory drugs and disease-modifying antirheumatic drugs</w:t>
      </w:r>
      <w:r w:rsidR="00122B0F">
        <w:rPr>
          <w:lang w:val="en-GB"/>
        </w:rPr>
        <w:t>.</w:t>
      </w:r>
    </w:p>
    <w:p w14:paraId="13A3FA81" w14:textId="564860D3" w:rsidR="00B82A82" w:rsidRDefault="00B82A82" w:rsidP="00E425FC">
      <w:pPr>
        <w:pStyle w:val="Heading2"/>
      </w:pPr>
      <w:r>
        <w:t>Dosage in the marketing authorisation</w:t>
      </w:r>
    </w:p>
    <w:p w14:paraId="14CDEDAC" w14:textId="3F1FDAE2" w:rsidR="00B82A82" w:rsidRPr="00570524" w:rsidRDefault="00FE2CE3" w:rsidP="001A5561">
      <w:pPr>
        <w:pStyle w:val="Numberedlevel2text"/>
        <w:numPr>
          <w:ilvl w:val="1"/>
          <w:numId w:val="1"/>
        </w:numPr>
        <w:rPr>
          <w:rStyle w:val="Numberedlevel2textChar"/>
        </w:rPr>
      </w:pPr>
      <w:r w:rsidRPr="00570524">
        <w:t>The dosage schedule is</w:t>
      </w:r>
      <w:r w:rsidR="00570524" w:rsidRPr="00570524">
        <w:t xml:space="preserve"> available in </w:t>
      </w:r>
      <w:r w:rsidR="00570524">
        <w:t xml:space="preserve">the </w:t>
      </w:r>
      <w:hyperlink r:id="rId8" w:anchor="gref" w:history="1">
        <w:r w:rsidR="00570524" w:rsidRPr="00E425FC">
          <w:rPr>
            <w:rStyle w:val="Hyperlink"/>
          </w:rPr>
          <w:t>summary of product characteristics</w:t>
        </w:r>
      </w:hyperlink>
      <w:r w:rsidR="00E425FC">
        <w:rPr>
          <w:lang w:val="en-GB"/>
        </w:rPr>
        <w:t>.</w:t>
      </w:r>
    </w:p>
    <w:p w14:paraId="3B23ABE9" w14:textId="77777777" w:rsidR="00B82A82" w:rsidRDefault="00B82A82" w:rsidP="00B82A82">
      <w:pPr>
        <w:pStyle w:val="Heading2"/>
      </w:pPr>
      <w:r>
        <w:t>Price</w:t>
      </w:r>
    </w:p>
    <w:p w14:paraId="35E5652F" w14:textId="50B1E1C4" w:rsidR="00B82A82" w:rsidRPr="00B82A82" w:rsidRDefault="001D7255" w:rsidP="003A2DC0">
      <w:pPr>
        <w:pStyle w:val="Numberedlevel2text"/>
        <w:numPr>
          <w:ilvl w:val="1"/>
          <w:numId w:val="1"/>
        </w:numPr>
      </w:pPr>
      <w:r>
        <w:rPr>
          <w:szCs w:val="24"/>
          <w:lang w:val="en-US"/>
        </w:rPr>
        <w:t>The cost for 7</w:t>
      </w:r>
      <w:r w:rsidR="001B7B19">
        <w:rPr>
          <w:szCs w:val="24"/>
          <w:lang w:val="en-US"/>
        </w:rPr>
        <w:t> </w:t>
      </w:r>
      <w:r>
        <w:rPr>
          <w:szCs w:val="24"/>
          <w:lang w:val="en-US"/>
        </w:rPr>
        <w:t>prefilled injections</w:t>
      </w:r>
      <w:r w:rsidR="001B7B19">
        <w:rPr>
          <w:szCs w:val="24"/>
          <w:lang w:val="en-US"/>
        </w:rPr>
        <w:t xml:space="preserve"> (each containing 100 mg anakinra per 0.67 ml)</w:t>
      </w:r>
      <w:r>
        <w:rPr>
          <w:szCs w:val="24"/>
          <w:lang w:val="en-US"/>
        </w:rPr>
        <w:t xml:space="preserve"> is </w:t>
      </w:r>
      <w:r w:rsidRPr="001D7255">
        <w:rPr>
          <w:szCs w:val="24"/>
          <w:lang w:val="en-US"/>
        </w:rPr>
        <w:t>£</w:t>
      </w:r>
      <w:r w:rsidRPr="001D7255">
        <w:rPr>
          <w:szCs w:val="24"/>
          <w:lang w:val="en-GB"/>
        </w:rPr>
        <w:t>183.61</w:t>
      </w:r>
      <w:r>
        <w:rPr>
          <w:szCs w:val="24"/>
          <w:lang w:val="en-GB"/>
        </w:rPr>
        <w:t>, excluding VAT</w:t>
      </w:r>
      <w:r w:rsidRPr="001D7255">
        <w:rPr>
          <w:szCs w:val="24"/>
          <w:lang w:val="en-GB"/>
        </w:rPr>
        <w:t xml:space="preserve"> </w:t>
      </w:r>
      <w:r>
        <w:rPr>
          <w:szCs w:val="24"/>
          <w:lang w:val="en-GB"/>
        </w:rPr>
        <w:t>(BNF, accessed December 2020).</w:t>
      </w:r>
      <w:r w:rsidR="00EE2C25">
        <w:rPr>
          <w:szCs w:val="24"/>
          <w:lang w:val="en-GB"/>
        </w:rPr>
        <w:t xml:space="preserve"> </w:t>
      </w:r>
      <w:r w:rsidR="001B7B19">
        <w:rPr>
          <w:szCs w:val="24"/>
          <w:lang w:val="en-GB"/>
        </w:rPr>
        <w:t>The a</w:t>
      </w:r>
      <w:r w:rsidR="00D63158" w:rsidRPr="00D63158">
        <w:rPr>
          <w:szCs w:val="24"/>
          <w:lang w:val="en-GB"/>
        </w:rPr>
        <w:t>verage cost of 1</w:t>
      </w:r>
      <w:r w:rsidR="001B7B19">
        <w:rPr>
          <w:szCs w:val="24"/>
          <w:lang w:val="en-GB"/>
        </w:rPr>
        <w:t> </w:t>
      </w:r>
      <w:r w:rsidR="00D63158" w:rsidRPr="00D63158">
        <w:rPr>
          <w:szCs w:val="24"/>
          <w:lang w:val="en-GB"/>
        </w:rPr>
        <w:t>year of treatment is £9,580.</w:t>
      </w:r>
    </w:p>
    <w:p w14:paraId="3C67832F" w14:textId="0A62B67D" w:rsidR="00F130AD" w:rsidRDefault="00222BEA" w:rsidP="00F130AD">
      <w:pPr>
        <w:pStyle w:val="Numberedheading1"/>
      </w:pPr>
      <w:r w:rsidRPr="000F48EC">
        <w:lastRenderedPageBreak/>
        <w:t>Co</w:t>
      </w:r>
      <w:r>
        <w:t>mmittee discussion</w:t>
      </w:r>
    </w:p>
    <w:p w14:paraId="6A206402" w14:textId="44FD89F0" w:rsidR="002B5772" w:rsidRPr="00C63D4E" w:rsidRDefault="00BC7D9E" w:rsidP="002B5772">
      <w:pPr>
        <w:pStyle w:val="NICEnormal"/>
      </w:pPr>
      <w:r w:rsidRPr="007D7F83">
        <w:t xml:space="preserve">The </w:t>
      </w:r>
      <w:hyperlink w:anchor="_Appraisal_committee_members" w:history="1">
        <w:r w:rsidR="00343B53" w:rsidRPr="00866CC6">
          <w:rPr>
            <w:rStyle w:val="Hyperlink"/>
          </w:rPr>
          <w:t>a</w:t>
        </w:r>
        <w:r w:rsidRPr="00866CC6">
          <w:rPr>
            <w:rStyle w:val="Hyperlink"/>
          </w:rPr>
          <w:t xml:space="preserve">ppraisal </w:t>
        </w:r>
        <w:r w:rsidR="00343B53" w:rsidRPr="00866CC6">
          <w:rPr>
            <w:rStyle w:val="Hyperlink"/>
          </w:rPr>
          <w:t>c</w:t>
        </w:r>
        <w:r w:rsidRPr="00866CC6">
          <w:rPr>
            <w:rStyle w:val="Hyperlink"/>
          </w:rPr>
          <w:t>ommittee</w:t>
        </w:r>
      </w:hyperlink>
      <w:r w:rsidRPr="007D7F83">
        <w:t xml:space="preserve"> considered evidence submitted by </w:t>
      </w:r>
      <w:r w:rsidR="0024645B">
        <w:t>Sobi,</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w:t>
      </w:r>
      <w:r w:rsidR="00E24CDE">
        <w:t>NICE’s</w:t>
      </w:r>
      <w:r w:rsidR="002B5772">
        <w:t xml:space="preserve"> technical </w:t>
      </w:r>
      <w:r w:rsidR="00E9265B">
        <w:t>report</w:t>
      </w:r>
      <w:r w:rsidR="000B1027">
        <w:t xml:space="preserve"> and responses from</w:t>
      </w:r>
      <w:r w:rsidR="00E9265B">
        <w:t xml:space="preserve"> stakeholders</w:t>
      </w:r>
      <w:r w:rsidRPr="007D7F83">
        <w:t>.</w:t>
      </w:r>
      <w:r w:rsidR="00C63D4E">
        <w:t xml:space="preserve"> </w:t>
      </w:r>
      <w:r w:rsidR="002B5772">
        <w:t xml:space="preserve">See the </w:t>
      </w:r>
      <w:hyperlink r:id="rId9" w:history="1">
        <w:r w:rsidR="002B5772">
          <w:rPr>
            <w:rStyle w:val="Hyperlink"/>
          </w:rPr>
          <w:t>committee papers</w:t>
        </w:r>
      </w:hyperlink>
      <w:r w:rsidR="002B5772">
        <w:t xml:space="preserve"> for full details of the evidence</w:t>
      </w:r>
      <w:r w:rsidR="002B5772" w:rsidRPr="000F2D8A">
        <w:t>.</w:t>
      </w:r>
    </w:p>
    <w:p w14:paraId="476486A3" w14:textId="7CB49509" w:rsidR="00CE2B95" w:rsidRPr="006D4D1A" w:rsidRDefault="002B5772" w:rsidP="0024645B">
      <w:pPr>
        <w:pStyle w:val="NICEnormal"/>
        <w:rPr>
          <w:highlight w:val="cyan"/>
        </w:rPr>
      </w:pPr>
      <w:r>
        <w:t xml:space="preserve">The appraisal committee was aware </w:t>
      </w:r>
      <w:r w:rsidR="002555BE">
        <w:t xml:space="preserve">that </w:t>
      </w:r>
      <w:r w:rsidR="001B7B19">
        <w:t>1 </w:t>
      </w:r>
      <w:r>
        <w:t xml:space="preserve">issue </w:t>
      </w:r>
      <w:r w:rsidR="00071D1D">
        <w:t>was</w:t>
      </w:r>
      <w:r>
        <w:t xml:space="preserve"> resolved during </w:t>
      </w:r>
      <w:r w:rsidR="006D4D1A">
        <w:t xml:space="preserve">the </w:t>
      </w:r>
      <w:r w:rsidR="00E95253">
        <w:t>technical engagement</w:t>
      </w:r>
      <w:r w:rsidR="006D4D1A">
        <w:t xml:space="preserve"> stage</w:t>
      </w:r>
      <w:r w:rsidR="001B7B19">
        <w:t>. It</w:t>
      </w:r>
      <w:r w:rsidR="007D1008">
        <w:t xml:space="preserve"> agreed that</w:t>
      </w:r>
      <w:r w:rsidR="00071D1D">
        <w:t xml:space="preserve"> c</w:t>
      </w:r>
      <w:r w:rsidR="00071D1D" w:rsidRPr="00071D1D">
        <w:t xml:space="preserve">anakinumab is not </w:t>
      </w:r>
      <w:r w:rsidR="00B54ED8">
        <w:t xml:space="preserve">routinely </w:t>
      </w:r>
      <w:r w:rsidR="00071D1D" w:rsidRPr="00071D1D">
        <w:t xml:space="preserve">used in the NHS for treating either </w:t>
      </w:r>
      <w:r w:rsidR="0024645B" w:rsidRPr="0024645B">
        <w:t xml:space="preserve">systemic juvenile idiopathic arthritis (JIA) </w:t>
      </w:r>
      <w:r w:rsidR="001B7B19">
        <w:t>or</w:t>
      </w:r>
      <w:r w:rsidR="001B7B19" w:rsidRPr="0024645B">
        <w:t xml:space="preserve"> </w:t>
      </w:r>
      <w:r w:rsidR="0024645B" w:rsidRPr="0024645B">
        <w:t>adult-onset Still’s disease (AOSD)</w:t>
      </w:r>
      <w:r w:rsidR="001B7B19">
        <w:t>, so</w:t>
      </w:r>
      <w:r w:rsidR="00071D1D">
        <w:t xml:space="preserve"> is </w:t>
      </w:r>
      <w:r w:rsidR="00071D1D" w:rsidRPr="00071D1D">
        <w:t>not a relevant comparator for anakinra</w:t>
      </w:r>
      <w:r w:rsidR="00071D1D">
        <w:t>.</w:t>
      </w:r>
    </w:p>
    <w:p w14:paraId="768DFFC4" w14:textId="35769179" w:rsidR="002B5772" w:rsidRDefault="002B5772" w:rsidP="0024645B">
      <w:pPr>
        <w:pStyle w:val="NICEnormal"/>
      </w:pPr>
      <w:r>
        <w:t>It recognised that there were remaining areas of uncertainty associated with the analyses presented (see technical report</w:t>
      </w:r>
      <w:r w:rsidR="00A33919">
        <w:t>,</w:t>
      </w:r>
      <w:r>
        <w:t xml:space="preserve"> </w:t>
      </w:r>
      <w:r w:rsidR="00A33919">
        <w:t>table</w:t>
      </w:r>
      <w:r w:rsidR="001B7B19">
        <w:t> </w:t>
      </w:r>
      <w:r w:rsidR="00A33919">
        <w:t xml:space="preserve">2, </w:t>
      </w:r>
      <w:r>
        <w:t>page</w:t>
      </w:r>
      <w:r w:rsidR="001B7B19">
        <w:t> </w:t>
      </w:r>
      <w:r w:rsidR="0024645B">
        <w:t>25</w:t>
      </w:r>
      <w:r>
        <w:t xml:space="preserve">), and took these into account in its decision making. It discussed </w:t>
      </w:r>
      <w:r w:rsidR="00A33919">
        <w:t>issues</w:t>
      </w:r>
      <w:r w:rsidR="001B7B19">
        <w:t> </w:t>
      </w:r>
      <w:r w:rsidR="0024645B">
        <w:t>1</w:t>
      </w:r>
      <w:r w:rsidR="009D783B">
        <w:t xml:space="preserve">, </w:t>
      </w:r>
      <w:r w:rsidR="0024645B">
        <w:t>3,</w:t>
      </w:r>
      <w:r w:rsidR="001B7B19">
        <w:t> </w:t>
      </w:r>
      <w:r w:rsidR="0024645B">
        <w:t>4,</w:t>
      </w:r>
      <w:r w:rsidR="001B7B19">
        <w:t> </w:t>
      </w:r>
      <w:r w:rsidR="0024645B">
        <w:t>5, 6,</w:t>
      </w:r>
      <w:r w:rsidR="009D783B">
        <w:t xml:space="preserve"> and</w:t>
      </w:r>
      <w:r w:rsidR="001B7B19">
        <w:t> </w:t>
      </w:r>
      <w:r w:rsidR="0024645B">
        <w:t>7</w:t>
      </w:r>
      <w:r w:rsidR="00A33919">
        <w:t>)</w:t>
      </w:r>
      <w:r>
        <w:t xml:space="preserve">, which were outstanding </w:t>
      </w:r>
      <w:r w:rsidR="00E95253">
        <w:t>after</w:t>
      </w:r>
      <w:r>
        <w:t xml:space="preserve"> </w:t>
      </w:r>
      <w:r w:rsidR="000205C6">
        <w:t xml:space="preserve">the </w:t>
      </w:r>
      <w:r>
        <w:t>technical engagement</w:t>
      </w:r>
      <w:r w:rsidR="000205C6">
        <w:t xml:space="preserve"> stage</w:t>
      </w:r>
      <w:r>
        <w:t>.</w:t>
      </w:r>
    </w:p>
    <w:p w14:paraId="6A4F2E1F" w14:textId="77777777" w:rsidR="00C45ED2" w:rsidRPr="00D50358" w:rsidRDefault="00C45ED2" w:rsidP="00C45ED2">
      <w:pPr>
        <w:pStyle w:val="Heading2"/>
      </w:pPr>
      <w:r w:rsidRPr="00D50358">
        <w:t>Clinical need</w:t>
      </w:r>
    </w:p>
    <w:p w14:paraId="7AA9468F" w14:textId="0E4E5136" w:rsidR="00C45ED2" w:rsidRPr="00D50358" w:rsidRDefault="005000C4" w:rsidP="00C45ED2">
      <w:pPr>
        <w:pStyle w:val="Heading3"/>
      </w:pPr>
      <w:r>
        <w:t xml:space="preserve">Still’s disease substantially affects </w:t>
      </w:r>
      <w:r w:rsidR="0096603F">
        <w:t xml:space="preserve">health-related </w:t>
      </w:r>
      <w:r>
        <w:t>quality of life</w:t>
      </w:r>
    </w:p>
    <w:p w14:paraId="326189BB" w14:textId="14D56CDE" w:rsidR="00B11DA5" w:rsidRPr="00B11DA5" w:rsidRDefault="00C45ED2" w:rsidP="00B11DA5">
      <w:pPr>
        <w:pStyle w:val="Numberedlevel2text"/>
      </w:pPr>
      <w:r w:rsidRPr="00AF7713">
        <w:t>The patient and clinical experts explained that there is a considerable unmet need for people with s</w:t>
      </w:r>
      <w:r w:rsidR="00C92352">
        <w:rPr>
          <w:lang w:val="en-GB"/>
        </w:rPr>
        <w:t xml:space="preserve">ystemic </w:t>
      </w:r>
      <w:r w:rsidRPr="00AF7713">
        <w:t xml:space="preserve">JIA and AOSD. </w:t>
      </w:r>
      <w:r w:rsidR="00AF7713" w:rsidRPr="00AF7713">
        <w:t xml:space="preserve">The patient experts described that Still’s disease is a highly debilitating </w:t>
      </w:r>
      <w:r w:rsidR="003A2DC0">
        <w:rPr>
          <w:lang w:val="en-GB"/>
        </w:rPr>
        <w:t>condition</w:t>
      </w:r>
      <w:r w:rsidR="003A2DC0" w:rsidRPr="00AF7713">
        <w:t xml:space="preserve"> </w:t>
      </w:r>
      <w:r w:rsidR="00557C5D">
        <w:rPr>
          <w:lang w:val="en-GB"/>
        </w:rPr>
        <w:t>affecting</w:t>
      </w:r>
      <w:r w:rsidR="00AF7713" w:rsidRPr="00AF7713">
        <w:rPr>
          <w:rFonts w:eastAsiaTheme="minorEastAsia"/>
        </w:rPr>
        <w:t xml:space="preserve"> many aspects of life</w:t>
      </w:r>
      <w:r w:rsidR="00AF7713" w:rsidRPr="00AF7713">
        <w:t xml:space="preserve">, including normal </w:t>
      </w:r>
      <w:r w:rsidR="00AF7713" w:rsidRPr="00AF7713">
        <w:rPr>
          <w:rFonts w:eastAsiaTheme="minorEastAsia"/>
        </w:rPr>
        <w:t>activities of everyday living</w:t>
      </w:r>
      <w:r w:rsidR="00AF7713">
        <w:rPr>
          <w:rFonts w:eastAsiaTheme="minorEastAsia"/>
          <w:lang w:val="en-GB"/>
        </w:rPr>
        <w:t xml:space="preserve">, </w:t>
      </w:r>
      <w:r w:rsidR="00AF7713" w:rsidRPr="00AF7713">
        <w:rPr>
          <w:rFonts w:eastAsiaTheme="minorEastAsia"/>
        </w:rPr>
        <w:t xml:space="preserve">education and work </w:t>
      </w:r>
      <w:r w:rsidR="00AF7713">
        <w:rPr>
          <w:rFonts w:eastAsiaTheme="minorEastAsia"/>
          <w:lang w:val="en-GB"/>
        </w:rPr>
        <w:t xml:space="preserve">opportunities, and personal </w:t>
      </w:r>
      <w:r w:rsidR="00AF7713" w:rsidRPr="00AF7713">
        <w:t>relationships</w:t>
      </w:r>
      <w:r w:rsidR="00AF7713">
        <w:rPr>
          <w:lang w:val="en-GB"/>
        </w:rPr>
        <w:t xml:space="preserve">. </w:t>
      </w:r>
      <w:r w:rsidR="000C0783">
        <w:rPr>
          <w:lang w:val="en-GB"/>
        </w:rPr>
        <w:t xml:space="preserve">A </w:t>
      </w:r>
      <w:r w:rsidR="004F092B">
        <w:rPr>
          <w:lang w:val="en-GB"/>
        </w:rPr>
        <w:t>patient expert</w:t>
      </w:r>
      <w:r w:rsidR="006B413D">
        <w:rPr>
          <w:lang w:val="en-GB"/>
        </w:rPr>
        <w:t>,</w:t>
      </w:r>
      <w:r w:rsidR="00711388">
        <w:rPr>
          <w:lang w:val="en-GB"/>
        </w:rPr>
        <w:t xml:space="preserve"> who was diagnosed with Still’s disease before </w:t>
      </w:r>
      <w:r w:rsidR="00091081">
        <w:rPr>
          <w:lang w:val="en-GB"/>
        </w:rPr>
        <w:t>biologic</w:t>
      </w:r>
      <w:r w:rsidR="00557C5D">
        <w:rPr>
          <w:lang w:val="en-GB"/>
        </w:rPr>
        <w:t>al disease-modifying antirheumatic drugs (</w:t>
      </w:r>
      <w:r w:rsidR="00711388">
        <w:rPr>
          <w:lang w:val="en-GB"/>
        </w:rPr>
        <w:t>DMARDs</w:t>
      </w:r>
      <w:r w:rsidR="00557C5D">
        <w:rPr>
          <w:lang w:val="en-GB"/>
        </w:rPr>
        <w:t>)</w:t>
      </w:r>
      <w:r w:rsidR="00711388">
        <w:rPr>
          <w:lang w:val="en-GB"/>
        </w:rPr>
        <w:t xml:space="preserve"> were available</w:t>
      </w:r>
      <w:r w:rsidR="006B413D">
        <w:rPr>
          <w:lang w:val="en-GB"/>
        </w:rPr>
        <w:t>,</w:t>
      </w:r>
      <w:r w:rsidR="004F092B">
        <w:rPr>
          <w:lang w:val="en-GB"/>
        </w:rPr>
        <w:t xml:space="preserve"> described </w:t>
      </w:r>
      <w:r w:rsidR="000C0783">
        <w:rPr>
          <w:lang w:val="en-GB"/>
        </w:rPr>
        <w:t>t</w:t>
      </w:r>
      <w:r w:rsidR="004F092B">
        <w:rPr>
          <w:lang w:val="en-GB"/>
        </w:rPr>
        <w:t>he</w:t>
      </w:r>
      <w:r w:rsidR="000C0783">
        <w:rPr>
          <w:lang w:val="en-GB"/>
        </w:rPr>
        <w:t>i</w:t>
      </w:r>
      <w:r w:rsidR="004F092B">
        <w:rPr>
          <w:lang w:val="en-GB"/>
        </w:rPr>
        <w:t>r experience of having had multiple joint replacement surgeries from an early age</w:t>
      </w:r>
      <w:r w:rsidR="001E24D2">
        <w:rPr>
          <w:lang w:val="en-GB"/>
        </w:rPr>
        <w:t>.</w:t>
      </w:r>
      <w:r w:rsidR="004F092B">
        <w:rPr>
          <w:lang w:val="en-GB"/>
        </w:rPr>
        <w:t xml:space="preserve"> </w:t>
      </w:r>
      <w:r w:rsidR="00AF7713">
        <w:rPr>
          <w:lang w:val="en-GB"/>
        </w:rPr>
        <w:t>The committee heard that treatment with corticosteroids and conventional DMARD</w:t>
      </w:r>
      <w:r w:rsidR="003321B8">
        <w:rPr>
          <w:lang w:val="en-GB"/>
        </w:rPr>
        <w:t>s</w:t>
      </w:r>
      <w:r w:rsidR="00AF7713">
        <w:rPr>
          <w:lang w:val="en-GB"/>
        </w:rPr>
        <w:t xml:space="preserve"> such as methotrexate </w:t>
      </w:r>
      <w:r w:rsidR="00E84ED8">
        <w:rPr>
          <w:lang w:val="en-GB"/>
        </w:rPr>
        <w:t xml:space="preserve">is </w:t>
      </w:r>
      <w:r w:rsidR="00AF7713">
        <w:rPr>
          <w:lang w:val="en-GB"/>
        </w:rPr>
        <w:t>associated with adverse reactions</w:t>
      </w:r>
      <w:r w:rsidR="00557C5D">
        <w:rPr>
          <w:lang w:val="en-GB"/>
        </w:rPr>
        <w:t>. These</w:t>
      </w:r>
      <w:r w:rsidR="00AF7713">
        <w:rPr>
          <w:lang w:val="en-GB"/>
        </w:rPr>
        <w:t xml:space="preserve"> </w:t>
      </w:r>
      <w:r w:rsidR="00557C5D">
        <w:rPr>
          <w:lang w:val="en-GB"/>
        </w:rPr>
        <w:t xml:space="preserve">can affect </w:t>
      </w:r>
      <w:r w:rsidR="004F092B">
        <w:rPr>
          <w:lang w:val="en-GB"/>
        </w:rPr>
        <w:t xml:space="preserve">quality of life, </w:t>
      </w:r>
      <w:r w:rsidR="00E60DC5">
        <w:rPr>
          <w:lang w:val="en-GB"/>
        </w:rPr>
        <w:t xml:space="preserve">including </w:t>
      </w:r>
      <w:r w:rsidR="004F092B">
        <w:rPr>
          <w:lang w:val="en-GB"/>
        </w:rPr>
        <w:t xml:space="preserve">important life decisions such as whether to have children (methotrexate is contraindicated in pregnancy). </w:t>
      </w:r>
      <w:r w:rsidR="00076BBF">
        <w:rPr>
          <w:lang w:val="en-GB"/>
        </w:rPr>
        <w:t xml:space="preserve">The committee concluded </w:t>
      </w:r>
      <w:r w:rsidR="0036391F">
        <w:rPr>
          <w:lang w:val="en-GB"/>
        </w:rPr>
        <w:t xml:space="preserve">that Still’s disease is </w:t>
      </w:r>
      <w:r w:rsidR="0036391F" w:rsidRPr="005000C4">
        <w:rPr>
          <w:lang w:val="en-GB"/>
        </w:rPr>
        <w:t>a debilitating condition that substantially affects both physical and psychological aspects of health-related quality of life</w:t>
      </w:r>
      <w:r w:rsidR="0036391F">
        <w:rPr>
          <w:lang w:val="en-GB"/>
        </w:rPr>
        <w:t>.</w:t>
      </w:r>
    </w:p>
    <w:p w14:paraId="4F386FF9" w14:textId="5F66DE73" w:rsidR="00B11DA5" w:rsidRDefault="00B11DA5" w:rsidP="00B11DA5">
      <w:pPr>
        <w:pStyle w:val="Heading2"/>
      </w:pPr>
      <w:r>
        <w:lastRenderedPageBreak/>
        <w:t xml:space="preserve">Clinical </w:t>
      </w:r>
      <w:r w:rsidR="0094330B">
        <w:t>m</w:t>
      </w:r>
      <w:r>
        <w:t>anagement</w:t>
      </w:r>
    </w:p>
    <w:p w14:paraId="5B46BF96" w14:textId="642D36BB" w:rsidR="00B11DA5" w:rsidRPr="00B11DA5" w:rsidRDefault="00B11DA5" w:rsidP="00B11DA5">
      <w:pPr>
        <w:pStyle w:val="Heading3"/>
      </w:pPr>
      <w:bookmarkStart w:id="0" w:name="_Clinicians_and_patients"/>
      <w:bookmarkEnd w:id="0"/>
      <w:r>
        <w:t xml:space="preserve">Clinicians </w:t>
      </w:r>
      <w:r w:rsidR="00A81E4F">
        <w:t xml:space="preserve">and patients </w:t>
      </w:r>
      <w:r>
        <w:t xml:space="preserve">would prefer earlier access to </w:t>
      </w:r>
      <w:r w:rsidR="00091081">
        <w:t>biologic</w:t>
      </w:r>
      <w:r w:rsidR="005F4372">
        <w:t>al</w:t>
      </w:r>
      <w:r w:rsidR="0036391F">
        <w:t xml:space="preserve"> </w:t>
      </w:r>
      <w:r>
        <w:t>DMARDs such as anakinra</w:t>
      </w:r>
    </w:p>
    <w:p w14:paraId="124AA427" w14:textId="37F1D696" w:rsidR="00611B19" w:rsidRDefault="00A50EBD" w:rsidP="00C45118">
      <w:pPr>
        <w:pStyle w:val="Numberedlevel2text"/>
        <w:rPr>
          <w:lang w:val="en-GB"/>
        </w:rPr>
      </w:pPr>
      <w:bookmarkStart w:id="1" w:name="_Ref57984920"/>
      <w:bookmarkStart w:id="2" w:name="_Ref57904426"/>
      <w:r>
        <w:t xml:space="preserve">The clinical experts explained that </w:t>
      </w:r>
      <w:r w:rsidR="003C6321">
        <w:rPr>
          <w:lang w:val="en-GB"/>
        </w:rPr>
        <w:t>the</w:t>
      </w:r>
      <w:r w:rsidR="008C330E">
        <w:rPr>
          <w:lang w:val="en-GB"/>
        </w:rPr>
        <w:t xml:space="preserve"> </w:t>
      </w:r>
      <w:hyperlink r:id="rId10" w:history="1">
        <w:r w:rsidR="008A0324">
          <w:rPr>
            <w:rStyle w:val="Hyperlink"/>
            <w:lang w:val="en-GB"/>
          </w:rPr>
          <w:t>NHS England clinical commissioning policy on anakinra</w:t>
        </w:r>
        <w:r w:rsidR="00F2112A">
          <w:rPr>
            <w:rStyle w:val="Hyperlink"/>
            <w:lang w:val="en-GB"/>
          </w:rPr>
          <w:t xml:space="preserve"> and tocilizumab</w:t>
        </w:r>
        <w:r w:rsidR="008A0324">
          <w:rPr>
            <w:rStyle w:val="Hyperlink"/>
            <w:lang w:val="en-GB"/>
          </w:rPr>
          <w:t xml:space="preserve"> for ASOD</w:t>
        </w:r>
      </w:hyperlink>
      <w:r w:rsidR="00245B96">
        <w:rPr>
          <w:lang w:val="en-GB"/>
        </w:rPr>
        <w:t xml:space="preserve"> and</w:t>
      </w:r>
      <w:r w:rsidR="003C6321">
        <w:rPr>
          <w:lang w:val="en-GB"/>
        </w:rPr>
        <w:t xml:space="preserve"> its</w:t>
      </w:r>
      <w:r w:rsidR="00245B96">
        <w:rPr>
          <w:lang w:val="en-GB"/>
        </w:rPr>
        <w:t xml:space="preserve"> </w:t>
      </w:r>
      <w:hyperlink r:id="rId11" w:history="1">
        <w:r w:rsidR="003C6321">
          <w:rPr>
            <w:rStyle w:val="Hyperlink"/>
            <w:lang w:val="en-GB"/>
          </w:rPr>
          <w:t>policy statement on biologic therapies for the treatment of juvenile idiopathic arthritis</w:t>
        </w:r>
      </w:hyperlink>
      <w:r w:rsidR="00245B96">
        <w:rPr>
          <w:lang w:val="en-GB"/>
        </w:rPr>
        <w:t xml:space="preserve"> </w:t>
      </w:r>
      <w:r>
        <w:t>do not reflect how clinicians would like to treat s</w:t>
      </w:r>
      <w:r w:rsidR="00C92352">
        <w:rPr>
          <w:lang w:val="en-GB"/>
        </w:rPr>
        <w:t>ystemic</w:t>
      </w:r>
      <w:r w:rsidR="005F4372">
        <w:rPr>
          <w:lang w:val="en-GB"/>
        </w:rPr>
        <w:t xml:space="preserve"> </w:t>
      </w:r>
      <w:r>
        <w:t xml:space="preserve">JIA and AOSD. </w:t>
      </w:r>
      <w:r w:rsidR="008C330E">
        <w:rPr>
          <w:lang w:val="en-GB"/>
        </w:rPr>
        <w:t xml:space="preserve">They </w:t>
      </w:r>
      <w:r w:rsidR="00660B77">
        <w:rPr>
          <w:lang w:val="en-GB"/>
        </w:rPr>
        <w:t xml:space="preserve">provide funding for </w:t>
      </w:r>
      <w:r w:rsidR="008C330E">
        <w:rPr>
          <w:lang w:val="en-GB"/>
        </w:rPr>
        <w:t>anakinra</w:t>
      </w:r>
      <w:r w:rsidR="00451A0B">
        <w:rPr>
          <w:lang w:val="en-GB"/>
        </w:rPr>
        <w:t xml:space="preserve"> </w:t>
      </w:r>
      <w:r w:rsidR="00FF6CE7">
        <w:rPr>
          <w:lang w:val="en-GB"/>
        </w:rPr>
        <w:t>for</w:t>
      </w:r>
      <w:r w:rsidR="00451A0B">
        <w:rPr>
          <w:lang w:val="en-GB"/>
        </w:rPr>
        <w:t xml:space="preserve"> </w:t>
      </w:r>
      <w:r w:rsidR="003A2DC0">
        <w:rPr>
          <w:lang w:val="en-GB"/>
        </w:rPr>
        <w:t>people with</w:t>
      </w:r>
      <w:r w:rsidR="00611B19">
        <w:rPr>
          <w:lang w:val="en-GB"/>
        </w:rPr>
        <w:t>:</w:t>
      </w:r>
      <w:bookmarkEnd w:id="1"/>
    </w:p>
    <w:p w14:paraId="4725A163" w14:textId="77777777" w:rsidR="00DA1480" w:rsidRDefault="00DA1480" w:rsidP="00611B19">
      <w:pPr>
        <w:pStyle w:val="Bulletindent1"/>
      </w:pPr>
      <w:r>
        <w:t>AOSD when the condition has not responded to 2 or more conventional DMARDs</w:t>
      </w:r>
    </w:p>
    <w:p w14:paraId="1434EEC5" w14:textId="53C210D5" w:rsidR="00611B19" w:rsidRDefault="00451A0B" w:rsidP="00611B19">
      <w:pPr>
        <w:pStyle w:val="Bulletindent1"/>
      </w:pPr>
      <w:r>
        <w:t>s</w:t>
      </w:r>
      <w:r w:rsidR="00C92352">
        <w:t xml:space="preserve">ystemic </w:t>
      </w:r>
      <w:r>
        <w:t>JIA</w:t>
      </w:r>
      <w:r w:rsidR="00DA1480">
        <w:t xml:space="preserve"> when the condition has not responded to tocilizumab,</w:t>
      </w:r>
      <w:r>
        <w:t xml:space="preserve"> </w:t>
      </w:r>
      <w:r w:rsidR="00DA1480">
        <w:t>in line wit</w:t>
      </w:r>
      <w:r w:rsidR="003C6321">
        <w:t xml:space="preserve">h </w:t>
      </w:r>
      <w:hyperlink r:id="rId12" w:history="1">
        <w:r w:rsidR="003C6321" w:rsidRPr="00A0417A">
          <w:rPr>
            <w:rStyle w:val="Hyperlink"/>
          </w:rPr>
          <w:t xml:space="preserve">NICE’s technology appraisal guidance on </w:t>
        </w:r>
        <w:r w:rsidR="003C6321">
          <w:rPr>
            <w:rStyle w:val="Hyperlink"/>
          </w:rPr>
          <w:t>t</w:t>
        </w:r>
        <w:r w:rsidR="003C6321" w:rsidRPr="00A0417A">
          <w:rPr>
            <w:rStyle w:val="Hyperlink"/>
          </w:rPr>
          <w:t>ocilizumab</w:t>
        </w:r>
      </w:hyperlink>
      <w:r w:rsidR="004822B5">
        <w:t>.</w:t>
      </w:r>
    </w:p>
    <w:p w14:paraId="1AB34143" w14:textId="19A86CCD" w:rsidR="00D3088E" w:rsidRDefault="003A2DC0" w:rsidP="00DA1480">
      <w:pPr>
        <w:pStyle w:val="Bulletindent1last"/>
        <w:numPr>
          <w:ilvl w:val="0"/>
          <w:numId w:val="0"/>
        </w:numPr>
        <w:ind w:left="1134"/>
      </w:pPr>
      <w:r>
        <w:br/>
      </w:r>
      <w:r w:rsidR="003C6321">
        <w:t xml:space="preserve">This </w:t>
      </w:r>
      <w:r w:rsidR="00B41436">
        <w:t xml:space="preserve">guidance </w:t>
      </w:r>
      <w:r w:rsidR="000C1D7B">
        <w:t>recommend</w:t>
      </w:r>
      <w:r w:rsidR="00A0417A">
        <w:t xml:space="preserve">s </w:t>
      </w:r>
      <w:r w:rsidR="008C330E">
        <w:t xml:space="preserve">using </w:t>
      </w:r>
      <w:r w:rsidR="003C6321">
        <w:t>tocilizumab</w:t>
      </w:r>
      <w:r w:rsidR="008C330E">
        <w:t xml:space="preserve"> to </w:t>
      </w:r>
      <w:r w:rsidR="00A0417A">
        <w:t xml:space="preserve">treat </w:t>
      </w:r>
      <w:r w:rsidR="000C1D7B">
        <w:t>s</w:t>
      </w:r>
      <w:r w:rsidR="00C92352">
        <w:t xml:space="preserve">ystemic </w:t>
      </w:r>
      <w:r w:rsidR="000C1D7B">
        <w:t xml:space="preserve">JIA </w:t>
      </w:r>
      <w:r w:rsidR="006D6FF5">
        <w:t>that</w:t>
      </w:r>
      <w:r w:rsidRPr="000C1D7B">
        <w:t xml:space="preserve"> </w:t>
      </w:r>
      <w:r w:rsidR="000C1D7B" w:rsidRPr="000C1D7B">
        <w:t xml:space="preserve">has responded inadequately to </w:t>
      </w:r>
      <w:r w:rsidR="006D6FF5">
        <w:t>non-steroidal anti-inflammatory drugs (</w:t>
      </w:r>
      <w:r w:rsidR="000C1D7B" w:rsidRPr="000C1D7B">
        <w:t>NSAIDs</w:t>
      </w:r>
      <w:r w:rsidR="006D6FF5">
        <w:t>)</w:t>
      </w:r>
      <w:r w:rsidR="000C1D7B" w:rsidRPr="000C1D7B">
        <w:t>, systemic corticosteroids and methotrexate</w:t>
      </w:r>
      <w:r w:rsidR="00A50EBD">
        <w:t>.</w:t>
      </w:r>
      <w:r w:rsidR="000C1D7B">
        <w:t xml:space="preserve"> </w:t>
      </w:r>
      <w:r w:rsidR="00B11DA5">
        <w:t xml:space="preserve">The </w:t>
      </w:r>
      <w:r w:rsidR="00C45118">
        <w:t>clinical experts</w:t>
      </w:r>
      <w:r w:rsidR="006D6FF5">
        <w:t xml:space="preserve"> explained</w:t>
      </w:r>
      <w:r w:rsidR="004F092B">
        <w:t xml:space="preserve"> that greater flexibility to use </w:t>
      </w:r>
      <w:r w:rsidR="00091081">
        <w:t>biologic</w:t>
      </w:r>
      <w:r w:rsidR="006D6FF5">
        <w:t>al</w:t>
      </w:r>
      <w:r w:rsidR="004F092B">
        <w:t xml:space="preserve"> </w:t>
      </w:r>
      <w:r w:rsidR="00340413">
        <w:t>DMARDs</w:t>
      </w:r>
      <w:r w:rsidR="004F092B">
        <w:t xml:space="preserve"> such as anakinra earlier in the treatment pathway would enable better outcomes for </w:t>
      </w:r>
      <w:r w:rsidR="00E77578">
        <w:t>people with the condition</w:t>
      </w:r>
      <w:r w:rsidR="006D6FF5">
        <w:t>. This is because it would result in</w:t>
      </w:r>
      <w:r w:rsidR="004F092B">
        <w:t xml:space="preserve"> quicker disease control that would better prevent progressive joint and systemic damage. One clinical expert suggested that the </w:t>
      </w:r>
      <w:r w:rsidR="006D6FF5">
        <w:t xml:space="preserve">need </w:t>
      </w:r>
      <w:r w:rsidR="004F092B">
        <w:t xml:space="preserve">to use </w:t>
      </w:r>
      <w:r w:rsidR="000C1D7B">
        <w:t xml:space="preserve">conventional DMARDs </w:t>
      </w:r>
      <w:r w:rsidR="006D6FF5">
        <w:t xml:space="preserve">before </w:t>
      </w:r>
      <w:r w:rsidR="00091081">
        <w:t>biologic</w:t>
      </w:r>
      <w:r w:rsidR="006D6FF5">
        <w:t>al</w:t>
      </w:r>
      <w:r w:rsidR="000C1D7B">
        <w:t xml:space="preserve"> </w:t>
      </w:r>
      <w:r w:rsidR="00622130">
        <w:t xml:space="preserve">DMARDs can cause substantial delays </w:t>
      </w:r>
      <w:r w:rsidR="006D0C54">
        <w:t xml:space="preserve">in </w:t>
      </w:r>
      <w:r w:rsidR="00611B19">
        <w:t xml:space="preserve">controlling </w:t>
      </w:r>
      <w:r w:rsidR="006D0C54">
        <w:t xml:space="preserve">Still’s </w:t>
      </w:r>
      <w:r w:rsidR="00611B19">
        <w:t>disease</w:t>
      </w:r>
      <w:r w:rsidR="008C330E">
        <w:t>,</w:t>
      </w:r>
      <w:r w:rsidR="00566F40">
        <w:t xml:space="preserve"> and </w:t>
      </w:r>
      <w:r w:rsidR="006D0C54">
        <w:t xml:space="preserve">can </w:t>
      </w:r>
      <w:r w:rsidR="00566F40">
        <w:t xml:space="preserve">lead to prolonged </w:t>
      </w:r>
      <w:r w:rsidR="006D6FF5">
        <w:t>cortico</w:t>
      </w:r>
      <w:r w:rsidR="00566F40">
        <w:t>steroid use</w:t>
      </w:r>
      <w:r w:rsidR="00622130">
        <w:t xml:space="preserve">. </w:t>
      </w:r>
      <w:r w:rsidR="00483DEE">
        <w:t xml:space="preserve">The company highlighted that the marketing authorisation allows anakinra to be used earlier in the pathway than the NHS England </w:t>
      </w:r>
      <w:r w:rsidR="00F46CCC">
        <w:t>commissioning policies</w:t>
      </w:r>
      <w:r w:rsidR="00F2112A">
        <w:t xml:space="preserve"> do</w:t>
      </w:r>
      <w:r w:rsidR="00F46CCC">
        <w:t xml:space="preserve">. </w:t>
      </w:r>
      <w:r w:rsidR="00622130">
        <w:t>The committee heard that</w:t>
      </w:r>
      <w:r w:rsidR="006D6FF5">
        <w:t>,</w:t>
      </w:r>
      <w:r w:rsidR="00622130">
        <w:t xml:space="preserve"> </w:t>
      </w:r>
      <w:r w:rsidR="00596243">
        <w:t xml:space="preserve">by following the </w:t>
      </w:r>
      <w:r w:rsidR="00B11DA5">
        <w:t>NHS England commissioning policies</w:t>
      </w:r>
      <w:r w:rsidR="006D6FF5">
        <w:t>,</w:t>
      </w:r>
      <w:r w:rsidR="00B11DA5">
        <w:t xml:space="preserve"> </w:t>
      </w:r>
      <w:r w:rsidR="00E77578">
        <w:t xml:space="preserve">people </w:t>
      </w:r>
      <w:r w:rsidR="00B11DA5">
        <w:t xml:space="preserve">can </w:t>
      </w:r>
      <w:r w:rsidR="00596243">
        <w:t>wait up to</w:t>
      </w:r>
      <w:r w:rsidR="00B11DA5">
        <w:t xml:space="preserve"> 6</w:t>
      </w:r>
      <w:r w:rsidR="006D6FF5">
        <w:t> </w:t>
      </w:r>
      <w:r w:rsidR="00B11DA5">
        <w:t>month</w:t>
      </w:r>
      <w:r w:rsidR="00BD094F">
        <w:t>s</w:t>
      </w:r>
      <w:r w:rsidR="00B11DA5">
        <w:t xml:space="preserve"> </w:t>
      </w:r>
      <w:r w:rsidR="00FC10B4">
        <w:t xml:space="preserve">before </w:t>
      </w:r>
      <w:r w:rsidR="006D6FF5">
        <w:t>their condition is</w:t>
      </w:r>
      <w:r w:rsidR="00B11DA5">
        <w:t xml:space="preserve"> control</w:t>
      </w:r>
      <w:r w:rsidR="006D6FF5">
        <w:t>led because of</w:t>
      </w:r>
      <w:r w:rsidR="00FC10B4">
        <w:t xml:space="preserve"> </w:t>
      </w:r>
      <w:r w:rsidR="006D6FF5">
        <w:t xml:space="preserve">the </w:t>
      </w:r>
      <w:r w:rsidR="00FC10B4">
        <w:t>requirement to try multiple treatments before anakinra</w:t>
      </w:r>
      <w:r w:rsidR="00B11DA5">
        <w:t>.</w:t>
      </w:r>
      <w:r w:rsidR="00622130">
        <w:t xml:space="preserve"> </w:t>
      </w:r>
      <w:r w:rsidR="0036391F">
        <w:t>The patient experts</w:t>
      </w:r>
      <w:r w:rsidR="006D6FF5">
        <w:t xml:space="preserve"> explained</w:t>
      </w:r>
      <w:r w:rsidR="0036391F">
        <w:t xml:space="preserve"> that </w:t>
      </w:r>
      <w:r w:rsidR="006D6FF5">
        <w:t>using</w:t>
      </w:r>
      <w:r w:rsidR="0036391F">
        <w:t xml:space="preserve"> anakinra earlier in the pathway could dramatically improve quality of life through improved disease control and better long</w:t>
      </w:r>
      <w:r w:rsidR="00BD094F">
        <w:t>-</w:t>
      </w:r>
      <w:r w:rsidR="0036391F">
        <w:t>term outcomes</w:t>
      </w:r>
      <w:r w:rsidR="006D6FF5">
        <w:t xml:space="preserve"> (</w:t>
      </w:r>
      <w:r w:rsidR="0036391F">
        <w:t xml:space="preserve">such as </w:t>
      </w:r>
      <w:r w:rsidR="006D6FF5">
        <w:lastRenderedPageBreak/>
        <w:t>avoiding</w:t>
      </w:r>
      <w:r w:rsidR="0036391F">
        <w:t xml:space="preserve"> or delay</w:t>
      </w:r>
      <w:r w:rsidR="006D6FF5">
        <w:t>ing</w:t>
      </w:r>
      <w:r w:rsidR="0036391F">
        <w:t xml:space="preserve"> joint damage</w:t>
      </w:r>
      <w:r w:rsidR="006D6FF5">
        <w:t>)</w:t>
      </w:r>
      <w:r w:rsidR="0036391F">
        <w:t>.</w:t>
      </w:r>
      <w:r w:rsidR="0036391F" w:rsidRPr="00AF7713">
        <w:t xml:space="preserve"> </w:t>
      </w:r>
      <w:r w:rsidR="00B11DA5">
        <w:t>The clinical experts further explained that t</w:t>
      </w:r>
      <w:r w:rsidR="00B11DA5" w:rsidRPr="00B11DA5">
        <w:t>here are different phenotypes</w:t>
      </w:r>
      <w:r w:rsidR="00B11DA5">
        <w:t xml:space="preserve"> in s</w:t>
      </w:r>
      <w:r w:rsidR="00C92352">
        <w:t xml:space="preserve">ystemic </w:t>
      </w:r>
      <w:r w:rsidR="00B11DA5">
        <w:t>JIA and AOSD</w:t>
      </w:r>
      <w:r w:rsidR="006D6FF5">
        <w:t>. S</w:t>
      </w:r>
      <w:r w:rsidR="00B11DA5" w:rsidRPr="00B11DA5">
        <w:t>ome</w:t>
      </w:r>
      <w:r w:rsidR="00B11DA5">
        <w:t xml:space="preserve"> </w:t>
      </w:r>
      <w:r w:rsidR="00E77578">
        <w:t xml:space="preserve">people </w:t>
      </w:r>
      <w:r w:rsidR="00B11DA5">
        <w:t>present with</w:t>
      </w:r>
      <w:r w:rsidR="00B11DA5" w:rsidRPr="00B11DA5">
        <w:t xml:space="preserve"> </w:t>
      </w:r>
      <w:r w:rsidR="006D6FF5">
        <w:t>mainly</w:t>
      </w:r>
      <w:r w:rsidR="006D6FF5" w:rsidRPr="00B11DA5">
        <w:t xml:space="preserve"> </w:t>
      </w:r>
      <w:r w:rsidR="00B11DA5" w:rsidRPr="00B11DA5">
        <w:t>systemic</w:t>
      </w:r>
      <w:r w:rsidR="00B11DA5">
        <w:t xml:space="preserve"> disease</w:t>
      </w:r>
      <w:r w:rsidR="00B11DA5" w:rsidRPr="00B11DA5">
        <w:t xml:space="preserve">, some with evidence of macrophage activation </w:t>
      </w:r>
      <w:r w:rsidR="00575F84">
        <w:t xml:space="preserve">syndrome </w:t>
      </w:r>
      <w:r w:rsidR="00B11DA5" w:rsidRPr="00B11DA5">
        <w:t>and some with a strong arthritic component.</w:t>
      </w:r>
      <w:r w:rsidR="00B11DA5">
        <w:t xml:space="preserve"> This complexity means that some symptoms might respond </w:t>
      </w:r>
      <w:r w:rsidR="00E77578">
        <w:t xml:space="preserve">more </w:t>
      </w:r>
      <w:r w:rsidR="00B11DA5">
        <w:t xml:space="preserve">to </w:t>
      </w:r>
      <w:r w:rsidR="00E77578">
        <w:t>1 </w:t>
      </w:r>
      <w:r w:rsidR="00B11DA5">
        <w:t xml:space="preserve">specific </w:t>
      </w:r>
      <w:r w:rsidR="00091081">
        <w:t>biologic</w:t>
      </w:r>
      <w:r w:rsidR="00E77578">
        <w:t>al</w:t>
      </w:r>
      <w:r w:rsidR="004C0B9F">
        <w:t xml:space="preserve"> DMARD </w:t>
      </w:r>
      <w:r w:rsidR="00E77578">
        <w:t xml:space="preserve">than </w:t>
      </w:r>
      <w:r w:rsidR="004C0B9F">
        <w:t>another</w:t>
      </w:r>
      <w:r w:rsidR="00B11DA5">
        <w:t xml:space="preserve">. The committee </w:t>
      </w:r>
      <w:r w:rsidR="004C0B9F">
        <w:t xml:space="preserve">concluded </w:t>
      </w:r>
      <w:r w:rsidR="00B11DA5">
        <w:t>that</w:t>
      </w:r>
      <w:r w:rsidR="00622130">
        <w:t xml:space="preserve"> clinicians would welcome the option to choose when and how to use </w:t>
      </w:r>
      <w:r w:rsidR="00091081">
        <w:t>biologic</w:t>
      </w:r>
      <w:r w:rsidR="00E77578">
        <w:t>al</w:t>
      </w:r>
      <w:r w:rsidR="000C1D7B">
        <w:t xml:space="preserve"> DMARD</w:t>
      </w:r>
      <w:r w:rsidR="00622130">
        <w:t xml:space="preserve">s with NSAIDs, corticosteroids and </w:t>
      </w:r>
      <w:r w:rsidR="000C1D7B">
        <w:t>conventional DMARD</w:t>
      </w:r>
      <w:r w:rsidR="00622130">
        <w:t>s according to disease phenotype</w:t>
      </w:r>
      <w:r w:rsidR="00E77578">
        <w:t>. The aim would be</w:t>
      </w:r>
      <w:r w:rsidR="00622130">
        <w:t xml:space="preserve"> to achieve more rapid disease control and improve outcomes.</w:t>
      </w:r>
      <w:bookmarkEnd w:id="2"/>
    </w:p>
    <w:p w14:paraId="21000A96" w14:textId="532284B9" w:rsidR="00B6157F" w:rsidRDefault="00095189" w:rsidP="004822B5">
      <w:pPr>
        <w:pStyle w:val="Heading3"/>
      </w:pPr>
      <w:r>
        <w:t>Anakinra’s use for m</w:t>
      </w:r>
      <w:r w:rsidR="00D05DE9">
        <w:t xml:space="preserve">acrophage activation syndrome is not </w:t>
      </w:r>
      <w:r w:rsidR="00A945BD">
        <w:t>with</w:t>
      </w:r>
      <w:r w:rsidR="00D05DE9">
        <w:t xml:space="preserve">in the </w:t>
      </w:r>
      <w:r w:rsidR="004822B5">
        <w:t>remit</w:t>
      </w:r>
      <w:r w:rsidR="00D05DE9">
        <w:t xml:space="preserve"> of this appraisal</w:t>
      </w:r>
    </w:p>
    <w:p w14:paraId="64AEE8ED" w14:textId="2D38BF67" w:rsidR="00F412ED" w:rsidRPr="00B6157F" w:rsidRDefault="00F412ED" w:rsidP="00F412ED">
      <w:pPr>
        <w:pStyle w:val="Numberedlevel2text"/>
      </w:pPr>
      <w:r>
        <w:t xml:space="preserve">Using anakinra for macrophage activation syndrome falls outside of its marketing authorisation. The committee noted that the </w:t>
      </w:r>
      <w:r w:rsidRPr="00E37B2D">
        <w:t>NHS England clinical commissioning polic</w:t>
      </w:r>
      <w:r>
        <w:t>y</w:t>
      </w:r>
      <w:r w:rsidRPr="00E37B2D">
        <w:t xml:space="preserve"> for systemic </w:t>
      </w:r>
      <w:r>
        <w:t>JIA</w:t>
      </w:r>
      <w:r w:rsidRPr="00E37B2D">
        <w:t xml:space="preserve"> </w:t>
      </w:r>
      <w:r>
        <w:t>provides</w:t>
      </w:r>
      <w:r w:rsidRPr="00E37B2D">
        <w:t xml:space="preserve"> </w:t>
      </w:r>
      <w:r>
        <w:t xml:space="preserve">funding for </w:t>
      </w:r>
      <w:r w:rsidRPr="00E37B2D">
        <w:t>anakinra</w:t>
      </w:r>
      <w:r>
        <w:t xml:space="preserve"> </w:t>
      </w:r>
      <w:r w:rsidRPr="00E37B2D">
        <w:t xml:space="preserve">for </w:t>
      </w:r>
      <w:r>
        <w:t xml:space="preserve">macrophage activation syndrome. The committee understood that the relevant part of the commissioning policy for macrophage activation syndrome in systemic JIA would continue to stand regardless of the outcome of this appraisal. </w:t>
      </w:r>
      <w:r w:rsidRPr="00E37B2D">
        <w:t>NICE can only appraise a technology within its marketing authorisation</w:t>
      </w:r>
      <w:r>
        <w:rPr>
          <w:lang w:val="en-GB"/>
        </w:rPr>
        <w:t>,</w:t>
      </w:r>
      <w:r>
        <w:t xml:space="preserve"> so</w:t>
      </w:r>
      <w:r w:rsidRPr="00E37B2D">
        <w:t xml:space="preserve"> </w:t>
      </w:r>
      <w:r>
        <w:t xml:space="preserve">the committee concluded that </w:t>
      </w:r>
      <w:r>
        <w:rPr>
          <w:lang w:val="en-GB"/>
        </w:rPr>
        <w:t>using</w:t>
      </w:r>
      <w:r>
        <w:t xml:space="preserve"> </w:t>
      </w:r>
      <w:r w:rsidRPr="00E37B2D">
        <w:t xml:space="preserve">anakinra </w:t>
      </w:r>
      <w:r>
        <w:t xml:space="preserve">in macrophage activation syndrome </w:t>
      </w:r>
      <w:r w:rsidRPr="00E37B2D">
        <w:t xml:space="preserve">is not </w:t>
      </w:r>
      <w:r w:rsidR="00F2112A">
        <w:rPr>
          <w:lang w:val="en-GB"/>
        </w:rPr>
        <w:t>with</w:t>
      </w:r>
      <w:r>
        <w:t>in the remit</w:t>
      </w:r>
      <w:r w:rsidRPr="00E37B2D">
        <w:t xml:space="preserve"> </w:t>
      </w:r>
      <w:r>
        <w:t xml:space="preserve">of </w:t>
      </w:r>
      <w:r w:rsidRPr="00E37B2D">
        <w:t>this appraisal</w:t>
      </w:r>
      <w:r>
        <w:t>.</w:t>
      </w:r>
    </w:p>
    <w:p w14:paraId="671CB273" w14:textId="1B64FDCE" w:rsidR="00C45118" w:rsidRDefault="00C45118" w:rsidP="00C45118">
      <w:pPr>
        <w:pStyle w:val="Heading2"/>
      </w:pPr>
      <w:r>
        <w:t>Clinical evidence</w:t>
      </w:r>
    </w:p>
    <w:p w14:paraId="0C699AA3" w14:textId="488B9441" w:rsidR="00C45118" w:rsidRDefault="00C45118" w:rsidP="00C45118">
      <w:pPr>
        <w:pStyle w:val="Heading3"/>
      </w:pPr>
      <w:bookmarkStart w:id="3" w:name="_The_clinical_evidence"/>
      <w:bookmarkEnd w:id="3"/>
      <w:r>
        <w:t xml:space="preserve">The clinical evidence for anakinra after </w:t>
      </w:r>
      <w:r w:rsidR="00055D39">
        <w:t>conventional DMARDs</w:t>
      </w:r>
      <w:r>
        <w:t xml:space="preserve"> is </w:t>
      </w:r>
      <w:r w:rsidR="001B7677">
        <w:t>limited</w:t>
      </w:r>
    </w:p>
    <w:p w14:paraId="5C0A7E3C" w14:textId="337A7DC0" w:rsidR="00852651" w:rsidRPr="00F01760" w:rsidRDefault="00C45118" w:rsidP="00E86458">
      <w:pPr>
        <w:pStyle w:val="Numberedlevel2text"/>
      </w:pPr>
      <w:bookmarkStart w:id="4" w:name="_Ref57984715"/>
      <w:r>
        <w:rPr>
          <w:lang w:val="en-GB"/>
        </w:rPr>
        <w:t xml:space="preserve">The </w:t>
      </w:r>
      <w:r w:rsidR="00285E14">
        <w:rPr>
          <w:lang w:val="en-GB"/>
        </w:rPr>
        <w:t>company’s</w:t>
      </w:r>
      <w:r w:rsidR="00043540">
        <w:rPr>
          <w:lang w:val="en-GB"/>
        </w:rPr>
        <w:t xml:space="preserve"> clin</w:t>
      </w:r>
      <w:r w:rsidR="00495E58">
        <w:rPr>
          <w:lang w:val="en-GB"/>
        </w:rPr>
        <w:t>ic</w:t>
      </w:r>
      <w:r w:rsidR="00043540">
        <w:rPr>
          <w:lang w:val="en-GB"/>
        </w:rPr>
        <w:t>al</w:t>
      </w:r>
      <w:r w:rsidR="00E77578">
        <w:rPr>
          <w:lang w:val="en-GB"/>
        </w:rPr>
        <w:t>-</w:t>
      </w:r>
      <w:r w:rsidR="00043540">
        <w:rPr>
          <w:lang w:val="en-GB"/>
        </w:rPr>
        <w:t xml:space="preserve">effectiveness </w:t>
      </w:r>
      <w:r w:rsidR="00285E14">
        <w:rPr>
          <w:lang w:val="en-GB"/>
        </w:rPr>
        <w:t>evidence</w:t>
      </w:r>
      <w:r>
        <w:rPr>
          <w:lang w:val="en-GB"/>
        </w:rPr>
        <w:t xml:space="preserve"> </w:t>
      </w:r>
      <w:r w:rsidR="00285E14">
        <w:rPr>
          <w:lang w:val="en-GB"/>
        </w:rPr>
        <w:t>included</w:t>
      </w:r>
      <w:r w:rsidR="00852651">
        <w:rPr>
          <w:lang w:val="en-GB"/>
        </w:rPr>
        <w:t>:</w:t>
      </w:r>
      <w:bookmarkEnd w:id="4"/>
    </w:p>
    <w:p w14:paraId="36103E93" w14:textId="6842547C" w:rsidR="00852651" w:rsidRDefault="00776327" w:rsidP="00852651">
      <w:pPr>
        <w:pStyle w:val="Bulletindent1"/>
      </w:pPr>
      <w:r>
        <w:t xml:space="preserve">for systemic JIA: </w:t>
      </w:r>
      <w:r w:rsidR="00C45118">
        <w:t>2</w:t>
      </w:r>
      <w:r w:rsidR="00464303">
        <w:t> </w:t>
      </w:r>
      <w:r w:rsidR="00E77578">
        <w:t xml:space="preserve">randomised controlled trials </w:t>
      </w:r>
      <w:r w:rsidR="002C7D7F">
        <w:t>comparing</w:t>
      </w:r>
      <w:r w:rsidR="00852651">
        <w:t xml:space="preserve"> anakinra with placebo</w:t>
      </w:r>
      <w:r w:rsidR="00345F48">
        <w:t xml:space="preserve"> </w:t>
      </w:r>
      <w:r w:rsidR="00C45118">
        <w:t>and 1</w:t>
      </w:r>
      <w:r w:rsidR="00464303">
        <w:t> </w:t>
      </w:r>
      <w:r w:rsidR="00C45118">
        <w:t xml:space="preserve">non-randomised registry </w:t>
      </w:r>
      <w:r w:rsidR="001645C9">
        <w:t xml:space="preserve">study </w:t>
      </w:r>
      <w:r w:rsidR="00345F48">
        <w:t>compar</w:t>
      </w:r>
      <w:r>
        <w:t>ing it</w:t>
      </w:r>
      <w:r w:rsidR="00345F48">
        <w:t xml:space="preserve"> </w:t>
      </w:r>
      <w:r w:rsidR="00852651">
        <w:t>with tocilizumab</w:t>
      </w:r>
    </w:p>
    <w:p w14:paraId="39818B54" w14:textId="6E4A8B3E" w:rsidR="00C45118" w:rsidRDefault="00776327" w:rsidP="001645C9">
      <w:pPr>
        <w:pStyle w:val="Bulletindent1last"/>
        <w:rPr>
          <w:lang w:val="en-US"/>
        </w:rPr>
      </w:pPr>
      <w:r>
        <w:t xml:space="preserve">for AOSD: </w:t>
      </w:r>
      <w:r w:rsidR="00C45118">
        <w:t>1</w:t>
      </w:r>
      <w:r w:rsidR="00464303">
        <w:t> </w:t>
      </w:r>
      <w:r w:rsidR="00C45118">
        <w:t xml:space="preserve">open-label </w:t>
      </w:r>
      <w:r w:rsidR="00464303">
        <w:t xml:space="preserve">randomised controlled trial </w:t>
      </w:r>
      <w:r w:rsidR="00345F48">
        <w:t>comparing anakinra with conventional DMARD</w:t>
      </w:r>
      <w:r w:rsidR="00940BE3">
        <w:t>s</w:t>
      </w:r>
      <w:r w:rsidR="00C45118">
        <w:t>.</w:t>
      </w:r>
      <w:r w:rsidR="00464303">
        <w:br/>
      </w:r>
      <w:r w:rsidR="00464303">
        <w:lastRenderedPageBreak/>
        <w:br/>
      </w:r>
      <w:r w:rsidR="00E86458">
        <w:t xml:space="preserve">The </w:t>
      </w:r>
      <w:r w:rsidR="00F01760">
        <w:t xml:space="preserve">clinical </w:t>
      </w:r>
      <w:r w:rsidR="00E86458">
        <w:t>trials were either open</w:t>
      </w:r>
      <w:r w:rsidR="00464303">
        <w:t xml:space="preserve"> </w:t>
      </w:r>
      <w:r w:rsidR="00E86458">
        <w:t xml:space="preserve">label or had a </w:t>
      </w:r>
      <w:r w:rsidR="000F730F">
        <w:t>short, blinded</w:t>
      </w:r>
      <w:r w:rsidR="00E86458">
        <w:t xml:space="preserve"> phase followed by short open-label extensions.</w:t>
      </w:r>
      <w:r w:rsidR="0004562B">
        <w:t xml:space="preserve"> </w:t>
      </w:r>
      <w:r w:rsidR="003F4945">
        <w:t>T</w:t>
      </w:r>
      <w:r w:rsidR="0004562B">
        <w:t xml:space="preserve">he placebo-controlled trials had </w:t>
      </w:r>
      <w:r w:rsidR="00AD3699">
        <w:t xml:space="preserve">very </w:t>
      </w:r>
      <w:r w:rsidR="0004562B">
        <w:t>small patient numbers</w:t>
      </w:r>
      <w:r w:rsidR="003F4945">
        <w:t>, which the committee heard was because of the rarity of Still’s disease</w:t>
      </w:r>
      <w:r w:rsidR="0004562B">
        <w:t xml:space="preserve">. </w:t>
      </w:r>
      <w:r w:rsidR="00E86458">
        <w:t xml:space="preserve">The </w:t>
      </w:r>
      <w:r w:rsidR="00735FC4">
        <w:t xml:space="preserve">ERG </w:t>
      </w:r>
      <w:r w:rsidR="00E86458">
        <w:t xml:space="preserve">noted that the results from these trials </w:t>
      </w:r>
      <w:r w:rsidR="00464303">
        <w:t xml:space="preserve">showed </w:t>
      </w:r>
      <w:r w:rsidR="00295895">
        <w:t>a good response in disease activity measures with anakinra</w:t>
      </w:r>
      <w:r>
        <w:t>. However, they</w:t>
      </w:r>
      <w:r w:rsidR="00295895">
        <w:t xml:space="preserve"> </w:t>
      </w:r>
      <w:r w:rsidR="00E86458">
        <w:t xml:space="preserve">were highly </w:t>
      </w:r>
      <w:r w:rsidR="00464303">
        <w:t>uncertain,</w:t>
      </w:r>
      <w:r w:rsidR="00295895">
        <w:t xml:space="preserve"> mainly </w:t>
      </w:r>
      <w:r w:rsidR="00464303">
        <w:t>because of</w:t>
      </w:r>
      <w:r w:rsidR="00295895">
        <w:t xml:space="preserve"> the small patient numbers</w:t>
      </w:r>
      <w:r w:rsidR="00E97666">
        <w:t>. The</w:t>
      </w:r>
      <w:r w:rsidR="00674588">
        <w:t xml:space="preserve"> </w:t>
      </w:r>
      <w:r w:rsidR="00F00422">
        <w:t>trial</w:t>
      </w:r>
      <w:r w:rsidR="00D45F4A">
        <w:t xml:space="preserve"> limitations were </w:t>
      </w:r>
      <w:r w:rsidR="009A6426">
        <w:t xml:space="preserve">acknowledged </w:t>
      </w:r>
      <w:r w:rsidR="00D45F4A">
        <w:t>by the study authors</w:t>
      </w:r>
      <w:r w:rsidR="009A6426">
        <w:t xml:space="preserve"> and </w:t>
      </w:r>
      <w:r w:rsidR="00D45F4A">
        <w:t xml:space="preserve">the company. The clinical experts </w:t>
      </w:r>
      <w:r w:rsidR="00464303">
        <w:t xml:space="preserve">explained </w:t>
      </w:r>
      <w:r w:rsidR="00D45F4A">
        <w:t>that</w:t>
      </w:r>
      <w:r w:rsidR="00464303">
        <w:t>,</w:t>
      </w:r>
      <w:r w:rsidR="00D45F4A">
        <w:t xml:space="preserve"> because of the rarity of Still’s disease</w:t>
      </w:r>
      <w:r w:rsidR="00464303">
        <w:t>,</w:t>
      </w:r>
      <w:r w:rsidR="00D45F4A">
        <w:t xml:space="preserve"> the </w:t>
      </w:r>
      <w:r w:rsidR="00C72F75">
        <w:t xml:space="preserve">low </w:t>
      </w:r>
      <w:r w:rsidR="00D45F4A">
        <w:t xml:space="preserve">quantity and quality of the data </w:t>
      </w:r>
      <w:r w:rsidR="00464303">
        <w:t xml:space="preserve">are </w:t>
      </w:r>
      <w:r w:rsidR="00C72F75">
        <w:t>to be expected</w:t>
      </w:r>
      <w:r w:rsidR="00D45F4A">
        <w:t xml:space="preserve">, and </w:t>
      </w:r>
      <w:r w:rsidR="003B575B">
        <w:t xml:space="preserve">are </w:t>
      </w:r>
      <w:r w:rsidR="00D45F4A">
        <w:t xml:space="preserve">unlikely to improve. </w:t>
      </w:r>
      <w:r w:rsidR="00700D4C">
        <w:rPr>
          <w:lang w:val="en-US"/>
        </w:rPr>
        <w:t>The committee</w:t>
      </w:r>
      <w:r w:rsidR="00735FC4" w:rsidRPr="00735FC4">
        <w:rPr>
          <w:lang w:val="en-US"/>
        </w:rPr>
        <w:t xml:space="preserve"> </w:t>
      </w:r>
      <w:r w:rsidR="00735FC4">
        <w:rPr>
          <w:lang w:val="en-US"/>
        </w:rPr>
        <w:t xml:space="preserve">concluded that the </w:t>
      </w:r>
      <w:r w:rsidR="009D74AB">
        <w:rPr>
          <w:lang w:val="en-US"/>
        </w:rPr>
        <w:t xml:space="preserve">evidence to support the </w:t>
      </w:r>
      <w:r w:rsidR="00D45F4A">
        <w:rPr>
          <w:lang w:val="en-US"/>
        </w:rPr>
        <w:t xml:space="preserve">clinical </w:t>
      </w:r>
      <w:r w:rsidR="00700D4C">
        <w:rPr>
          <w:lang w:val="en-US"/>
        </w:rPr>
        <w:t>efficacy</w:t>
      </w:r>
      <w:r w:rsidR="00686441">
        <w:rPr>
          <w:lang w:val="en-US"/>
        </w:rPr>
        <w:t xml:space="preserve"> of </w:t>
      </w:r>
      <w:r w:rsidR="00E47280">
        <w:rPr>
          <w:lang w:val="en-US"/>
        </w:rPr>
        <w:t>anakinra</w:t>
      </w:r>
      <w:r w:rsidR="00686441">
        <w:rPr>
          <w:lang w:val="en-US"/>
        </w:rPr>
        <w:t xml:space="preserve"> </w:t>
      </w:r>
      <w:r w:rsidR="00700D4C">
        <w:rPr>
          <w:lang w:val="en-US"/>
        </w:rPr>
        <w:t xml:space="preserve">after </w:t>
      </w:r>
      <w:r w:rsidR="00735FC4">
        <w:rPr>
          <w:lang w:val="en-US"/>
        </w:rPr>
        <w:t xml:space="preserve">conventional </w:t>
      </w:r>
      <w:r w:rsidR="00700D4C">
        <w:rPr>
          <w:lang w:val="en-US"/>
        </w:rPr>
        <w:t>DMARDs</w:t>
      </w:r>
      <w:r w:rsidR="00E47280">
        <w:rPr>
          <w:lang w:val="en-US"/>
        </w:rPr>
        <w:t xml:space="preserve"> </w:t>
      </w:r>
      <w:r w:rsidR="007B4318">
        <w:rPr>
          <w:lang w:val="en-US"/>
        </w:rPr>
        <w:t xml:space="preserve">was </w:t>
      </w:r>
      <w:r w:rsidR="005B0F52">
        <w:rPr>
          <w:lang w:val="en-US"/>
        </w:rPr>
        <w:t>limited</w:t>
      </w:r>
      <w:r w:rsidR="007B4318">
        <w:rPr>
          <w:lang w:val="en-US"/>
        </w:rPr>
        <w:t xml:space="preserve"> </w:t>
      </w:r>
      <w:r w:rsidR="00464303">
        <w:rPr>
          <w:lang w:val="en-US"/>
        </w:rPr>
        <w:t>because of</w:t>
      </w:r>
      <w:r w:rsidR="00E47280">
        <w:rPr>
          <w:lang w:val="en-US"/>
        </w:rPr>
        <w:t xml:space="preserve"> the small patient numbers in the trials</w:t>
      </w:r>
      <w:r w:rsidR="00700D4C">
        <w:rPr>
          <w:lang w:val="en-US"/>
        </w:rPr>
        <w:t>.</w:t>
      </w:r>
    </w:p>
    <w:p w14:paraId="63AE2A92" w14:textId="310B4EF1" w:rsidR="00153687" w:rsidRDefault="008E481F" w:rsidP="00F93FC8">
      <w:pPr>
        <w:pStyle w:val="Heading3"/>
        <w:rPr>
          <w:lang w:val="en-US"/>
        </w:rPr>
      </w:pPr>
      <w:bookmarkStart w:id="5" w:name="_It_is_reasonable"/>
      <w:bookmarkEnd w:id="5"/>
      <w:r>
        <w:rPr>
          <w:lang w:val="en-US"/>
        </w:rPr>
        <w:t>It is reasonable to assume</w:t>
      </w:r>
      <w:r w:rsidR="003F4945">
        <w:rPr>
          <w:lang w:val="en-US"/>
        </w:rPr>
        <w:t xml:space="preserve"> that anakinra and tocilizumab have</w:t>
      </w:r>
      <w:r>
        <w:rPr>
          <w:lang w:val="en-US"/>
        </w:rPr>
        <w:t xml:space="preserve"> </w:t>
      </w:r>
      <w:r w:rsidR="00853655">
        <w:rPr>
          <w:lang w:val="en-US"/>
        </w:rPr>
        <w:t>similar efficacy</w:t>
      </w:r>
    </w:p>
    <w:p w14:paraId="57AB6DE6" w14:textId="3CCCB8CB" w:rsidR="00E97666" w:rsidRPr="00E97666" w:rsidRDefault="00F64D46" w:rsidP="00E97666">
      <w:pPr>
        <w:pStyle w:val="Numberedlevel2text"/>
      </w:pPr>
      <w:bookmarkStart w:id="6" w:name="_Ref57994499"/>
      <w:r>
        <w:t>The company submission state</w:t>
      </w:r>
      <w:r w:rsidR="003F4945">
        <w:rPr>
          <w:lang w:val="en-GB"/>
        </w:rPr>
        <w:t>d</w:t>
      </w:r>
      <w:r>
        <w:t xml:space="preserve"> that there </w:t>
      </w:r>
      <w:r w:rsidR="006D0C54">
        <w:rPr>
          <w:lang w:val="en-GB"/>
        </w:rPr>
        <w:t>was</w:t>
      </w:r>
      <w:r>
        <w:t xml:space="preserve"> no direct </w:t>
      </w:r>
      <w:r w:rsidR="001645C9">
        <w:rPr>
          <w:lang w:val="en-GB"/>
        </w:rPr>
        <w:t xml:space="preserve">trial </w:t>
      </w:r>
      <w:r>
        <w:t xml:space="preserve">evidence comparing anakinra </w:t>
      </w:r>
      <w:r w:rsidR="003F4945">
        <w:rPr>
          <w:lang w:val="en-GB"/>
        </w:rPr>
        <w:t>with</w:t>
      </w:r>
      <w:r w:rsidR="003F4945">
        <w:t xml:space="preserve"> </w:t>
      </w:r>
      <w:r>
        <w:t>tocilizumab</w:t>
      </w:r>
      <w:r w:rsidR="003F4945">
        <w:rPr>
          <w:lang w:val="en-GB"/>
        </w:rPr>
        <w:t>, but</w:t>
      </w:r>
      <w:r>
        <w:t xml:space="preserve"> that a network meta-analysis (NMA) of clinical trials for </w:t>
      </w:r>
      <w:r w:rsidR="00C92352">
        <w:t>systemic</w:t>
      </w:r>
      <w:r w:rsidR="00C92352">
        <w:rPr>
          <w:lang w:val="en-GB"/>
        </w:rPr>
        <w:t xml:space="preserve"> </w:t>
      </w:r>
      <w:r>
        <w:t>JIA</w:t>
      </w:r>
      <w:r w:rsidR="0046145C">
        <w:rPr>
          <w:lang w:val="en-GB"/>
        </w:rPr>
        <w:t xml:space="preserve"> included an indirect comparison between</w:t>
      </w:r>
      <w:r w:rsidR="0046145C">
        <w:t xml:space="preserve"> </w:t>
      </w:r>
      <w:r w:rsidR="003F4945">
        <w:rPr>
          <w:lang w:val="en-GB"/>
        </w:rPr>
        <w:t>the 2 drugs. It explained that this</w:t>
      </w:r>
      <w:r>
        <w:t xml:space="preserve"> </w:t>
      </w:r>
      <w:r w:rsidR="003F4945" w:rsidRPr="00F64D46">
        <w:t>suggest</w:t>
      </w:r>
      <w:r w:rsidR="003F4945">
        <w:rPr>
          <w:lang w:val="en-GB"/>
        </w:rPr>
        <w:t>ed</w:t>
      </w:r>
      <w:r w:rsidR="003F4945" w:rsidRPr="00F64D46">
        <w:t xml:space="preserve"> </w:t>
      </w:r>
      <w:r w:rsidR="003F4945">
        <w:rPr>
          <w:lang w:val="en-GB"/>
        </w:rPr>
        <w:t>the</w:t>
      </w:r>
      <w:r>
        <w:t xml:space="preserve"> treatments</w:t>
      </w:r>
      <w:r w:rsidRPr="00F64D46">
        <w:t xml:space="preserve"> </w:t>
      </w:r>
      <w:r w:rsidR="00C72F75">
        <w:rPr>
          <w:lang w:val="en-GB"/>
        </w:rPr>
        <w:t>are similarly</w:t>
      </w:r>
      <w:r w:rsidRPr="00F64D46">
        <w:t xml:space="preserve"> effective</w:t>
      </w:r>
      <w:r w:rsidR="006121E5">
        <w:rPr>
          <w:lang w:val="en-GB"/>
        </w:rPr>
        <w:t>,</w:t>
      </w:r>
      <w:r w:rsidRPr="00F64D46">
        <w:t xml:space="preserve"> and associated with the same adverse event profiles and </w:t>
      </w:r>
      <w:r w:rsidR="003F4945">
        <w:rPr>
          <w:lang w:val="en-GB"/>
        </w:rPr>
        <w:t>stopping</w:t>
      </w:r>
      <w:r w:rsidR="003F4945" w:rsidRPr="00F64D46">
        <w:t xml:space="preserve"> </w:t>
      </w:r>
      <w:r w:rsidRPr="00F64D46">
        <w:t>rates in the third-line setting</w:t>
      </w:r>
      <w:r w:rsidR="009770CA">
        <w:rPr>
          <w:lang w:val="en-GB"/>
        </w:rPr>
        <w:t xml:space="preserve"> (that is, after conventional DMARD</w:t>
      </w:r>
      <w:r w:rsidR="00804939">
        <w:rPr>
          <w:lang w:val="en-GB"/>
        </w:rPr>
        <w:t>s</w:t>
      </w:r>
      <w:r w:rsidR="009770CA">
        <w:rPr>
          <w:lang w:val="en-GB"/>
        </w:rPr>
        <w:t>)</w:t>
      </w:r>
      <w:r w:rsidRPr="00F64D46">
        <w:t>.</w:t>
      </w:r>
      <w:r>
        <w:t xml:space="preserve"> </w:t>
      </w:r>
      <w:r w:rsidR="007E08EA">
        <w:rPr>
          <w:lang w:val="en-GB"/>
        </w:rPr>
        <w:t xml:space="preserve">The company did not include the results of </w:t>
      </w:r>
      <w:r w:rsidR="003C0A9D">
        <w:rPr>
          <w:lang w:val="en-GB"/>
        </w:rPr>
        <w:t>the</w:t>
      </w:r>
      <w:r w:rsidR="007E08EA">
        <w:rPr>
          <w:lang w:val="en-GB"/>
        </w:rPr>
        <w:t xml:space="preserve"> NMA in its economic mode</w:t>
      </w:r>
      <w:r w:rsidR="009770CA">
        <w:rPr>
          <w:lang w:val="en-GB"/>
        </w:rPr>
        <w:t>l</w:t>
      </w:r>
      <w:r w:rsidR="003F4945">
        <w:rPr>
          <w:lang w:val="en-GB"/>
        </w:rPr>
        <w:t>. This was</w:t>
      </w:r>
      <w:r w:rsidR="007E08EA">
        <w:rPr>
          <w:lang w:val="en-GB"/>
        </w:rPr>
        <w:t xml:space="preserve"> </w:t>
      </w:r>
      <w:r>
        <w:t xml:space="preserve">because </w:t>
      </w:r>
      <w:r w:rsidR="00BC205A">
        <w:rPr>
          <w:lang w:val="en-GB"/>
        </w:rPr>
        <w:t xml:space="preserve">it considered that </w:t>
      </w:r>
      <w:r w:rsidR="006121E5" w:rsidRPr="00F64D46">
        <w:t>methodological differences between the included trials</w:t>
      </w:r>
      <w:r w:rsidR="006121E5">
        <w:rPr>
          <w:lang w:val="en-GB"/>
        </w:rPr>
        <w:t xml:space="preserve"> meant</w:t>
      </w:r>
      <w:r w:rsidR="006121E5">
        <w:t xml:space="preserve"> </w:t>
      </w:r>
      <w:r>
        <w:t xml:space="preserve">the results </w:t>
      </w:r>
      <w:r w:rsidR="00BC205A">
        <w:rPr>
          <w:lang w:val="en-GB"/>
        </w:rPr>
        <w:t>were</w:t>
      </w:r>
      <w:r w:rsidR="00BC205A">
        <w:t xml:space="preserve"> </w:t>
      </w:r>
      <w:r>
        <w:t xml:space="preserve">not robust. </w:t>
      </w:r>
      <w:r w:rsidRPr="00F64D46">
        <w:rPr>
          <w:lang w:val="en-GB"/>
        </w:rPr>
        <w:t xml:space="preserve">The clinical experts </w:t>
      </w:r>
      <w:r w:rsidR="003F4945">
        <w:rPr>
          <w:lang w:val="en-GB"/>
        </w:rPr>
        <w:t xml:space="preserve">explained </w:t>
      </w:r>
      <w:r w:rsidRPr="00F64D46">
        <w:rPr>
          <w:lang w:val="en-GB"/>
        </w:rPr>
        <w:t xml:space="preserve">that anakinra and tocilizumab </w:t>
      </w:r>
      <w:r w:rsidR="003F4945">
        <w:rPr>
          <w:lang w:val="en-GB"/>
        </w:rPr>
        <w:t>are</w:t>
      </w:r>
      <w:r w:rsidR="003F4945" w:rsidRPr="00F64D46">
        <w:rPr>
          <w:lang w:val="en-GB"/>
        </w:rPr>
        <w:t xml:space="preserve"> </w:t>
      </w:r>
      <w:r w:rsidRPr="00F64D46">
        <w:rPr>
          <w:lang w:val="en-GB"/>
        </w:rPr>
        <w:t xml:space="preserve">both </w:t>
      </w:r>
      <w:r w:rsidR="00091081">
        <w:rPr>
          <w:lang w:val="en-GB"/>
        </w:rPr>
        <w:t>biologic</w:t>
      </w:r>
      <w:r w:rsidR="003F4945">
        <w:rPr>
          <w:lang w:val="en-GB"/>
        </w:rPr>
        <w:t>al</w:t>
      </w:r>
      <w:r w:rsidRPr="00F64D46">
        <w:rPr>
          <w:lang w:val="en-GB"/>
        </w:rPr>
        <w:t xml:space="preserve"> DMARDs that target cytokines involved in the inflammation pathway</w:t>
      </w:r>
      <w:r w:rsidR="003F4945">
        <w:rPr>
          <w:lang w:val="en-GB"/>
        </w:rPr>
        <w:t>. However</w:t>
      </w:r>
      <w:r w:rsidRPr="00F64D46">
        <w:rPr>
          <w:lang w:val="en-GB"/>
        </w:rPr>
        <w:t>,</w:t>
      </w:r>
      <w:r w:rsidR="003F4945">
        <w:rPr>
          <w:lang w:val="en-GB"/>
        </w:rPr>
        <w:t xml:space="preserve"> they </w:t>
      </w:r>
      <w:r w:rsidR="009770CA">
        <w:rPr>
          <w:lang w:val="en-GB"/>
        </w:rPr>
        <w:t>noted</w:t>
      </w:r>
      <w:r w:rsidR="003F4945">
        <w:rPr>
          <w:lang w:val="en-GB"/>
        </w:rPr>
        <w:t xml:space="preserve"> that the drugs</w:t>
      </w:r>
      <w:r w:rsidRPr="00F64D46">
        <w:rPr>
          <w:lang w:val="en-GB"/>
        </w:rPr>
        <w:t xml:space="preserve"> have slightly different mechanisms of action</w:t>
      </w:r>
      <w:r w:rsidR="00B00BB7">
        <w:rPr>
          <w:lang w:val="en-GB"/>
        </w:rPr>
        <w:t>,</w:t>
      </w:r>
      <w:r w:rsidRPr="00F64D46">
        <w:rPr>
          <w:lang w:val="en-GB"/>
        </w:rPr>
        <w:t xml:space="preserve"> and </w:t>
      </w:r>
      <w:r w:rsidR="003F4945">
        <w:rPr>
          <w:lang w:val="en-GB"/>
        </w:rPr>
        <w:t xml:space="preserve">that anakinra </w:t>
      </w:r>
      <w:r w:rsidRPr="00F64D46">
        <w:rPr>
          <w:lang w:val="en-GB"/>
        </w:rPr>
        <w:t>target</w:t>
      </w:r>
      <w:r w:rsidR="003F4945">
        <w:rPr>
          <w:lang w:val="en-GB"/>
        </w:rPr>
        <w:t>s</w:t>
      </w:r>
      <w:r w:rsidRPr="00F64D46">
        <w:rPr>
          <w:lang w:val="en-GB"/>
        </w:rPr>
        <w:t xml:space="preserve"> </w:t>
      </w:r>
      <w:bookmarkStart w:id="7" w:name="_Hlk58506553"/>
      <w:r w:rsidR="00482176" w:rsidRPr="00482176">
        <w:rPr>
          <w:lang w:val="en-GB"/>
        </w:rPr>
        <w:t>interleukin</w:t>
      </w:r>
      <w:r w:rsidR="003F4945">
        <w:rPr>
          <w:lang w:val="en-GB"/>
        </w:rPr>
        <w:noBreakHyphen/>
      </w:r>
      <w:r w:rsidR="00482176">
        <w:rPr>
          <w:lang w:val="en-GB"/>
        </w:rPr>
        <w:t xml:space="preserve">1 </w:t>
      </w:r>
      <w:bookmarkEnd w:id="7"/>
      <w:r w:rsidR="003F4945">
        <w:rPr>
          <w:lang w:val="en-GB"/>
        </w:rPr>
        <w:t xml:space="preserve">while tocilizumab targets </w:t>
      </w:r>
      <w:r w:rsidR="00482176" w:rsidRPr="00482176">
        <w:rPr>
          <w:lang w:val="en-GB"/>
        </w:rPr>
        <w:t>interleukin</w:t>
      </w:r>
      <w:r w:rsidR="003F4945">
        <w:rPr>
          <w:lang w:val="en-GB"/>
        </w:rPr>
        <w:noBreakHyphen/>
      </w:r>
      <w:r w:rsidR="00482176">
        <w:rPr>
          <w:lang w:val="en-GB"/>
        </w:rPr>
        <w:t>6</w:t>
      </w:r>
      <w:r>
        <w:rPr>
          <w:lang w:val="en-GB"/>
        </w:rPr>
        <w:t>.</w:t>
      </w:r>
      <w:r w:rsidRPr="00F64D46">
        <w:rPr>
          <w:lang w:val="en-GB"/>
        </w:rPr>
        <w:t xml:space="preserve"> The clinical experts agreed that this difference does have implications for the way in which </w:t>
      </w:r>
      <w:r w:rsidR="00B00BB7">
        <w:rPr>
          <w:lang w:val="en-GB"/>
        </w:rPr>
        <w:t>the</w:t>
      </w:r>
      <w:r w:rsidR="006121E5">
        <w:rPr>
          <w:lang w:val="en-GB"/>
        </w:rPr>
        <w:t xml:space="preserve"> drugs</w:t>
      </w:r>
      <w:r w:rsidRPr="00F64D46">
        <w:rPr>
          <w:lang w:val="en-GB"/>
        </w:rPr>
        <w:t xml:space="preserve"> are used in clinical practice</w:t>
      </w:r>
      <w:r w:rsidR="00B00BB7">
        <w:rPr>
          <w:lang w:val="en-GB"/>
        </w:rPr>
        <w:t>. This is because of the</w:t>
      </w:r>
      <w:r>
        <w:rPr>
          <w:lang w:val="en-GB"/>
        </w:rPr>
        <w:t xml:space="preserve"> different phenotypes</w:t>
      </w:r>
      <w:r w:rsidR="004C14F9">
        <w:rPr>
          <w:lang w:val="en-GB"/>
        </w:rPr>
        <w:t xml:space="preserve"> in s</w:t>
      </w:r>
      <w:r w:rsidR="00C92352">
        <w:rPr>
          <w:lang w:val="en-GB"/>
        </w:rPr>
        <w:t xml:space="preserve">ystemic </w:t>
      </w:r>
      <w:r w:rsidR="004C14F9">
        <w:rPr>
          <w:lang w:val="en-GB"/>
        </w:rPr>
        <w:lastRenderedPageBreak/>
        <w:t>JIA and AOSD</w:t>
      </w:r>
      <w:r w:rsidR="000F730F">
        <w:rPr>
          <w:lang w:val="en-GB"/>
        </w:rPr>
        <w:t xml:space="preserve"> (see </w:t>
      </w:r>
      <w:hyperlink w:anchor="_Clinicians_and_patients" w:history="1">
        <w:r w:rsidR="000F730F" w:rsidRPr="006D0C54">
          <w:rPr>
            <w:rStyle w:val="Hyperlink"/>
            <w:lang w:val="en-GB"/>
          </w:rPr>
          <w:t>section</w:t>
        </w:r>
        <w:r w:rsidR="006D0C54" w:rsidRPr="006D0C54">
          <w:rPr>
            <w:rStyle w:val="Hyperlink"/>
            <w:lang w:val="en-GB"/>
          </w:rPr>
          <w:t> 3.2</w:t>
        </w:r>
      </w:hyperlink>
      <w:r w:rsidR="000F730F">
        <w:rPr>
          <w:lang w:val="en-GB"/>
        </w:rPr>
        <w:t>)</w:t>
      </w:r>
      <w:r w:rsidR="004C14F9">
        <w:rPr>
          <w:lang w:val="en-GB"/>
        </w:rPr>
        <w:t>. A</w:t>
      </w:r>
      <w:r w:rsidRPr="00F64D46">
        <w:rPr>
          <w:lang w:val="en-GB"/>
        </w:rPr>
        <w:t>nakinra will</w:t>
      </w:r>
      <w:r w:rsidR="004C14F9">
        <w:rPr>
          <w:lang w:val="en-GB"/>
        </w:rPr>
        <w:t xml:space="preserve"> often</w:t>
      </w:r>
      <w:r w:rsidRPr="00F64D46">
        <w:rPr>
          <w:lang w:val="en-GB"/>
        </w:rPr>
        <w:t xml:space="preserve"> be preferred for presentations </w:t>
      </w:r>
      <w:r w:rsidR="00B00BB7">
        <w:rPr>
          <w:lang w:val="en-GB"/>
        </w:rPr>
        <w:t>in which</w:t>
      </w:r>
      <w:r w:rsidR="00B00BB7" w:rsidRPr="00F64D46">
        <w:rPr>
          <w:lang w:val="en-GB"/>
        </w:rPr>
        <w:t xml:space="preserve"> </w:t>
      </w:r>
      <w:r w:rsidRPr="00F64D46">
        <w:rPr>
          <w:lang w:val="en-GB"/>
        </w:rPr>
        <w:t xml:space="preserve">systemic features </w:t>
      </w:r>
      <w:r w:rsidR="006121E5">
        <w:rPr>
          <w:lang w:val="en-GB"/>
        </w:rPr>
        <w:t>prevail</w:t>
      </w:r>
      <w:r w:rsidRPr="00F64D46">
        <w:rPr>
          <w:lang w:val="en-GB"/>
        </w:rPr>
        <w:t xml:space="preserve">, </w:t>
      </w:r>
      <w:r w:rsidR="006121E5">
        <w:rPr>
          <w:lang w:val="en-GB"/>
        </w:rPr>
        <w:t>and</w:t>
      </w:r>
      <w:r w:rsidR="006121E5" w:rsidRPr="00F64D46">
        <w:rPr>
          <w:lang w:val="en-GB"/>
        </w:rPr>
        <w:t xml:space="preserve"> </w:t>
      </w:r>
      <w:r w:rsidRPr="00F64D46">
        <w:rPr>
          <w:lang w:val="en-GB"/>
        </w:rPr>
        <w:t xml:space="preserve">tocilizumab will </w:t>
      </w:r>
      <w:r w:rsidR="004C14F9">
        <w:rPr>
          <w:lang w:val="en-GB"/>
        </w:rPr>
        <w:t xml:space="preserve">often </w:t>
      </w:r>
      <w:r w:rsidRPr="00F64D46">
        <w:rPr>
          <w:lang w:val="en-GB"/>
        </w:rPr>
        <w:t xml:space="preserve">be preferred </w:t>
      </w:r>
      <w:r w:rsidR="00B00BB7">
        <w:rPr>
          <w:lang w:val="en-GB"/>
        </w:rPr>
        <w:t>when</w:t>
      </w:r>
      <w:r w:rsidRPr="00F64D46">
        <w:rPr>
          <w:lang w:val="en-GB"/>
        </w:rPr>
        <w:t xml:space="preserve"> </w:t>
      </w:r>
      <w:r w:rsidR="006121E5">
        <w:rPr>
          <w:lang w:val="en-GB"/>
        </w:rPr>
        <w:t xml:space="preserve">there are mainly </w:t>
      </w:r>
      <w:r w:rsidRPr="00F64D46">
        <w:rPr>
          <w:lang w:val="en-GB"/>
        </w:rPr>
        <w:t xml:space="preserve">arthritic joint features. </w:t>
      </w:r>
      <w:r w:rsidR="004C14F9">
        <w:rPr>
          <w:lang w:val="en-GB"/>
        </w:rPr>
        <w:t>The clinical experts added that</w:t>
      </w:r>
      <w:r w:rsidR="00B00BB7">
        <w:rPr>
          <w:lang w:val="en-GB"/>
        </w:rPr>
        <w:t>,</w:t>
      </w:r>
      <w:r w:rsidRPr="00F64D46">
        <w:rPr>
          <w:lang w:val="en-GB"/>
        </w:rPr>
        <w:t xml:space="preserve"> in many cases</w:t>
      </w:r>
      <w:r w:rsidR="00B00BB7">
        <w:rPr>
          <w:lang w:val="en-GB"/>
        </w:rPr>
        <w:t>,</w:t>
      </w:r>
      <w:r w:rsidRPr="00F64D46">
        <w:rPr>
          <w:lang w:val="en-GB"/>
        </w:rPr>
        <w:t xml:space="preserve"> it may be necessary to swap back and forth between these drugs to achieve disease control. The committee </w:t>
      </w:r>
      <w:r w:rsidR="004C14F9">
        <w:rPr>
          <w:lang w:val="en-GB"/>
        </w:rPr>
        <w:t>noted that</w:t>
      </w:r>
      <w:r w:rsidRPr="00F64D46">
        <w:rPr>
          <w:lang w:val="en-GB"/>
        </w:rPr>
        <w:t xml:space="preserve"> the clinical experts consider</w:t>
      </w:r>
      <w:r w:rsidR="004C14F9">
        <w:rPr>
          <w:lang w:val="en-GB"/>
        </w:rPr>
        <w:t xml:space="preserve">ed </w:t>
      </w:r>
      <w:r w:rsidRPr="00F64D46">
        <w:rPr>
          <w:lang w:val="en-GB"/>
        </w:rPr>
        <w:t xml:space="preserve">anakinra and tocilizumab to be broadly </w:t>
      </w:r>
      <w:r w:rsidR="007F20B3">
        <w:rPr>
          <w:lang w:val="en-GB"/>
        </w:rPr>
        <w:t>equivalent</w:t>
      </w:r>
      <w:r w:rsidR="007F20B3" w:rsidRPr="00F64D46">
        <w:rPr>
          <w:lang w:val="en-GB"/>
        </w:rPr>
        <w:t xml:space="preserve"> </w:t>
      </w:r>
      <w:r w:rsidRPr="00F64D46">
        <w:rPr>
          <w:lang w:val="en-GB"/>
        </w:rPr>
        <w:t xml:space="preserve">in terms of efficacy and adverse reactions. </w:t>
      </w:r>
      <w:r w:rsidR="00B00BB7">
        <w:rPr>
          <w:lang w:val="en-GB"/>
        </w:rPr>
        <w:t>T</w:t>
      </w:r>
      <w:r w:rsidRPr="00F64D46">
        <w:rPr>
          <w:lang w:val="en-GB"/>
        </w:rPr>
        <w:t xml:space="preserve">he ERG </w:t>
      </w:r>
      <w:r w:rsidR="00B00BB7">
        <w:rPr>
          <w:lang w:val="en-GB"/>
        </w:rPr>
        <w:t xml:space="preserve">also </w:t>
      </w:r>
      <w:r w:rsidR="007F20B3">
        <w:rPr>
          <w:lang w:val="en-GB"/>
        </w:rPr>
        <w:t xml:space="preserve">considered </w:t>
      </w:r>
      <w:r w:rsidRPr="00F64D46">
        <w:rPr>
          <w:lang w:val="en-GB"/>
        </w:rPr>
        <w:t xml:space="preserve">that it </w:t>
      </w:r>
      <w:r w:rsidR="006121E5">
        <w:rPr>
          <w:lang w:val="en-GB"/>
        </w:rPr>
        <w:t>wa</w:t>
      </w:r>
      <w:r w:rsidRPr="00F64D46">
        <w:rPr>
          <w:lang w:val="en-GB"/>
        </w:rPr>
        <w:t xml:space="preserve">s reasonable to assume similar efficacy between the </w:t>
      </w:r>
      <w:r w:rsidR="00B00BB7">
        <w:rPr>
          <w:lang w:val="en-GB"/>
        </w:rPr>
        <w:t>drugs</w:t>
      </w:r>
      <w:r w:rsidRPr="00F64D46">
        <w:rPr>
          <w:lang w:val="en-GB"/>
        </w:rPr>
        <w:t xml:space="preserve"> based on the available evidence. The committee concluded that it </w:t>
      </w:r>
      <w:r w:rsidR="006121E5">
        <w:rPr>
          <w:lang w:val="en-GB"/>
        </w:rPr>
        <w:t>wa</w:t>
      </w:r>
      <w:r w:rsidRPr="00F64D46">
        <w:rPr>
          <w:lang w:val="en-GB"/>
        </w:rPr>
        <w:t>s appropriate to consider that anakinra and tocilizumab are clinically equivalent</w:t>
      </w:r>
      <w:r w:rsidR="004C14F9">
        <w:rPr>
          <w:lang w:val="en-GB"/>
        </w:rPr>
        <w:t>.</w:t>
      </w:r>
      <w:bookmarkEnd w:id="6"/>
    </w:p>
    <w:p w14:paraId="19E8174F" w14:textId="0D2CA67F" w:rsidR="002A1D61" w:rsidRDefault="002A1D61" w:rsidP="00E97666">
      <w:pPr>
        <w:pStyle w:val="Heading3"/>
      </w:pPr>
      <w:r>
        <w:t xml:space="preserve">There is no </w:t>
      </w:r>
      <w:r w:rsidR="00735FC4">
        <w:t>robust</w:t>
      </w:r>
      <w:r>
        <w:t xml:space="preserve"> evidence to support </w:t>
      </w:r>
      <w:r w:rsidR="003B575B">
        <w:t>using</w:t>
      </w:r>
      <w:r>
        <w:t xml:space="preserve"> anakinra </w:t>
      </w:r>
      <w:r w:rsidR="00055D39">
        <w:t>earlier in the treatment pathway</w:t>
      </w:r>
    </w:p>
    <w:p w14:paraId="60E53F71" w14:textId="7B769FC6" w:rsidR="001B7677" w:rsidRPr="001B7677" w:rsidRDefault="000F730F" w:rsidP="00E97666">
      <w:pPr>
        <w:pStyle w:val="Numberedlevel2text"/>
      </w:pPr>
      <w:r>
        <w:rPr>
          <w:lang w:val="en-GB"/>
        </w:rPr>
        <w:t>The</w:t>
      </w:r>
      <w:r w:rsidR="00B04750">
        <w:rPr>
          <w:lang w:val="en-GB"/>
        </w:rPr>
        <w:t xml:space="preserve"> clinical trials in the company submission (see </w:t>
      </w:r>
      <w:hyperlink w:anchor="_The_clinical_evidence" w:history="1">
        <w:r w:rsidR="00D723A3">
          <w:rPr>
            <w:rStyle w:val="Hyperlink"/>
            <w:lang w:val="en-GB"/>
          </w:rPr>
          <w:t>section 3.4</w:t>
        </w:r>
      </w:hyperlink>
      <w:r w:rsidR="00B04750">
        <w:rPr>
          <w:lang w:val="en-GB"/>
        </w:rPr>
        <w:t>)</w:t>
      </w:r>
      <w:r w:rsidR="00B04750">
        <w:t xml:space="preserve"> </w:t>
      </w:r>
      <w:r w:rsidR="006D0C54">
        <w:rPr>
          <w:lang w:val="en-US"/>
        </w:rPr>
        <w:t xml:space="preserve">only </w:t>
      </w:r>
      <w:r w:rsidR="00B04750">
        <w:rPr>
          <w:lang w:val="en-US"/>
        </w:rPr>
        <w:t>included</w:t>
      </w:r>
      <w:r w:rsidR="00B04750" w:rsidRPr="00E86458">
        <w:rPr>
          <w:lang w:val="en-US"/>
        </w:rPr>
        <w:t xml:space="preserve"> </w:t>
      </w:r>
      <w:r w:rsidR="006D0C54">
        <w:rPr>
          <w:lang w:val="en-US"/>
        </w:rPr>
        <w:t>people</w:t>
      </w:r>
      <w:r w:rsidR="00B04750" w:rsidRPr="00E86458">
        <w:rPr>
          <w:lang w:val="en-US"/>
        </w:rPr>
        <w:t xml:space="preserve"> </w:t>
      </w:r>
      <w:r w:rsidR="00B04750">
        <w:rPr>
          <w:lang w:val="en-US"/>
        </w:rPr>
        <w:t>who</w:t>
      </w:r>
      <w:r w:rsidR="00B04750" w:rsidRPr="00E86458">
        <w:rPr>
          <w:lang w:val="en-US"/>
        </w:rPr>
        <w:t xml:space="preserve"> had </w:t>
      </w:r>
      <w:r w:rsidR="00C92352">
        <w:rPr>
          <w:lang w:val="en-US"/>
        </w:rPr>
        <w:t xml:space="preserve">had </w:t>
      </w:r>
      <w:r w:rsidR="00B04750" w:rsidRPr="00E86458">
        <w:rPr>
          <w:lang w:val="en-US"/>
        </w:rPr>
        <w:t>treatment with NSAIDs, corticosteroids and</w:t>
      </w:r>
      <w:r w:rsidR="00B04750">
        <w:rPr>
          <w:lang w:val="en-US"/>
        </w:rPr>
        <w:t xml:space="preserve"> conventional </w:t>
      </w:r>
      <w:r w:rsidR="00B04750" w:rsidRPr="00E86458">
        <w:rPr>
          <w:lang w:val="en-US"/>
        </w:rPr>
        <w:t>DMARDs</w:t>
      </w:r>
      <w:r w:rsidR="00B04750">
        <w:t>.</w:t>
      </w:r>
      <w:r w:rsidR="00B04750">
        <w:rPr>
          <w:lang w:val="en-US"/>
        </w:rPr>
        <w:t xml:space="preserve"> </w:t>
      </w:r>
      <w:r w:rsidR="00482176">
        <w:rPr>
          <w:lang w:val="en-US"/>
        </w:rPr>
        <w:t xml:space="preserve">The trials </w:t>
      </w:r>
      <w:r w:rsidR="006D0C54">
        <w:rPr>
          <w:lang w:val="en-US"/>
        </w:rPr>
        <w:t xml:space="preserve">were </w:t>
      </w:r>
      <w:r w:rsidR="00482176">
        <w:rPr>
          <w:lang w:val="en-US"/>
        </w:rPr>
        <w:t>therefore aligned to current NHS practice</w:t>
      </w:r>
      <w:r w:rsidR="00F46CCC">
        <w:rPr>
          <w:lang w:val="en-US"/>
        </w:rPr>
        <w:t xml:space="preserve"> (as set out in the NHS England commissioning policies)</w:t>
      </w:r>
      <w:r w:rsidR="003B575B">
        <w:rPr>
          <w:lang w:val="en-US"/>
        </w:rPr>
        <w:t xml:space="preserve">. They were </w:t>
      </w:r>
      <w:r w:rsidR="00482176">
        <w:rPr>
          <w:lang w:val="en-US"/>
        </w:rPr>
        <w:t xml:space="preserve">not </w:t>
      </w:r>
      <w:r w:rsidR="003B575B">
        <w:rPr>
          <w:lang w:val="en-US"/>
        </w:rPr>
        <w:t xml:space="preserve">aligned </w:t>
      </w:r>
      <w:r w:rsidR="00482176">
        <w:rPr>
          <w:lang w:val="en-US"/>
        </w:rPr>
        <w:t>to the</w:t>
      </w:r>
      <w:r w:rsidR="00BF646D">
        <w:rPr>
          <w:lang w:val="en-US"/>
        </w:rPr>
        <w:t xml:space="preserve"> full breadth of the marketing authorisation</w:t>
      </w:r>
      <w:r w:rsidR="006D0C54">
        <w:rPr>
          <w:lang w:val="en-US"/>
        </w:rPr>
        <w:t>, which was</w:t>
      </w:r>
      <w:r w:rsidR="00482176">
        <w:rPr>
          <w:lang w:val="en-US"/>
        </w:rPr>
        <w:t xml:space="preserve"> the company</w:t>
      </w:r>
      <w:r w:rsidR="006D0C54">
        <w:rPr>
          <w:lang w:val="en-US"/>
        </w:rPr>
        <w:t xml:space="preserve">’s </w:t>
      </w:r>
      <w:r w:rsidR="00482176">
        <w:rPr>
          <w:lang w:val="en-US"/>
        </w:rPr>
        <w:t xml:space="preserve">preferred position for anakinra </w:t>
      </w:r>
      <w:r w:rsidR="006D0C54">
        <w:rPr>
          <w:lang w:val="en-US"/>
        </w:rPr>
        <w:t xml:space="preserve">(that is, </w:t>
      </w:r>
      <w:r w:rsidR="00482176">
        <w:rPr>
          <w:lang w:val="en-US"/>
        </w:rPr>
        <w:t>before conventional DMARDs</w:t>
      </w:r>
      <w:r w:rsidR="006D0C54">
        <w:rPr>
          <w:lang w:val="en-US"/>
        </w:rPr>
        <w:t>)</w:t>
      </w:r>
      <w:r w:rsidR="00482176">
        <w:rPr>
          <w:lang w:val="en-US"/>
        </w:rPr>
        <w:t xml:space="preserve">. </w:t>
      </w:r>
      <w:r w:rsidR="001B7677">
        <w:t xml:space="preserve">The company submitted </w:t>
      </w:r>
      <w:r w:rsidR="00482176">
        <w:rPr>
          <w:lang w:val="en-GB"/>
        </w:rPr>
        <w:t xml:space="preserve">supplementary </w:t>
      </w:r>
      <w:r w:rsidR="001B7677">
        <w:t>evidence at technical engagement in support of using anakinra before conventional DMARD</w:t>
      </w:r>
      <w:r w:rsidR="0040010B">
        <w:rPr>
          <w:lang w:val="en-GB"/>
        </w:rPr>
        <w:t>s</w:t>
      </w:r>
      <w:r w:rsidR="00EC5844">
        <w:rPr>
          <w:lang w:val="en-GB"/>
        </w:rPr>
        <w:t>.</w:t>
      </w:r>
      <w:r w:rsidR="00A96EA6">
        <w:rPr>
          <w:lang w:val="en-GB"/>
        </w:rPr>
        <w:t xml:space="preserve"> </w:t>
      </w:r>
      <w:r w:rsidR="00EC5844">
        <w:rPr>
          <w:lang w:val="en-GB"/>
        </w:rPr>
        <w:t>T</w:t>
      </w:r>
      <w:r w:rsidR="003B33EB">
        <w:rPr>
          <w:lang w:val="en-GB"/>
        </w:rPr>
        <w:t>he anaSTILL</w:t>
      </w:r>
      <w:r w:rsidR="006D0C54">
        <w:rPr>
          <w:lang w:val="en-GB"/>
        </w:rPr>
        <w:t>s</w:t>
      </w:r>
      <w:r w:rsidR="003B33EB">
        <w:rPr>
          <w:lang w:val="en-GB"/>
        </w:rPr>
        <w:t xml:space="preserve"> randomised </w:t>
      </w:r>
      <w:r w:rsidR="00F41623">
        <w:rPr>
          <w:lang w:val="en-GB"/>
        </w:rPr>
        <w:t>placebo-controlled</w:t>
      </w:r>
      <w:r w:rsidR="003B33EB">
        <w:rPr>
          <w:lang w:val="en-GB"/>
        </w:rPr>
        <w:t xml:space="preserve"> trial of anakinra met its primary endpoint</w:t>
      </w:r>
      <w:r w:rsidR="00EC3EB6">
        <w:rPr>
          <w:lang w:val="en-GB"/>
        </w:rPr>
        <w:t xml:space="preserve"> </w:t>
      </w:r>
      <w:r w:rsidR="006D0C54">
        <w:rPr>
          <w:lang w:val="en-GB"/>
        </w:rPr>
        <w:t>but</w:t>
      </w:r>
      <w:r w:rsidR="00EC3EB6">
        <w:rPr>
          <w:lang w:val="en-GB"/>
        </w:rPr>
        <w:t xml:space="preserve"> </w:t>
      </w:r>
      <w:r w:rsidR="003B33EB">
        <w:rPr>
          <w:lang w:val="en-GB"/>
        </w:rPr>
        <w:t xml:space="preserve">was </w:t>
      </w:r>
      <w:r w:rsidR="006D0C54">
        <w:rPr>
          <w:lang w:val="en-GB"/>
        </w:rPr>
        <w:t xml:space="preserve">stopped because of </w:t>
      </w:r>
      <w:r w:rsidR="003B33EB">
        <w:rPr>
          <w:lang w:val="en-GB"/>
        </w:rPr>
        <w:t xml:space="preserve">issues </w:t>
      </w:r>
      <w:r w:rsidR="006D0C54">
        <w:rPr>
          <w:lang w:val="en-GB"/>
        </w:rPr>
        <w:t xml:space="preserve">with </w:t>
      </w:r>
      <w:r w:rsidR="003B33EB">
        <w:rPr>
          <w:lang w:val="en-GB"/>
        </w:rPr>
        <w:t xml:space="preserve">recruitment. </w:t>
      </w:r>
      <w:r w:rsidR="00EC3EB6">
        <w:rPr>
          <w:lang w:val="en-GB"/>
        </w:rPr>
        <w:t xml:space="preserve">The company </w:t>
      </w:r>
      <w:r w:rsidR="004E3280">
        <w:rPr>
          <w:lang w:val="en-GB"/>
        </w:rPr>
        <w:t xml:space="preserve">described how </w:t>
      </w:r>
      <w:r w:rsidR="00C06CE9">
        <w:rPr>
          <w:lang w:val="en-GB"/>
        </w:rPr>
        <w:t xml:space="preserve">the </w:t>
      </w:r>
      <w:r w:rsidR="00C96575">
        <w:rPr>
          <w:lang w:val="en-GB"/>
        </w:rPr>
        <w:t xml:space="preserve">results of this study </w:t>
      </w:r>
      <w:r w:rsidR="006D0C54">
        <w:rPr>
          <w:lang w:val="en-GB"/>
        </w:rPr>
        <w:t xml:space="preserve">showed </w:t>
      </w:r>
      <w:r w:rsidR="00C96575">
        <w:rPr>
          <w:lang w:val="en-GB"/>
        </w:rPr>
        <w:t xml:space="preserve">the benefit of administering anakinra before </w:t>
      </w:r>
      <w:r w:rsidR="00C06CE9">
        <w:rPr>
          <w:lang w:val="en-GB"/>
        </w:rPr>
        <w:t>conventional</w:t>
      </w:r>
      <w:r w:rsidR="00C96575">
        <w:rPr>
          <w:lang w:val="en-GB"/>
        </w:rPr>
        <w:t xml:space="preserve"> DMARDs. </w:t>
      </w:r>
      <w:r w:rsidR="00C06CE9">
        <w:rPr>
          <w:lang w:val="en-GB"/>
        </w:rPr>
        <w:t>The committee noted the</w:t>
      </w:r>
      <w:r w:rsidR="00B82CBE">
        <w:rPr>
          <w:lang w:val="en-GB"/>
        </w:rPr>
        <w:t xml:space="preserve"> </w:t>
      </w:r>
      <w:r w:rsidR="00C06CE9">
        <w:rPr>
          <w:lang w:val="en-GB"/>
        </w:rPr>
        <w:t xml:space="preserve">trial </w:t>
      </w:r>
      <w:r w:rsidR="006121E5">
        <w:rPr>
          <w:lang w:val="en-GB"/>
        </w:rPr>
        <w:t xml:space="preserve">only included </w:t>
      </w:r>
      <w:r w:rsidR="00C06CE9">
        <w:rPr>
          <w:lang w:val="en-GB"/>
        </w:rPr>
        <w:t>6</w:t>
      </w:r>
      <w:r w:rsidR="006D0C54">
        <w:rPr>
          <w:lang w:val="en-GB"/>
        </w:rPr>
        <w:t> </w:t>
      </w:r>
      <w:r w:rsidR="006121E5">
        <w:rPr>
          <w:lang w:val="en-GB"/>
        </w:rPr>
        <w:t xml:space="preserve">people </w:t>
      </w:r>
      <w:r w:rsidR="00C06CE9">
        <w:rPr>
          <w:lang w:val="en-GB"/>
        </w:rPr>
        <w:t>on anakinra and 5</w:t>
      </w:r>
      <w:r w:rsidR="006D0C54">
        <w:rPr>
          <w:lang w:val="en-GB"/>
        </w:rPr>
        <w:t> </w:t>
      </w:r>
      <w:r w:rsidR="006121E5">
        <w:rPr>
          <w:lang w:val="en-GB"/>
        </w:rPr>
        <w:t xml:space="preserve">people </w:t>
      </w:r>
      <w:r w:rsidR="00C06CE9">
        <w:rPr>
          <w:lang w:val="en-GB"/>
        </w:rPr>
        <w:t xml:space="preserve">on placebo. </w:t>
      </w:r>
      <w:r w:rsidR="006D0C54">
        <w:rPr>
          <w:lang w:val="en-GB"/>
        </w:rPr>
        <w:t>It</w:t>
      </w:r>
      <w:r w:rsidR="001B7677">
        <w:t xml:space="preserve"> </w:t>
      </w:r>
      <w:r w:rsidR="002B733F">
        <w:rPr>
          <w:lang w:val="en-GB"/>
        </w:rPr>
        <w:t>was aware that the</w:t>
      </w:r>
      <w:r w:rsidR="00C06CE9">
        <w:rPr>
          <w:lang w:val="en-GB"/>
        </w:rPr>
        <w:t xml:space="preserve"> other</w:t>
      </w:r>
      <w:r w:rsidR="00C06CE9">
        <w:t xml:space="preserve"> </w:t>
      </w:r>
      <w:r w:rsidR="00B82CBE">
        <w:rPr>
          <w:lang w:val="en-GB"/>
        </w:rPr>
        <w:t xml:space="preserve">non-randomised </w:t>
      </w:r>
      <w:r w:rsidR="001B7677">
        <w:t xml:space="preserve">studies </w:t>
      </w:r>
      <w:r w:rsidR="00C06CE9">
        <w:rPr>
          <w:lang w:val="en-GB"/>
        </w:rPr>
        <w:t xml:space="preserve">submitted </w:t>
      </w:r>
      <w:r w:rsidR="00B82CBE">
        <w:rPr>
          <w:lang w:val="en-GB"/>
        </w:rPr>
        <w:t xml:space="preserve">by the company </w:t>
      </w:r>
      <w:r w:rsidR="001B7677">
        <w:t xml:space="preserve">support </w:t>
      </w:r>
      <w:r w:rsidR="00B82CBE">
        <w:rPr>
          <w:lang w:val="en-GB"/>
        </w:rPr>
        <w:t>the</w:t>
      </w:r>
      <w:r w:rsidR="00B82CBE">
        <w:t xml:space="preserve"> </w:t>
      </w:r>
      <w:r w:rsidR="001B7677">
        <w:t xml:space="preserve">emerging clinical view that </w:t>
      </w:r>
      <w:r w:rsidR="00B04750">
        <w:rPr>
          <w:lang w:val="en-GB"/>
        </w:rPr>
        <w:t>interleukin</w:t>
      </w:r>
      <w:r w:rsidR="006D0C54">
        <w:rPr>
          <w:lang w:val="en-GB"/>
        </w:rPr>
        <w:noBreakHyphen/>
      </w:r>
      <w:r w:rsidR="00B04750">
        <w:rPr>
          <w:lang w:val="en-GB"/>
        </w:rPr>
        <w:t>1</w:t>
      </w:r>
      <w:r w:rsidR="001B7677">
        <w:t xml:space="preserve"> play</w:t>
      </w:r>
      <w:r w:rsidR="00BF646D">
        <w:rPr>
          <w:lang w:val="en-GB"/>
        </w:rPr>
        <w:t>s</w:t>
      </w:r>
      <w:r w:rsidR="001B7677">
        <w:t xml:space="preserve"> a particularly important role in early Still</w:t>
      </w:r>
      <w:r w:rsidR="006D0C54">
        <w:rPr>
          <w:lang w:val="en-GB"/>
        </w:rPr>
        <w:t>’</w:t>
      </w:r>
      <w:r w:rsidR="001B7677">
        <w:t>s disease</w:t>
      </w:r>
      <w:r w:rsidR="003B575B">
        <w:rPr>
          <w:lang w:val="en-GB"/>
        </w:rPr>
        <w:t>. It was also aware</w:t>
      </w:r>
      <w:r w:rsidR="00D16961">
        <w:rPr>
          <w:rFonts w:cs="Arial"/>
          <w:lang w:val="en-GB"/>
        </w:rPr>
        <w:t xml:space="preserve"> that treatment with anakinra earlier in the pathway may lead to improved outcomes</w:t>
      </w:r>
      <w:r w:rsidR="00D16961">
        <w:rPr>
          <w:lang w:val="en-GB"/>
        </w:rPr>
        <w:t xml:space="preserve"> </w:t>
      </w:r>
      <w:r w:rsidR="00110647">
        <w:rPr>
          <w:lang w:val="en-GB"/>
        </w:rPr>
        <w:t xml:space="preserve">(see </w:t>
      </w:r>
      <w:hyperlink w:anchor="_Clinicians_and_patients" w:history="1">
        <w:r w:rsidR="00110647" w:rsidRPr="00110647">
          <w:rPr>
            <w:rStyle w:val="Hyperlink"/>
            <w:lang w:val="en-GB"/>
          </w:rPr>
          <w:t>section 3.2</w:t>
        </w:r>
      </w:hyperlink>
      <w:r w:rsidR="00110647">
        <w:rPr>
          <w:lang w:val="en-GB"/>
        </w:rPr>
        <w:t>)</w:t>
      </w:r>
      <w:r w:rsidR="006D0C54">
        <w:rPr>
          <w:lang w:val="en-GB"/>
        </w:rPr>
        <w:t>.</w:t>
      </w:r>
      <w:r w:rsidR="00110647">
        <w:rPr>
          <w:lang w:val="en-GB"/>
        </w:rPr>
        <w:t xml:space="preserve"> </w:t>
      </w:r>
      <w:r w:rsidR="006D0C54">
        <w:rPr>
          <w:lang w:val="en-GB"/>
        </w:rPr>
        <w:t>This is</w:t>
      </w:r>
      <w:r w:rsidR="001B7677">
        <w:t xml:space="preserve"> particularly </w:t>
      </w:r>
      <w:r w:rsidR="006D0C54">
        <w:rPr>
          <w:lang w:val="en-GB"/>
        </w:rPr>
        <w:t>so for</w:t>
      </w:r>
      <w:r w:rsidR="001B7677">
        <w:t xml:space="preserve"> systemic features</w:t>
      </w:r>
      <w:r w:rsidR="006D0C54">
        <w:rPr>
          <w:lang w:val="en-GB"/>
        </w:rPr>
        <w:t xml:space="preserve"> of the condition</w:t>
      </w:r>
      <w:r w:rsidR="001B7677">
        <w:t xml:space="preserve">, </w:t>
      </w:r>
      <w:r w:rsidR="006D0C54">
        <w:rPr>
          <w:lang w:val="en-GB"/>
        </w:rPr>
        <w:t xml:space="preserve">and is </w:t>
      </w:r>
      <w:r w:rsidR="001B7677">
        <w:t>referred to as the ‘window of opportunity’ hypothesis</w:t>
      </w:r>
      <w:r w:rsidR="00110647">
        <w:rPr>
          <w:lang w:val="en-GB"/>
        </w:rPr>
        <w:t>.</w:t>
      </w:r>
      <w:r w:rsidR="00B04750">
        <w:rPr>
          <w:lang w:val="en-GB"/>
        </w:rPr>
        <w:t xml:space="preserve"> </w:t>
      </w:r>
      <w:r w:rsidR="006100CA">
        <w:rPr>
          <w:lang w:val="en-US"/>
        </w:rPr>
        <w:lastRenderedPageBreak/>
        <w:t xml:space="preserve">The committee </w:t>
      </w:r>
      <w:r w:rsidR="00B04750">
        <w:rPr>
          <w:lang w:val="en-US"/>
        </w:rPr>
        <w:t xml:space="preserve">acknowledged the </w:t>
      </w:r>
      <w:r w:rsidR="00091081">
        <w:rPr>
          <w:lang w:val="en-US"/>
        </w:rPr>
        <w:t>biologic</w:t>
      </w:r>
      <w:r w:rsidR="00110647">
        <w:rPr>
          <w:lang w:val="en-US"/>
        </w:rPr>
        <w:t>al</w:t>
      </w:r>
      <w:r w:rsidR="00B04750">
        <w:rPr>
          <w:lang w:val="en-US"/>
        </w:rPr>
        <w:t xml:space="preserve"> plausibility of the ‘window of opportunity’ </w:t>
      </w:r>
      <w:r w:rsidR="002A136A">
        <w:rPr>
          <w:lang w:val="en-US"/>
        </w:rPr>
        <w:t>hypothesis but</w:t>
      </w:r>
      <w:r w:rsidR="00B04750">
        <w:rPr>
          <w:lang w:val="en-US"/>
        </w:rPr>
        <w:t xml:space="preserve"> </w:t>
      </w:r>
      <w:r w:rsidR="006100CA">
        <w:rPr>
          <w:lang w:val="en-US"/>
        </w:rPr>
        <w:t>concluded</w:t>
      </w:r>
      <w:r w:rsidR="001B7677">
        <w:rPr>
          <w:lang w:val="en-US"/>
        </w:rPr>
        <w:t xml:space="preserve"> that </w:t>
      </w:r>
      <w:r w:rsidR="00294526">
        <w:rPr>
          <w:lang w:val="en-US"/>
        </w:rPr>
        <w:t>there was</w:t>
      </w:r>
      <w:r w:rsidR="009F618C">
        <w:rPr>
          <w:lang w:val="en-US"/>
        </w:rPr>
        <w:t xml:space="preserve"> </w:t>
      </w:r>
      <w:r w:rsidR="00294526">
        <w:rPr>
          <w:lang w:val="en-US"/>
        </w:rPr>
        <w:t xml:space="preserve">no robust </w:t>
      </w:r>
      <w:r w:rsidR="00B04750">
        <w:rPr>
          <w:lang w:val="en-US"/>
        </w:rPr>
        <w:t xml:space="preserve">clinical </w:t>
      </w:r>
      <w:r w:rsidR="00294526">
        <w:rPr>
          <w:lang w:val="en-US"/>
        </w:rPr>
        <w:t>evidence to support</w:t>
      </w:r>
      <w:r w:rsidR="001B7677">
        <w:rPr>
          <w:lang w:val="en-US"/>
        </w:rPr>
        <w:t xml:space="preserve"> it</w:t>
      </w:r>
      <w:r w:rsidR="00294526">
        <w:rPr>
          <w:lang w:val="en-US"/>
        </w:rPr>
        <w:t>.</w:t>
      </w:r>
    </w:p>
    <w:p w14:paraId="0E3E61D7" w14:textId="329EF169" w:rsidR="00D45F4A" w:rsidRDefault="00D45F4A" w:rsidP="00D45F4A">
      <w:pPr>
        <w:pStyle w:val="Heading2"/>
      </w:pPr>
      <w:r>
        <w:t>Economic model</w:t>
      </w:r>
    </w:p>
    <w:p w14:paraId="16A02875" w14:textId="0C7537AD" w:rsidR="00EB3A4C" w:rsidRDefault="007539A9" w:rsidP="00966FA9">
      <w:pPr>
        <w:pStyle w:val="Heading3"/>
      </w:pPr>
      <w:bookmarkStart w:id="8" w:name="_Treatment_discontinuation_rates"/>
      <w:bookmarkEnd w:id="8"/>
      <w:r>
        <w:t xml:space="preserve">Treatment discontinuation rates in the company’s model are </w:t>
      </w:r>
      <w:r w:rsidR="00A95E11">
        <w:t xml:space="preserve">not </w:t>
      </w:r>
      <w:r>
        <w:t>clinically plausible</w:t>
      </w:r>
    </w:p>
    <w:p w14:paraId="5479EE25" w14:textId="0A9FAA00" w:rsidR="00235C8E" w:rsidRPr="00E97666" w:rsidRDefault="00211903" w:rsidP="00E97666">
      <w:pPr>
        <w:pStyle w:val="Numberedlevel2text"/>
        <w:rPr>
          <w:lang w:val="en-GB"/>
        </w:rPr>
      </w:pPr>
      <w:r w:rsidRPr="00211903">
        <w:t xml:space="preserve">In the company’s model, changing from </w:t>
      </w:r>
      <w:r w:rsidR="00110647">
        <w:rPr>
          <w:lang w:val="en-GB"/>
        </w:rPr>
        <w:t>1 </w:t>
      </w:r>
      <w:r w:rsidRPr="00211903">
        <w:t>treatment to another in the pathway</w:t>
      </w:r>
      <w:r w:rsidR="00110647">
        <w:rPr>
          <w:lang w:val="en-GB"/>
        </w:rPr>
        <w:t xml:space="preserve"> was</w:t>
      </w:r>
      <w:r w:rsidRPr="00211903">
        <w:t xml:space="preserve"> set at a fixed probability per weekly cycle </w:t>
      </w:r>
      <w:r w:rsidR="009D1ABB">
        <w:rPr>
          <w:lang w:val="en-GB"/>
        </w:rPr>
        <w:t>for</w:t>
      </w:r>
      <w:r w:rsidRPr="00211903">
        <w:t xml:space="preserve"> disease not in remission. </w:t>
      </w:r>
      <w:r w:rsidR="00D52790" w:rsidRPr="00211903">
        <w:t>T</w:t>
      </w:r>
      <w:r w:rsidR="00D52790">
        <w:rPr>
          <w:lang w:val="en-GB"/>
        </w:rPr>
        <w:t xml:space="preserve">he committee heard that </w:t>
      </w:r>
      <w:r w:rsidR="000F730F">
        <w:rPr>
          <w:lang w:val="en-GB"/>
        </w:rPr>
        <w:t>the</w:t>
      </w:r>
      <w:r w:rsidRPr="00211903">
        <w:t xml:space="preserve"> </w:t>
      </w:r>
      <w:r w:rsidR="00D52790">
        <w:rPr>
          <w:lang w:val="en-GB"/>
        </w:rPr>
        <w:t>same probabilities were</w:t>
      </w:r>
      <w:r w:rsidRPr="00211903">
        <w:t xml:space="preserve"> also </w:t>
      </w:r>
      <w:r w:rsidR="00D52790">
        <w:rPr>
          <w:lang w:val="en-GB"/>
        </w:rPr>
        <w:t>used</w:t>
      </w:r>
      <w:r w:rsidRPr="00211903">
        <w:t xml:space="preserve"> in </w:t>
      </w:r>
      <w:hyperlink r:id="rId13" w:history="1">
        <w:r w:rsidRPr="00285AE7">
          <w:rPr>
            <w:rStyle w:val="Hyperlink"/>
          </w:rPr>
          <w:t>NICE’s technology appraisal of tocilizumab</w:t>
        </w:r>
      </w:hyperlink>
      <w:r w:rsidR="00285AE7">
        <w:rPr>
          <w:lang w:val="en-GB"/>
        </w:rPr>
        <w:t xml:space="preserve">. </w:t>
      </w:r>
      <w:r w:rsidR="00D52790">
        <w:rPr>
          <w:lang w:val="en-GB"/>
        </w:rPr>
        <w:t>T</w:t>
      </w:r>
      <w:r w:rsidR="00235C8E" w:rsidRPr="00D52790">
        <w:rPr>
          <w:lang w:val="en-US"/>
        </w:rPr>
        <w:t xml:space="preserve">he company presented several scenario analyses </w:t>
      </w:r>
      <w:r w:rsidR="009D1ABB">
        <w:rPr>
          <w:lang w:val="en-US"/>
        </w:rPr>
        <w:t>in which</w:t>
      </w:r>
      <w:r w:rsidR="009D1ABB" w:rsidRPr="00D52790">
        <w:rPr>
          <w:lang w:val="en-US"/>
        </w:rPr>
        <w:t xml:space="preserve"> </w:t>
      </w:r>
      <w:r w:rsidR="00235C8E" w:rsidRPr="00D52790">
        <w:rPr>
          <w:lang w:val="en-US"/>
        </w:rPr>
        <w:t>the rate was increased or decreased by 20% after 6</w:t>
      </w:r>
      <w:r w:rsidR="009D1ABB">
        <w:rPr>
          <w:lang w:val="en-US"/>
        </w:rPr>
        <w:t> </w:t>
      </w:r>
      <w:r w:rsidR="00235C8E" w:rsidRPr="00D52790">
        <w:rPr>
          <w:lang w:val="en-US"/>
        </w:rPr>
        <w:t>or 12</w:t>
      </w:r>
      <w:r w:rsidR="009D1ABB">
        <w:rPr>
          <w:lang w:val="en-US"/>
        </w:rPr>
        <w:t> </w:t>
      </w:r>
      <w:r w:rsidR="00235C8E" w:rsidRPr="00D52790">
        <w:rPr>
          <w:lang w:val="en-US"/>
        </w:rPr>
        <w:t xml:space="preserve">months, either for all treatments or just for </w:t>
      </w:r>
      <w:r w:rsidR="00091081">
        <w:rPr>
          <w:lang w:val="en-US"/>
        </w:rPr>
        <w:t>biologic</w:t>
      </w:r>
      <w:r w:rsidR="009D1ABB">
        <w:rPr>
          <w:lang w:val="en-US"/>
        </w:rPr>
        <w:t>al</w:t>
      </w:r>
      <w:r w:rsidR="00D52790">
        <w:rPr>
          <w:lang w:val="en-US"/>
        </w:rPr>
        <w:t xml:space="preserve"> DMARDs. </w:t>
      </w:r>
      <w:r w:rsidR="00A95E11">
        <w:rPr>
          <w:lang w:val="en-US"/>
        </w:rPr>
        <w:t>T</w:t>
      </w:r>
      <w:r w:rsidR="00235C8E" w:rsidRPr="00235C8E">
        <w:t xml:space="preserve">he ERG </w:t>
      </w:r>
      <w:r w:rsidR="00D52790">
        <w:rPr>
          <w:lang w:val="en-GB"/>
        </w:rPr>
        <w:t>explained</w:t>
      </w:r>
      <w:r w:rsidR="00235C8E" w:rsidRPr="00235C8E">
        <w:t xml:space="preserve"> that the fixed probability for changing from </w:t>
      </w:r>
      <w:r w:rsidR="009D1ABB">
        <w:rPr>
          <w:lang w:val="en-GB"/>
        </w:rPr>
        <w:t>1 </w:t>
      </w:r>
      <w:r w:rsidR="00235C8E" w:rsidRPr="00235C8E">
        <w:t>treatment to another mean</w:t>
      </w:r>
      <w:r w:rsidR="009D1ABB">
        <w:rPr>
          <w:lang w:val="en-GB"/>
        </w:rPr>
        <w:t>t</w:t>
      </w:r>
      <w:r w:rsidR="00235C8E" w:rsidRPr="00235C8E">
        <w:t xml:space="preserve"> it</w:t>
      </w:r>
      <w:r w:rsidR="009D1ABB">
        <w:rPr>
          <w:lang w:val="en-GB"/>
        </w:rPr>
        <w:t xml:space="preserve"> was</w:t>
      </w:r>
      <w:r w:rsidR="00235C8E" w:rsidRPr="00235C8E">
        <w:t xml:space="preserve"> possible for a proportion of patients to remain on the same treatment for the whole time horizon</w:t>
      </w:r>
      <w:r w:rsidR="009D1ABB">
        <w:rPr>
          <w:lang w:val="en-GB"/>
        </w:rPr>
        <w:t xml:space="preserve"> of the model</w:t>
      </w:r>
      <w:r w:rsidR="00235C8E" w:rsidRPr="00235C8E">
        <w:t xml:space="preserve">, without their disease </w:t>
      </w:r>
      <w:r w:rsidR="00193DE7">
        <w:rPr>
          <w:lang w:val="en-GB"/>
        </w:rPr>
        <w:t>going into</w:t>
      </w:r>
      <w:r w:rsidR="00193DE7" w:rsidRPr="00235C8E">
        <w:t xml:space="preserve"> </w:t>
      </w:r>
      <w:r w:rsidR="00235C8E" w:rsidRPr="00235C8E">
        <w:t xml:space="preserve">remission. </w:t>
      </w:r>
      <w:r w:rsidR="00D52790">
        <w:rPr>
          <w:lang w:val="en-GB"/>
        </w:rPr>
        <w:t xml:space="preserve">Based on </w:t>
      </w:r>
      <w:r w:rsidR="009D1ABB">
        <w:rPr>
          <w:lang w:val="en-GB"/>
        </w:rPr>
        <w:t xml:space="preserve">its </w:t>
      </w:r>
      <w:r w:rsidR="00D52790">
        <w:rPr>
          <w:lang w:val="en-GB"/>
        </w:rPr>
        <w:t xml:space="preserve">clinical expert </w:t>
      </w:r>
      <w:r w:rsidR="009D1ABB">
        <w:rPr>
          <w:lang w:val="en-GB"/>
        </w:rPr>
        <w:t xml:space="preserve">advice, </w:t>
      </w:r>
      <w:r w:rsidR="00193DE7">
        <w:rPr>
          <w:lang w:val="en-GB"/>
        </w:rPr>
        <w:t>the ERG</w:t>
      </w:r>
      <w:r w:rsidR="00D52790">
        <w:rPr>
          <w:lang w:val="en-GB"/>
        </w:rPr>
        <w:t xml:space="preserve"> considered this to be clinically implausible. </w:t>
      </w:r>
      <w:r w:rsidR="00235C8E" w:rsidRPr="00235C8E">
        <w:t xml:space="preserve">For example, </w:t>
      </w:r>
      <w:r w:rsidR="009D1ABB">
        <w:rPr>
          <w:lang w:val="en-GB"/>
        </w:rPr>
        <w:t xml:space="preserve">it would mean that, </w:t>
      </w:r>
      <w:r w:rsidR="00235C8E" w:rsidRPr="00235C8E">
        <w:t xml:space="preserve">of people </w:t>
      </w:r>
      <w:r w:rsidR="009D1ABB">
        <w:rPr>
          <w:lang w:val="en-GB"/>
        </w:rPr>
        <w:t>having</w:t>
      </w:r>
      <w:r w:rsidR="00C92352" w:rsidRPr="00235C8E">
        <w:t xml:space="preserve"> </w:t>
      </w:r>
      <w:r w:rsidR="00235C8E" w:rsidRPr="00235C8E">
        <w:t xml:space="preserve">their first </w:t>
      </w:r>
      <w:r w:rsidR="00091081">
        <w:t>biologic</w:t>
      </w:r>
      <w:r w:rsidR="009D1ABB">
        <w:rPr>
          <w:lang w:val="en-GB"/>
        </w:rPr>
        <w:t>al</w:t>
      </w:r>
      <w:r w:rsidR="00235C8E" w:rsidRPr="00235C8E">
        <w:t xml:space="preserve"> </w:t>
      </w:r>
      <w:r w:rsidR="00D52790">
        <w:rPr>
          <w:lang w:val="en-GB"/>
        </w:rPr>
        <w:t>DMARD</w:t>
      </w:r>
      <w:r w:rsidR="00235C8E" w:rsidRPr="00235C8E">
        <w:t xml:space="preserve"> whose disease </w:t>
      </w:r>
      <w:r w:rsidR="006121E5">
        <w:rPr>
          <w:lang w:val="en-GB"/>
        </w:rPr>
        <w:t>was not yet</w:t>
      </w:r>
      <w:r w:rsidR="00235C8E" w:rsidRPr="00235C8E">
        <w:t xml:space="preserve"> remission</w:t>
      </w:r>
      <w:r w:rsidR="009D1ABB">
        <w:rPr>
          <w:lang w:val="en-GB"/>
        </w:rPr>
        <w:t>,</w:t>
      </w:r>
      <w:r w:rsidR="00235C8E" w:rsidRPr="00235C8E">
        <w:t xml:space="preserve"> </w:t>
      </w:r>
      <w:r w:rsidR="009D1ABB" w:rsidRPr="00235C8E">
        <w:t xml:space="preserve">over 55% </w:t>
      </w:r>
      <w:r w:rsidR="00235C8E" w:rsidRPr="00235C8E">
        <w:t>w</w:t>
      </w:r>
      <w:r w:rsidR="009D1ABB">
        <w:rPr>
          <w:lang w:val="en-GB"/>
        </w:rPr>
        <w:t>ould</w:t>
      </w:r>
      <w:r w:rsidR="00235C8E" w:rsidRPr="00235C8E">
        <w:t xml:space="preserve"> still </w:t>
      </w:r>
      <w:r w:rsidR="009D1ABB">
        <w:rPr>
          <w:lang w:val="en-GB"/>
        </w:rPr>
        <w:t>be on this</w:t>
      </w:r>
      <w:r w:rsidR="00235C8E" w:rsidRPr="00235C8E">
        <w:t xml:space="preserve"> treatment </w:t>
      </w:r>
      <w:r w:rsidR="009D1ABB" w:rsidRPr="00235C8E">
        <w:t>after 1</w:t>
      </w:r>
      <w:r w:rsidR="009D1ABB">
        <w:rPr>
          <w:lang w:val="en-GB"/>
        </w:rPr>
        <w:t> </w:t>
      </w:r>
      <w:r w:rsidR="009D1ABB" w:rsidRPr="00235C8E">
        <w:t xml:space="preserve">year </w:t>
      </w:r>
      <w:r w:rsidR="00235C8E" w:rsidRPr="00235C8E">
        <w:t>and</w:t>
      </w:r>
      <w:r w:rsidR="009D1ABB">
        <w:rPr>
          <w:lang w:val="en-GB"/>
        </w:rPr>
        <w:t xml:space="preserve"> about 33% would still on </w:t>
      </w:r>
      <w:r w:rsidR="006121E5">
        <w:rPr>
          <w:lang w:val="en-GB"/>
        </w:rPr>
        <w:t>it</w:t>
      </w:r>
      <w:r w:rsidR="009D1ABB">
        <w:rPr>
          <w:lang w:val="en-GB"/>
        </w:rPr>
        <w:t xml:space="preserve"> after 2 years</w:t>
      </w:r>
      <w:r w:rsidR="00D52790">
        <w:rPr>
          <w:lang w:val="en-GB"/>
        </w:rPr>
        <w:t xml:space="preserve">. The clinical experts </w:t>
      </w:r>
      <w:r w:rsidR="009D1ABB">
        <w:rPr>
          <w:lang w:val="en-GB"/>
        </w:rPr>
        <w:t xml:space="preserve">explained </w:t>
      </w:r>
      <w:r w:rsidR="00D52790">
        <w:rPr>
          <w:lang w:val="en-GB"/>
        </w:rPr>
        <w:t xml:space="preserve">that it is possible that someone </w:t>
      </w:r>
      <w:r w:rsidR="009D1ABB">
        <w:rPr>
          <w:lang w:val="en-GB"/>
        </w:rPr>
        <w:t xml:space="preserve">might </w:t>
      </w:r>
      <w:r w:rsidR="00D52790">
        <w:rPr>
          <w:lang w:val="en-GB"/>
        </w:rPr>
        <w:t>remain on a</w:t>
      </w:r>
      <w:r w:rsidR="009D1ABB">
        <w:rPr>
          <w:lang w:val="en-GB"/>
        </w:rPr>
        <w:t xml:space="preserve"> biological</w:t>
      </w:r>
      <w:r w:rsidR="00D52790">
        <w:rPr>
          <w:lang w:val="en-GB"/>
        </w:rPr>
        <w:t xml:space="preserve"> treatment </w:t>
      </w:r>
      <w:r w:rsidR="00496327">
        <w:rPr>
          <w:lang w:val="en-GB"/>
        </w:rPr>
        <w:t xml:space="preserve">for an extended period without </w:t>
      </w:r>
      <w:r w:rsidR="009D1ABB">
        <w:rPr>
          <w:lang w:val="en-GB"/>
        </w:rPr>
        <w:t xml:space="preserve">their condition going into </w:t>
      </w:r>
      <w:r w:rsidR="00496327">
        <w:rPr>
          <w:lang w:val="en-GB"/>
        </w:rPr>
        <w:t>remission</w:t>
      </w:r>
      <w:r w:rsidR="009D1ABB">
        <w:rPr>
          <w:lang w:val="en-GB"/>
        </w:rPr>
        <w:t>. This would be because of</w:t>
      </w:r>
      <w:r w:rsidR="00496327">
        <w:rPr>
          <w:lang w:val="en-GB"/>
        </w:rPr>
        <w:t xml:space="preserve"> other </w:t>
      </w:r>
      <w:r w:rsidR="009D1ABB">
        <w:rPr>
          <w:lang w:val="en-GB"/>
        </w:rPr>
        <w:t xml:space="preserve">treatment </w:t>
      </w:r>
      <w:r w:rsidR="00496327">
        <w:rPr>
          <w:lang w:val="en-GB"/>
        </w:rPr>
        <w:t>benefits</w:t>
      </w:r>
      <w:r w:rsidR="009D1ABB">
        <w:rPr>
          <w:lang w:val="en-GB"/>
        </w:rPr>
        <w:t>,</w:t>
      </w:r>
      <w:r w:rsidR="00496327">
        <w:rPr>
          <w:lang w:val="en-GB"/>
        </w:rPr>
        <w:t xml:space="preserve"> </w:t>
      </w:r>
      <w:r w:rsidR="009D1ABB">
        <w:rPr>
          <w:lang w:val="en-GB"/>
        </w:rPr>
        <w:t>such as</w:t>
      </w:r>
      <w:r w:rsidR="00496327">
        <w:rPr>
          <w:lang w:val="en-GB"/>
        </w:rPr>
        <w:t xml:space="preserve"> improved symptom control and quality of life. The company accepted that a limitation of </w:t>
      </w:r>
      <w:r w:rsidR="009D1ABB">
        <w:rPr>
          <w:lang w:val="en-GB"/>
        </w:rPr>
        <w:t>its</w:t>
      </w:r>
      <w:r w:rsidR="00496327">
        <w:rPr>
          <w:lang w:val="en-GB"/>
        </w:rPr>
        <w:t xml:space="preserve"> model </w:t>
      </w:r>
      <w:r w:rsidR="00193DE7">
        <w:rPr>
          <w:lang w:val="en-GB"/>
        </w:rPr>
        <w:t>was</w:t>
      </w:r>
      <w:r w:rsidR="009D1ABB">
        <w:rPr>
          <w:lang w:val="en-GB"/>
        </w:rPr>
        <w:t xml:space="preserve"> that </w:t>
      </w:r>
      <w:r w:rsidR="00496327">
        <w:rPr>
          <w:lang w:val="en-GB"/>
        </w:rPr>
        <w:t xml:space="preserve">it </w:t>
      </w:r>
      <w:r w:rsidR="00193DE7">
        <w:rPr>
          <w:lang w:val="en-GB"/>
        </w:rPr>
        <w:t xml:space="preserve">did </w:t>
      </w:r>
      <w:r w:rsidR="00496327">
        <w:rPr>
          <w:lang w:val="en-GB"/>
        </w:rPr>
        <w:t xml:space="preserve">not account for the full range of clinically plausible health states experienced by </w:t>
      </w:r>
      <w:r w:rsidR="006121E5">
        <w:rPr>
          <w:lang w:val="en-GB"/>
        </w:rPr>
        <w:t xml:space="preserve">people </w:t>
      </w:r>
      <w:r w:rsidR="00496327">
        <w:rPr>
          <w:lang w:val="en-GB"/>
        </w:rPr>
        <w:t xml:space="preserve">with </w:t>
      </w:r>
      <w:r w:rsidR="00C92352">
        <w:rPr>
          <w:lang w:val="en-GB"/>
        </w:rPr>
        <w:t xml:space="preserve">systemic </w:t>
      </w:r>
      <w:r w:rsidR="00496327">
        <w:rPr>
          <w:lang w:val="en-GB"/>
        </w:rPr>
        <w:t xml:space="preserve">JIA and AOSD. The ERG agreed that, other than remission, the benefits of remaining on a treatment </w:t>
      </w:r>
      <w:r w:rsidR="00193DE7">
        <w:rPr>
          <w:lang w:val="en-GB"/>
        </w:rPr>
        <w:t xml:space="preserve">were </w:t>
      </w:r>
      <w:r w:rsidR="00496327">
        <w:rPr>
          <w:lang w:val="en-GB"/>
        </w:rPr>
        <w:t xml:space="preserve">not captured in the model. The committee concluded that </w:t>
      </w:r>
      <w:r w:rsidR="00E95236">
        <w:rPr>
          <w:lang w:val="en-GB"/>
        </w:rPr>
        <w:t xml:space="preserve">the </w:t>
      </w:r>
      <w:r w:rsidR="00D723A3">
        <w:rPr>
          <w:lang w:val="en-GB"/>
        </w:rPr>
        <w:t xml:space="preserve">way in which </w:t>
      </w:r>
      <w:r w:rsidR="00496327">
        <w:rPr>
          <w:lang w:val="en-GB"/>
        </w:rPr>
        <w:t>treatment discontinuation rates</w:t>
      </w:r>
      <w:r w:rsidR="00D723A3">
        <w:rPr>
          <w:lang w:val="en-GB"/>
        </w:rPr>
        <w:t xml:space="preserve"> were</w:t>
      </w:r>
      <w:r w:rsidR="00496327">
        <w:rPr>
          <w:lang w:val="en-GB"/>
        </w:rPr>
        <w:t xml:space="preserve"> mode</w:t>
      </w:r>
      <w:r w:rsidR="00D723A3">
        <w:rPr>
          <w:lang w:val="en-GB"/>
        </w:rPr>
        <w:t>l</w:t>
      </w:r>
      <w:r w:rsidR="00496327">
        <w:rPr>
          <w:lang w:val="en-GB"/>
        </w:rPr>
        <w:t>l</w:t>
      </w:r>
      <w:r w:rsidR="00D723A3">
        <w:rPr>
          <w:lang w:val="en-GB"/>
        </w:rPr>
        <w:t>ed</w:t>
      </w:r>
      <w:r w:rsidR="00496327">
        <w:rPr>
          <w:lang w:val="en-GB"/>
        </w:rPr>
        <w:t xml:space="preserve"> </w:t>
      </w:r>
      <w:r w:rsidR="00D723A3">
        <w:rPr>
          <w:lang w:val="en-GB"/>
        </w:rPr>
        <w:t>was</w:t>
      </w:r>
      <w:r w:rsidR="009D1ABB">
        <w:rPr>
          <w:lang w:val="en-GB"/>
        </w:rPr>
        <w:t xml:space="preserve"> </w:t>
      </w:r>
      <w:r w:rsidR="00496327">
        <w:rPr>
          <w:lang w:val="en-GB"/>
        </w:rPr>
        <w:t>not clinically plausible.</w:t>
      </w:r>
    </w:p>
    <w:p w14:paraId="24D8F5AC" w14:textId="07E3A79B" w:rsidR="00235C8E" w:rsidRDefault="00FD4A19" w:rsidP="00D45F4A">
      <w:pPr>
        <w:pStyle w:val="Heading3"/>
      </w:pPr>
      <w:r>
        <w:lastRenderedPageBreak/>
        <w:t>Disease remission rates in the company’s model are not clinically plausible</w:t>
      </w:r>
    </w:p>
    <w:p w14:paraId="43A1AC6A" w14:textId="5CA42C49" w:rsidR="00B97280" w:rsidRPr="00B97280" w:rsidRDefault="00C7319E" w:rsidP="00C45E4C">
      <w:pPr>
        <w:pStyle w:val="Numberedlevel2text"/>
      </w:pPr>
      <w:bookmarkStart w:id="9" w:name="_Ref57993389"/>
      <w:r w:rsidRPr="00C7319E">
        <w:rPr>
          <w:lang w:val="en-GB"/>
        </w:rPr>
        <w:t xml:space="preserve">The company </w:t>
      </w:r>
      <w:r>
        <w:rPr>
          <w:lang w:val="en-GB"/>
        </w:rPr>
        <w:t xml:space="preserve">model </w:t>
      </w:r>
      <w:r w:rsidRPr="00C7319E">
        <w:rPr>
          <w:lang w:val="en-GB"/>
        </w:rPr>
        <w:t xml:space="preserve">assumed that the probability of reaching disease remission with </w:t>
      </w:r>
      <w:r>
        <w:rPr>
          <w:lang w:val="en-GB"/>
        </w:rPr>
        <w:t xml:space="preserve">conventional </w:t>
      </w:r>
      <w:r w:rsidRPr="00C7319E">
        <w:rPr>
          <w:lang w:val="en-GB"/>
        </w:rPr>
        <w:t xml:space="preserve">DMARDs for people with chronic disease was 0%. </w:t>
      </w:r>
      <w:r w:rsidR="006121E5">
        <w:rPr>
          <w:lang w:val="en-GB"/>
        </w:rPr>
        <w:t>It</w:t>
      </w:r>
      <w:r w:rsidR="000C7E39">
        <w:rPr>
          <w:lang w:val="en-GB"/>
        </w:rPr>
        <w:t xml:space="preserve"> also</w:t>
      </w:r>
      <w:r w:rsidRPr="00C7319E">
        <w:rPr>
          <w:lang w:val="en-GB"/>
        </w:rPr>
        <w:t xml:space="preserve"> presented a scenario analysis </w:t>
      </w:r>
      <w:r w:rsidR="00193DE7">
        <w:rPr>
          <w:lang w:val="en-GB"/>
        </w:rPr>
        <w:t>in which</w:t>
      </w:r>
      <w:r w:rsidR="00193DE7" w:rsidRPr="00C7319E">
        <w:rPr>
          <w:lang w:val="en-GB"/>
        </w:rPr>
        <w:t xml:space="preserve"> </w:t>
      </w:r>
      <w:r w:rsidRPr="00C7319E">
        <w:rPr>
          <w:lang w:val="en-GB"/>
        </w:rPr>
        <w:t>the probability was the same for people with chronic disease as monocyclic disease</w:t>
      </w:r>
      <w:r>
        <w:rPr>
          <w:lang w:val="en-GB"/>
        </w:rPr>
        <w:t xml:space="preserve">: </w:t>
      </w:r>
      <w:r w:rsidRPr="00C7319E">
        <w:rPr>
          <w:lang w:val="en-GB"/>
        </w:rPr>
        <w:t>a weekly remission probability of 12.56%.</w:t>
      </w:r>
      <w:r>
        <w:rPr>
          <w:lang w:val="en-GB"/>
        </w:rPr>
        <w:t xml:space="preserve"> </w:t>
      </w:r>
      <w:r w:rsidR="00C45E4C">
        <w:rPr>
          <w:lang w:val="en-GB"/>
        </w:rPr>
        <w:t xml:space="preserve">The ERG </w:t>
      </w:r>
      <w:r w:rsidR="000C7E39">
        <w:rPr>
          <w:lang w:val="en-GB"/>
        </w:rPr>
        <w:t xml:space="preserve">explained </w:t>
      </w:r>
      <w:r w:rsidR="00C45E4C">
        <w:rPr>
          <w:lang w:val="en-GB"/>
        </w:rPr>
        <w:t xml:space="preserve">that, based on </w:t>
      </w:r>
      <w:r w:rsidR="000C7E39">
        <w:rPr>
          <w:lang w:val="en-GB"/>
        </w:rPr>
        <w:t xml:space="preserve">its </w:t>
      </w:r>
      <w:r w:rsidR="00C45E4C">
        <w:rPr>
          <w:lang w:val="en-GB"/>
        </w:rPr>
        <w:t xml:space="preserve">own clinical expert advice, it is clinically implausible that </w:t>
      </w:r>
      <w:r w:rsidR="009D0879">
        <w:rPr>
          <w:lang w:val="en-GB"/>
        </w:rPr>
        <w:t xml:space="preserve">nobody with chronic disease </w:t>
      </w:r>
      <w:r w:rsidR="00C45E4C">
        <w:rPr>
          <w:lang w:val="en-GB"/>
        </w:rPr>
        <w:t xml:space="preserve">would reach remission with conventional DMARDs. </w:t>
      </w:r>
      <w:r w:rsidR="00C45E4C">
        <w:t>The ERG explained that the remission rates for people with monocyclic disease had been taken from the Nordström</w:t>
      </w:r>
      <w:r w:rsidR="00193DE7">
        <w:rPr>
          <w:lang w:val="en-GB"/>
        </w:rPr>
        <w:t xml:space="preserve"> et al.</w:t>
      </w:r>
      <w:r w:rsidR="00C45E4C">
        <w:t xml:space="preserve"> </w:t>
      </w:r>
      <w:r w:rsidR="00193DE7">
        <w:rPr>
          <w:lang w:val="en-GB"/>
        </w:rPr>
        <w:t xml:space="preserve">(2012) </w:t>
      </w:r>
      <w:r w:rsidR="00C45E4C">
        <w:t>study. It highlighted that</w:t>
      </w:r>
      <w:r w:rsidR="00193DE7">
        <w:rPr>
          <w:lang w:val="en-GB"/>
        </w:rPr>
        <w:t>, in</w:t>
      </w:r>
      <w:r w:rsidR="00C45E4C">
        <w:t xml:space="preserve"> </w:t>
      </w:r>
      <w:r w:rsidR="00C45E4C">
        <w:rPr>
          <w:lang w:val="en-GB"/>
        </w:rPr>
        <w:t>2</w:t>
      </w:r>
      <w:r w:rsidR="00C45E4C">
        <w:t xml:space="preserve">0% of </w:t>
      </w:r>
      <w:r w:rsidR="00193DE7">
        <w:rPr>
          <w:lang w:val="en-GB"/>
        </w:rPr>
        <w:t>people</w:t>
      </w:r>
      <w:r w:rsidR="00193DE7">
        <w:t xml:space="preserve"> </w:t>
      </w:r>
      <w:r w:rsidR="00C45E4C">
        <w:t xml:space="preserve">in the </w:t>
      </w:r>
      <w:r w:rsidR="000F730F">
        <w:rPr>
          <w:lang w:val="en-GB"/>
        </w:rPr>
        <w:t xml:space="preserve">conventional </w:t>
      </w:r>
      <w:r w:rsidR="00C45E4C">
        <w:t>DMARDs arm of th</w:t>
      </w:r>
      <w:r w:rsidR="00193DE7">
        <w:rPr>
          <w:lang w:val="en-GB"/>
        </w:rPr>
        <w:t xml:space="preserve">is </w:t>
      </w:r>
      <w:r w:rsidR="00C45E4C">
        <w:t>study</w:t>
      </w:r>
      <w:r w:rsidR="00193DE7">
        <w:rPr>
          <w:lang w:val="en-GB"/>
        </w:rPr>
        <w:t>, their condition was</w:t>
      </w:r>
      <w:r w:rsidR="00C45E4C">
        <w:t xml:space="preserve"> in remission at 12</w:t>
      </w:r>
      <w:r w:rsidR="00193DE7">
        <w:rPr>
          <w:lang w:val="en-GB"/>
        </w:rPr>
        <w:t> </w:t>
      </w:r>
      <w:r w:rsidR="00C45E4C">
        <w:t>months</w:t>
      </w:r>
      <w:r w:rsidR="000C7E39">
        <w:rPr>
          <w:lang w:val="en-GB"/>
        </w:rPr>
        <w:t>. This</w:t>
      </w:r>
      <w:r w:rsidR="00C45E4C">
        <w:t xml:space="preserve"> </w:t>
      </w:r>
      <w:r w:rsidR="00C45E4C">
        <w:rPr>
          <w:lang w:val="en-GB"/>
        </w:rPr>
        <w:t>suggest</w:t>
      </w:r>
      <w:r w:rsidR="000C7E39">
        <w:rPr>
          <w:lang w:val="en-GB"/>
        </w:rPr>
        <w:t>s</w:t>
      </w:r>
      <w:r w:rsidR="00C45E4C">
        <w:rPr>
          <w:lang w:val="en-GB"/>
        </w:rPr>
        <w:t xml:space="preserve"> that conventional DMARDS are effective for some people. The clinical experts agreed that this was the case, and that </w:t>
      </w:r>
      <w:r w:rsidR="00193DE7">
        <w:rPr>
          <w:lang w:val="en-GB"/>
        </w:rPr>
        <w:t>there is</w:t>
      </w:r>
      <w:r w:rsidR="00C45E4C">
        <w:rPr>
          <w:lang w:val="en-GB"/>
        </w:rPr>
        <w:t xml:space="preserve"> good disease control with conventional DMARDs</w:t>
      </w:r>
      <w:r w:rsidR="0039083E">
        <w:rPr>
          <w:lang w:val="en-GB"/>
        </w:rPr>
        <w:t xml:space="preserve"> </w:t>
      </w:r>
      <w:r w:rsidR="00193DE7">
        <w:rPr>
          <w:lang w:val="en-GB"/>
        </w:rPr>
        <w:t>in some people, who then</w:t>
      </w:r>
      <w:r w:rsidR="0039083E">
        <w:rPr>
          <w:lang w:val="en-GB"/>
        </w:rPr>
        <w:t xml:space="preserve"> do not </w:t>
      </w:r>
      <w:r w:rsidR="00C92352">
        <w:rPr>
          <w:lang w:val="en-GB"/>
        </w:rPr>
        <w:t xml:space="preserve">need </w:t>
      </w:r>
      <w:r w:rsidR="00091081">
        <w:rPr>
          <w:lang w:val="en-GB"/>
        </w:rPr>
        <w:t>biologic</w:t>
      </w:r>
      <w:r w:rsidR="00C92352">
        <w:rPr>
          <w:lang w:val="en-GB"/>
        </w:rPr>
        <w:t>al</w:t>
      </w:r>
      <w:r w:rsidR="0039083E">
        <w:rPr>
          <w:lang w:val="en-GB"/>
        </w:rPr>
        <w:t xml:space="preserve"> DMARDs</w:t>
      </w:r>
      <w:r w:rsidR="00C45E4C">
        <w:rPr>
          <w:lang w:val="en-GB"/>
        </w:rPr>
        <w:t>.</w:t>
      </w:r>
      <w:r w:rsidR="00193DE7">
        <w:rPr>
          <w:lang w:val="en-GB"/>
        </w:rPr>
        <w:t xml:space="preserve"> However, t</w:t>
      </w:r>
      <w:r w:rsidR="00C45E4C">
        <w:rPr>
          <w:lang w:val="en-GB"/>
        </w:rPr>
        <w:t>he</w:t>
      </w:r>
      <w:r w:rsidR="00193DE7">
        <w:rPr>
          <w:lang w:val="en-GB"/>
        </w:rPr>
        <w:t>y</w:t>
      </w:r>
      <w:r w:rsidR="00C45E4C">
        <w:rPr>
          <w:lang w:val="en-GB"/>
        </w:rPr>
        <w:t xml:space="preserve"> differed in their experience of</w:t>
      </w:r>
      <w:r w:rsidR="00193DE7">
        <w:rPr>
          <w:lang w:val="en-GB"/>
        </w:rPr>
        <w:t xml:space="preserve"> the </w:t>
      </w:r>
      <w:r w:rsidR="00604773">
        <w:rPr>
          <w:lang w:val="en-GB"/>
        </w:rPr>
        <w:t>occurrence of remission in</w:t>
      </w:r>
      <w:r w:rsidR="00C45E4C">
        <w:rPr>
          <w:lang w:val="en-GB"/>
        </w:rPr>
        <w:t xml:space="preserve"> </w:t>
      </w:r>
      <w:r w:rsidR="0039083E">
        <w:rPr>
          <w:lang w:val="en-GB"/>
        </w:rPr>
        <w:t>people with chronic disease</w:t>
      </w:r>
      <w:r w:rsidR="00193DE7">
        <w:rPr>
          <w:lang w:val="en-GB"/>
        </w:rPr>
        <w:t xml:space="preserve"> </w:t>
      </w:r>
      <w:r w:rsidR="00604773">
        <w:rPr>
          <w:lang w:val="en-GB"/>
        </w:rPr>
        <w:t xml:space="preserve">having </w:t>
      </w:r>
      <w:r w:rsidR="0039083E">
        <w:rPr>
          <w:lang w:val="en-GB"/>
        </w:rPr>
        <w:t>conventional DMARDs</w:t>
      </w:r>
      <w:r w:rsidR="00C45E4C">
        <w:rPr>
          <w:lang w:val="en-GB"/>
        </w:rPr>
        <w:t xml:space="preserve">. One clinical expert estimated </w:t>
      </w:r>
      <w:r w:rsidR="00604773">
        <w:rPr>
          <w:lang w:val="en-GB"/>
        </w:rPr>
        <w:t>that remission would occur in</w:t>
      </w:r>
      <w:r w:rsidR="00C45E4C">
        <w:rPr>
          <w:lang w:val="en-GB"/>
        </w:rPr>
        <w:t xml:space="preserve"> less than 5% of people</w:t>
      </w:r>
      <w:r w:rsidR="00F732A5">
        <w:rPr>
          <w:lang w:val="en-GB"/>
        </w:rPr>
        <w:t xml:space="preserve">, assuming no </w:t>
      </w:r>
      <w:r w:rsidR="00C45E4C">
        <w:rPr>
          <w:lang w:val="en-GB"/>
        </w:rPr>
        <w:t>prolonged corticosteroid use</w:t>
      </w:r>
      <w:r w:rsidR="00604773">
        <w:rPr>
          <w:lang w:val="en-GB"/>
        </w:rPr>
        <w:t>. Another</w:t>
      </w:r>
      <w:r w:rsidR="00C45E4C">
        <w:rPr>
          <w:lang w:val="en-GB"/>
        </w:rPr>
        <w:t xml:space="preserve"> considered that it would </w:t>
      </w:r>
      <w:r w:rsidR="00604773">
        <w:rPr>
          <w:lang w:val="en-GB"/>
        </w:rPr>
        <w:t xml:space="preserve">occur in </w:t>
      </w:r>
      <w:r w:rsidR="00C45E4C">
        <w:rPr>
          <w:lang w:val="en-GB"/>
        </w:rPr>
        <w:t>25</w:t>
      </w:r>
      <w:r w:rsidR="00604773">
        <w:rPr>
          <w:lang w:val="en-GB"/>
        </w:rPr>
        <w:t xml:space="preserve">% to </w:t>
      </w:r>
      <w:r w:rsidR="00C45E4C">
        <w:rPr>
          <w:lang w:val="en-GB"/>
        </w:rPr>
        <w:t>30%</w:t>
      </w:r>
      <w:r w:rsidR="00604773">
        <w:rPr>
          <w:lang w:val="en-GB"/>
        </w:rPr>
        <w:t xml:space="preserve"> of people</w:t>
      </w:r>
      <w:r w:rsidR="00C45E4C">
        <w:rPr>
          <w:lang w:val="en-GB"/>
        </w:rPr>
        <w:t xml:space="preserve">. The committee agreed that </w:t>
      </w:r>
      <w:r w:rsidR="00D8427E">
        <w:rPr>
          <w:lang w:val="en-GB"/>
        </w:rPr>
        <w:t>the</w:t>
      </w:r>
      <w:r w:rsidR="00C45E4C">
        <w:rPr>
          <w:lang w:val="en-GB"/>
        </w:rPr>
        <w:t xml:space="preserve"> second </w:t>
      </w:r>
      <w:r w:rsidR="00604773">
        <w:rPr>
          <w:lang w:val="en-GB"/>
        </w:rPr>
        <w:t>estimate</w:t>
      </w:r>
      <w:r w:rsidR="00D8427E">
        <w:rPr>
          <w:lang w:val="en-GB"/>
        </w:rPr>
        <w:t xml:space="preserve"> seemed more plausible</w:t>
      </w:r>
      <w:r w:rsidR="00604773">
        <w:rPr>
          <w:lang w:val="en-GB"/>
        </w:rPr>
        <w:t>. It</w:t>
      </w:r>
      <w:r w:rsidR="00C45E4C">
        <w:rPr>
          <w:lang w:val="en-GB"/>
        </w:rPr>
        <w:t xml:space="preserve"> concluded</w:t>
      </w:r>
      <w:r w:rsidR="00C45E4C">
        <w:t xml:space="preserve"> that the remission rates for </w:t>
      </w:r>
      <w:r w:rsidR="000F730F">
        <w:rPr>
          <w:lang w:val="en-GB"/>
        </w:rPr>
        <w:t xml:space="preserve">conventional </w:t>
      </w:r>
      <w:r w:rsidR="00C45E4C">
        <w:t>DMARDs used in the company’s model were unreliable.</w:t>
      </w:r>
      <w:bookmarkEnd w:id="9"/>
    </w:p>
    <w:p w14:paraId="6EFCCDE2" w14:textId="17913CEC" w:rsidR="009354B5" w:rsidRDefault="004D33A0" w:rsidP="00C45E4C">
      <w:pPr>
        <w:pStyle w:val="Heading3"/>
      </w:pPr>
      <w:bookmarkStart w:id="10" w:name="_The_ERG’s_assumptions"/>
      <w:bookmarkEnd w:id="10"/>
      <w:r>
        <w:t xml:space="preserve">The </w:t>
      </w:r>
      <w:r w:rsidR="00933253">
        <w:t xml:space="preserve">ERG’s assumptions on </w:t>
      </w:r>
      <w:r w:rsidR="002C43EA">
        <w:t xml:space="preserve">the way </w:t>
      </w:r>
      <w:r w:rsidR="00933253">
        <w:t xml:space="preserve">tocilizumab </w:t>
      </w:r>
      <w:r w:rsidR="002C43EA">
        <w:t>is</w:t>
      </w:r>
      <w:r w:rsidR="00431D6E">
        <w:t xml:space="preserve"> </w:t>
      </w:r>
      <w:r w:rsidR="00933253">
        <w:t>administ</w:t>
      </w:r>
      <w:r w:rsidR="002C43EA">
        <w:t>ered</w:t>
      </w:r>
      <w:r w:rsidR="00933253">
        <w:t xml:space="preserve"> are appropriate</w:t>
      </w:r>
    </w:p>
    <w:p w14:paraId="6FDEF9EF" w14:textId="114FCE0E" w:rsidR="00933253" w:rsidRPr="009354B5" w:rsidRDefault="00F94901" w:rsidP="003A2DC0">
      <w:pPr>
        <w:pStyle w:val="Numberedlevel2text"/>
      </w:pPr>
      <w:bookmarkStart w:id="11" w:name="_Ref57993716"/>
      <w:r w:rsidRPr="00F94901">
        <w:rPr>
          <w:lang w:val="en-GB"/>
        </w:rPr>
        <w:t xml:space="preserve">Tocilizumab </w:t>
      </w:r>
      <w:r w:rsidR="007F19C9">
        <w:rPr>
          <w:lang w:val="en-GB"/>
        </w:rPr>
        <w:t xml:space="preserve">can be </w:t>
      </w:r>
      <w:r w:rsidR="003B575B">
        <w:rPr>
          <w:lang w:val="en-GB"/>
        </w:rPr>
        <w:t>administered</w:t>
      </w:r>
      <w:r w:rsidR="003B575B" w:rsidRPr="00F94901">
        <w:rPr>
          <w:lang w:val="en-GB"/>
        </w:rPr>
        <w:t xml:space="preserve"> </w:t>
      </w:r>
      <w:r w:rsidRPr="00F94901">
        <w:rPr>
          <w:lang w:val="en-GB"/>
        </w:rPr>
        <w:t>intravenously or subcutaneously</w:t>
      </w:r>
      <w:r>
        <w:rPr>
          <w:lang w:val="en-GB"/>
        </w:rPr>
        <w:t>. The c</w:t>
      </w:r>
      <w:r w:rsidRPr="00F94901">
        <w:rPr>
          <w:lang w:val="en-GB"/>
        </w:rPr>
        <w:t xml:space="preserve">ompany </w:t>
      </w:r>
      <w:r>
        <w:rPr>
          <w:lang w:val="en-GB"/>
        </w:rPr>
        <w:t xml:space="preserve">model </w:t>
      </w:r>
      <w:r w:rsidR="0013321B">
        <w:rPr>
          <w:lang w:val="en-GB"/>
        </w:rPr>
        <w:t xml:space="preserve">assumed that 50% </w:t>
      </w:r>
      <w:r w:rsidR="00604773">
        <w:rPr>
          <w:lang w:val="en-GB"/>
        </w:rPr>
        <w:t xml:space="preserve">of people would </w:t>
      </w:r>
      <w:r w:rsidR="00C92352">
        <w:rPr>
          <w:lang w:val="en-GB"/>
        </w:rPr>
        <w:t xml:space="preserve">have </w:t>
      </w:r>
      <w:r w:rsidR="0013321B">
        <w:rPr>
          <w:lang w:val="en-GB"/>
        </w:rPr>
        <w:t xml:space="preserve">it by </w:t>
      </w:r>
      <w:r w:rsidR="00C92352">
        <w:rPr>
          <w:lang w:val="en-GB"/>
        </w:rPr>
        <w:t xml:space="preserve">intravenous </w:t>
      </w:r>
      <w:r w:rsidR="0039083E">
        <w:rPr>
          <w:lang w:val="en-GB"/>
        </w:rPr>
        <w:t>injection</w:t>
      </w:r>
      <w:r w:rsidR="0013321B">
        <w:rPr>
          <w:lang w:val="en-GB"/>
        </w:rPr>
        <w:t xml:space="preserve">, and 50% </w:t>
      </w:r>
      <w:r w:rsidR="0039083E">
        <w:rPr>
          <w:lang w:val="en-GB"/>
        </w:rPr>
        <w:t xml:space="preserve">by </w:t>
      </w:r>
      <w:r w:rsidR="00C92352">
        <w:rPr>
          <w:lang w:val="en-GB"/>
        </w:rPr>
        <w:t xml:space="preserve">subcutaneous </w:t>
      </w:r>
      <w:r w:rsidR="0039083E">
        <w:rPr>
          <w:lang w:val="en-GB"/>
        </w:rPr>
        <w:t>injection</w:t>
      </w:r>
      <w:r w:rsidR="0013321B">
        <w:rPr>
          <w:lang w:val="en-GB"/>
        </w:rPr>
        <w:t>.</w:t>
      </w:r>
      <w:r w:rsidR="00024E2F">
        <w:rPr>
          <w:lang w:val="en-GB"/>
        </w:rPr>
        <w:t xml:space="preserve"> The</w:t>
      </w:r>
      <w:r w:rsidR="0013321B">
        <w:rPr>
          <w:lang w:val="en-GB"/>
        </w:rPr>
        <w:t xml:space="preserve"> </w:t>
      </w:r>
      <w:r w:rsidR="00C92352">
        <w:rPr>
          <w:lang w:val="en-GB"/>
        </w:rPr>
        <w:t>ERG</w:t>
      </w:r>
      <w:r w:rsidR="00024E2F">
        <w:rPr>
          <w:lang w:val="en-GB"/>
        </w:rPr>
        <w:t>’s</w:t>
      </w:r>
      <w:r w:rsidR="00C92352">
        <w:rPr>
          <w:lang w:val="en-GB"/>
        </w:rPr>
        <w:t xml:space="preserve"> c</w:t>
      </w:r>
      <w:r w:rsidR="0013321B">
        <w:rPr>
          <w:lang w:val="en-GB"/>
        </w:rPr>
        <w:t>linical advi</w:t>
      </w:r>
      <w:r w:rsidR="00C92352">
        <w:rPr>
          <w:lang w:val="en-GB"/>
        </w:rPr>
        <w:t xml:space="preserve">sers </w:t>
      </w:r>
      <w:r w:rsidR="0013321B">
        <w:rPr>
          <w:lang w:val="en-GB"/>
        </w:rPr>
        <w:t xml:space="preserve">considered this </w:t>
      </w:r>
      <w:r w:rsidR="00024E2F">
        <w:rPr>
          <w:lang w:val="en-GB"/>
        </w:rPr>
        <w:t xml:space="preserve">to be </w:t>
      </w:r>
      <w:r w:rsidR="0013321B">
        <w:rPr>
          <w:lang w:val="en-GB"/>
        </w:rPr>
        <w:t>unlikely</w:t>
      </w:r>
      <w:r w:rsidR="00024E2F">
        <w:rPr>
          <w:lang w:val="en-GB"/>
        </w:rPr>
        <w:t xml:space="preserve"> and</w:t>
      </w:r>
      <w:r w:rsidR="0013321B">
        <w:rPr>
          <w:lang w:val="en-GB"/>
        </w:rPr>
        <w:t xml:space="preserve"> that</w:t>
      </w:r>
      <w:r w:rsidR="00C92352">
        <w:rPr>
          <w:lang w:val="en-GB"/>
        </w:rPr>
        <w:t>,</w:t>
      </w:r>
      <w:r w:rsidR="0013321B">
        <w:rPr>
          <w:lang w:val="en-GB"/>
        </w:rPr>
        <w:t xml:space="preserve"> for</w:t>
      </w:r>
      <w:r w:rsidR="0013321B" w:rsidRPr="0013321B">
        <w:rPr>
          <w:lang w:val="en-GB"/>
        </w:rPr>
        <w:t xml:space="preserve"> </w:t>
      </w:r>
      <w:r w:rsidR="00C92352">
        <w:rPr>
          <w:lang w:val="en-GB"/>
        </w:rPr>
        <w:t xml:space="preserve">systemic </w:t>
      </w:r>
      <w:r w:rsidR="0013321B" w:rsidRPr="0013321B">
        <w:rPr>
          <w:lang w:val="en-GB"/>
        </w:rPr>
        <w:t>JIA</w:t>
      </w:r>
      <w:r w:rsidR="00024E2F">
        <w:rPr>
          <w:lang w:val="en-GB"/>
        </w:rPr>
        <w:t>, about 20% of people</w:t>
      </w:r>
      <w:r w:rsidR="0013321B" w:rsidRPr="0013321B">
        <w:rPr>
          <w:lang w:val="en-GB"/>
        </w:rPr>
        <w:t xml:space="preserve"> </w:t>
      </w:r>
      <w:r w:rsidR="0013321B">
        <w:rPr>
          <w:lang w:val="en-GB"/>
        </w:rPr>
        <w:t xml:space="preserve">would </w:t>
      </w:r>
      <w:r w:rsidR="00C92352">
        <w:rPr>
          <w:lang w:val="en-GB"/>
        </w:rPr>
        <w:t>ha</w:t>
      </w:r>
      <w:r w:rsidR="00C92352" w:rsidRPr="0013321B">
        <w:rPr>
          <w:lang w:val="en-GB"/>
        </w:rPr>
        <w:t xml:space="preserve">ve </w:t>
      </w:r>
      <w:r w:rsidR="0013321B" w:rsidRPr="0013321B">
        <w:rPr>
          <w:lang w:val="en-GB"/>
        </w:rPr>
        <w:t xml:space="preserve">it </w:t>
      </w:r>
      <w:r w:rsidR="00C92352">
        <w:rPr>
          <w:lang w:val="en-GB"/>
        </w:rPr>
        <w:t>subcutaneous</w:t>
      </w:r>
      <w:r w:rsidR="00024E2F">
        <w:rPr>
          <w:lang w:val="en-GB"/>
        </w:rPr>
        <w:t>ly</w:t>
      </w:r>
      <w:r w:rsidR="0013321B" w:rsidRPr="0013321B">
        <w:rPr>
          <w:lang w:val="en-GB"/>
        </w:rPr>
        <w:t xml:space="preserve"> and </w:t>
      </w:r>
      <w:r w:rsidR="00024E2F">
        <w:rPr>
          <w:lang w:val="en-GB"/>
        </w:rPr>
        <w:t xml:space="preserve">about </w:t>
      </w:r>
      <w:r w:rsidR="0013321B" w:rsidRPr="0013321B">
        <w:rPr>
          <w:lang w:val="en-GB"/>
        </w:rPr>
        <w:t xml:space="preserve">80% </w:t>
      </w:r>
      <w:r w:rsidR="00C92352">
        <w:rPr>
          <w:lang w:val="en-GB"/>
        </w:rPr>
        <w:t>intravenous</w:t>
      </w:r>
      <w:r w:rsidR="00024E2F">
        <w:rPr>
          <w:lang w:val="en-GB"/>
        </w:rPr>
        <w:t>ly</w:t>
      </w:r>
      <w:r w:rsidR="0013321B">
        <w:rPr>
          <w:lang w:val="en-GB"/>
        </w:rPr>
        <w:t>. For AOSD</w:t>
      </w:r>
      <w:r w:rsidR="00C92352">
        <w:rPr>
          <w:lang w:val="en-GB"/>
        </w:rPr>
        <w:t>,</w:t>
      </w:r>
      <w:r w:rsidR="0013321B">
        <w:rPr>
          <w:lang w:val="en-GB"/>
        </w:rPr>
        <w:t xml:space="preserve"> </w:t>
      </w:r>
      <w:r w:rsidR="00D723A3">
        <w:rPr>
          <w:lang w:val="en-GB"/>
        </w:rPr>
        <w:t>clinical advice to the ERG was</w:t>
      </w:r>
      <w:r w:rsidR="0013321B">
        <w:t xml:space="preserve"> that everyone </w:t>
      </w:r>
      <w:r w:rsidR="00C92352">
        <w:rPr>
          <w:lang w:val="en-GB"/>
        </w:rPr>
        <w:lastRenderedPageBreak/>
        <w:t>having</w:t>
      </w:r>
      <w:r w:rsidR="00C92352">
        <w:t xml:space="preserve"> </w:t>
      </w:r>
      <w:r w:rsidR="0013321B">
        <w:t xml:space="preserve">tocilizumab would </w:t>
      </w:r>
      <w:r w:rsidR="00C92352">
        <w:rPr>
          <w:lang w:val="en-GB"/>
        </w:rPr>
        <w:t>have</w:t>
      </w:r>
      <w:r w:rsidR="00C92352">
        <w:t xml:space="preserve"> </w:t>
      </w:r>
      <w:r w:rsidR="0013321B">
        <w:t>it subcutaneously.</w:t>
      </w:r>
      <w:r w:rsidR="0013321B" w:rsidRPr="00F94901">
        <w:rPr>
          <w:lang w:val="en-GB"/>
        </w:rPr>
        <w:t xml:space="preserve"> </w:t>
      </w:r>
      <w:r w:rsidR="0013321B">
        <w:rPr>
          <w:lang w:val="en-GB"/>
        </w:rPr>
        <w:t xml:space="preserve">The clinical experts explained that there </w:t>
      </w:r>
      <w:r w:rsidR="00C92352">
        <w:rPr>
          <w:lang w:val="en-GB"/>
        </w:rPr>
        <w:t xml:space="preserve">are </w:t>
      </w:r>
      <w:r w:rsidR="0013321B">
        <w:rPr>
          <w:lang w:val="en-GB"/>
        </w:rPr>
        <w:t xml:space="preserve">no available data on the proportions, but that the ERG’s assumptions </w:t>
      </w:r>
      <w:r w:rsidR="000C7E39">
        <w:rPr>
          <w:lang w:val="en-GB"/>
        </w:rPr>
        <w:t>we</w:t>
      </w:r>
      <w:r w:rsidR="0013321B">
        <w:rPr>
          <w:lang w:val="en-GB"/>
        </w:rPr>
        <w:t>re broadly correct.</w:t>
      </w:r>
      <w:r w:rsidR="0077490D">
        <w:rPr>
          <w:lang w:val="en-GB"/>
        </w:rPr>
        <w:t xml:space="preserve"> The NHS England representative noted that </w:t>
      </w:r>
      <w:r w:rsidR="00C92352">
        <w:rPr>
          <w:lang w:val="en-GB"/>
        </w:rPr>
        <w:t xml:space="preserve">subcutaneous </w:t>
      </w:r>
      <w:r w:rsidR="00784BC0">
        <w:rPr>
          <w:lang w:val="en-GB"/>
        </w:rPr>
        <w:t>injection</w:t>
      </w:r>
      <w:r w:rsidR="007F19C9">
        <w:rPr>
          <w:lang w:val="en-GB"/>
        </w:rPr>
        <w:t>s</w:t>
      </w:r>
      <w:r w:rsidR="00784BC0">
        <w:rPr>
          <w:lang w:val="en-GB"/>
        </w:rPr>
        <w:t xml:space="preserve"> can be administered</w:t>
      </w:r>
      <w:r w:rsidR="0013321B">
        <w:rPr>
          <w:lang w:val="en-GB"/>
        </w:rPr>
        <w:t xml:space="preserve"> either at home or in a community setting</w:t>
      </w:r>
      <w:r w:rsidR="007F19C9">
        <w:rPr>
          <w:lang w:val="en-GB"/>
        </w:rPr>
        <w:t xml:space="preserve">, </w:t>
      </w:r>
      <w:r w:rsidR="002C43EA">
        <w:rPr>
          <w:lang w:val="en-GB"/>
        </w:rPr>
        <w:t>rather than in hospital</w:t>
      </w:r>
      <w:r w:rsidR="0013321B">
        <w:rPr>
          <w:lang w:val="en-GB"/>
        </w:rPr>
        <w:t>.</w:t>
      </w:r>
      <w:r w:rsidR="002C43EA">
        <w:rPr>
          <w:lang w:val="en-GB"/>
        </w:rPr>
        <w:t xml:space="preserve"> This can be preferable in certain situations, and p</w:t>
      </w:r>
      <w:r w:rsidR="0013321B">
        <w:rPr>
          <w:lang w:val="en-GB"/>
        </w:rPr>
        <w:t xml:space="preserve">atient choice is </w:t>
      </w:r>
      <w:r w:rsidR="002C43EA">
        <w:rPr>
          <w:lang w:val="en-GB"/>
        </w:rPr>
        <w:t>important</w:t>
      </w:r>
      <w:r w:rsidR="0048486B">
        <w:rPr>
          <w:lang w:val="en-GB"/>
        </w:rPr>
        <w:t>. P</w:t>
      </w:r>
      <w:r w:rsidR="0039083E">
        <w:rPr>
          <w:lang w:val="en-GB"/>
        </w:rPr>
        <w:t>eople are</w:t>
      </w:r>
      <w:r w:rsidR="0013321B">
        <w:rPr>
          <w:lang w:val="en-GB"/>
        </w:rPr>
        <w:t xml:space="preserve"> increasingly choos</w:t>
      </w:r>
      <w:r w:rsidR="0039083E">
        <w:rPr>
          <w:lang w:val="en-GB"/>
        </w:rPr>
        <w:t>ing</w:t>
      </w:r>
      <w:r w:rsidR="0013321B">
        <w:rPr>
          <w:lang w:val="en-GB"/>
        </w:rPr>
        <w:t xml:space="preserve"> to have tocilizumab by </w:t>
      </w:r>
      <w:r w:rsidR="00C92352">
        <w:rPr>
          <w:lang w:val="en-GB"/>
        </w:rPr>
        <w:t xml:space="preserve">subcutaneous </w:t>
      </w:r>
      <w:r w:rsidR="0013321B">
        <w:rPr>
          <w:lang w:val="en-GB"/>
        </w:rPr>
        <w:t xml:space="preserve">rather than </w:t>
      </w:r>
      <w:r w:rsidR="00C92352">
        <w:rPr>
          <w:lang w:val="en-GB"/>
        </w:rPr>
        <w:t xml:space="preserve">intravenous </w:t>
      </w:r>
      <w:r w:rsidR="0013321B">
        <w:rPr>
          <w:lang w:val="en-GB"/>
        </w:rPr>
        <w:t xml:space="preserve">injection. The committee concluded that the </w:t>
      </w:r>
      <w:r w:rsidR="0013321B" w:rsidRPr="0013321B">
        <w:rPr>
          <w:lang w:val="en-GB"/>
        </w:rPr>
        <w:t xml:space="preserve">ERG’s assumptions on </w:t>
      </w:r>
      <w:r w:rsidR="00C92352">
        <w:rPr>
          <w:lang w:val="en-GB"/>
        </w:rPr>
        <w:t xml:space="preserve">the way </w:t>
      </w:r>
      <w:r w:rsidR="0013321B" w:rsidRPr="0013321B">
        <w:rPr>
          <w:lang w:val="en-GB"/>
        </w:rPr>
        <w:t xml:space="preserve">tocilizumab </w:t>
      </w:r>
      <w:r w:rsidR="00C92352">
        <w:rPr>
          <w:lang w:val="en-GB"/>
        </w:rPr>
        <w:t>is</w:t>
      </w:r>
      <w:r w:rsidR="0013321B" w:rsidRPr="0013321B">
        <w:rPr>
          <w:lang w:val="en-GB"/>
        </w:rPr>
        <w:t xml:space="preserve"> administ</w:t>
      </w:r>
      <w:r w:rsidR="00C92352">
        <w:rPr>
          <w:lang w:val="en-GB"/>
        </w:rPr>
        <w:t>ered</w:t>
      </w:r>
      <w:r w:rsidR="0013321B" w:rsidRPr="0013321B">
        <w:rPr>
          <w:lang w:val="en-GB"/>
        </w:rPr>
        <w:t xml:space="preserve"> </w:t>
      </w:r>
      <w:r w:rsidR="00024E2F">
        <w:rPr>
          <w:lang w:val="en-GB"/>
        </w:rPr>
        <w:t>were</w:t>
      </w:r>
      <w:r w:rsidR="00024E2F" w:rsidRPr="0013321B">
        <w:rPr>
          <w:lang w:val="en-GB"/>
        </w:rPr>
        <w:t xml:space="preserve"> </w:t>
      </w:r>
      <w:r w:rsidR="0013321B" w:rsidRPr="0013321B">
        <w:rPr>
          <w:lang w:val="en-GB"/>
        </w:rPr>
        <w:t>appropriate</w:t>
      </w:r>
      <w:r w:rsidR="0013321B">
        <w:rPr>
          <w:lang w:val="en-GB"/>
        </w:rPr>
        <w:t>.</w:t>
      </w:r>
      <w:bookmarkEnd w:id="11"/>
    </w:p>
    <w:p w14:paraId="2CCDAA1B" w14:textId="5AAEE0E7" w:rsidR="00D45F4A" w:rsidRDefault="00D45F4A" w:rsidP="00D45F4A">
      <w:pPr>
        <w:pStyle w:val="Heading3"/>
      </w:pPr>
      <w:r>
        <w:t xml:space="preserve">The </w:t>
      </w:r>
      <w:r w:rsidR="00B97280">
        <w:t xml:space="preserve">company’s </w:t>
      </w:r>
      <w:r>
        <w:t>economic model is unsuitable for decision making</w:t>
      </w:r>
    </w:p>
    <w:p w14:paraId="342862B6" w14:textId="1C2798F8" w:rsidR="000C7E39" w:rsidRPr="002B1A6C" w:rsidRDefault="00652D8D" w:rsidP="000A04C5">
      <w:pPr>
        <w:pStyle w:val="Numberedlevel2text"/>
      </w:pPr>
      <w:bookmarkStart w:id="12" w:name="_Ref57907001"/>
      <w:r w:rsidRPr="00B95350">
        <w:t>The ERG</w:t>
      </w:r>
      <w:r w:rsidR="00221E68">
        <w:rPr>
          <w:lang w:val="en-GB"/>
        </w:rPr>
        <w:t xml:space="preserve"> explained</w:t>
      </w:r>
      <w:r w:rsidRPr="00B95350">
        <w:t xml:space="preserve"> that, </w:t>
      </w:r>
      <w:r w:rsidR="00221E68">
        <w:rPr>
          <w:lang w:val="en-GB"/>
        </w:rPr>
        <w:t>as well as</w:t>
      </w:r>
      <w:r w:rsidRPr="00B95350">
        <w:t xml:space="preserve"> the issues </w:t>
      </w:r>
      <w:r w:rsidR="00221E68">
        <w:rPr>
          <w:lang w:val="en-GB"/>
        </w:rPr>
        <w:t>about</w:t>
      </w:r>
      <w:r w:rsidRPr="00B95350">
        <w:t xml:space="preserve"> the highly uncertain evidence base that </w:t>
      </w:r>
      <w:r w:rsidR="00221E68" w:rsidRPr="00B95350">
        <w:t>inform</w:t>
      </w:r>
      <w:r w:rsidR="00221E68">
        <w:rPr>
          <w:lang w:val="en-GB"/>
        </w:rPr>
        <w:t>ed</w:t>
      </w:r>
      <w:r w:rsidR="00221E68" w:rsidRPr="00B95350">
        <w:t xml:space="preserve"> </w:t>
      </w:r>
      <w:r w:rsidRPr="00B95350">
        <w:t xml:space="preserve">it, there </w:t>
      </w:r>
      <w:r w:rsidR="007B1669">
        <w:rPr>
          <w:lang w:val="en-GB"/>
        </w:rPr>
        <w:t>were</w:t>
      </w:r>
      <w:r w:rsidR="007B1669" w:rsidRPr="00B95350">
        <w:t xml:space="preserve"> </w:t>
      </w:r>
      <w:r w:rsidRPr="00B95350">
        <w:t xml:space="preserve">structural flaws </w:t>
      </w:r>
      <w:r w:rsidR="007B1669">
        <w:rPr>
          <w:lang w:val="en-GB"/>
        </w:rPr>
        <w:t>in</w:t>
      </w:r>
      <w:r w:rsidR="007B1669" w:rsidRPr="00B95350">
        <w:t xml:space="preserve"> </w:t>
      </w:r>
      <w:r w:rsidRPr="00B95350">
        <w:t xml:space="preserve">the model </w:t>
      </w:r>
      <w:r w:rsidR="00221E68">
        <w:rPr>
          <w:lang w:val="en-GB"/>
        </w:rPr>
        <w:t>leading</w:t>
      </w:r>
      <w:r w:rsidRPr="00B95350">
        <w:t xml:space="preserve"> to implausible situations. </w:t>
      </w:r>
      <w:r w:rsidR="000C7E39">
        <w:rPr>
          <w:lang w:val="en-GB"/>
        </w:rPr>
        <w:t>These included:</w:t>
      </w:r>
    </w:p>
    <w:p w14:paraId="5D20651D" w14:textId="4B1C6A52" w:rsidR="00753D7D" w:rsidRDefault="00221E68" w:rsidP="000C7E39">
      <w:pPr>
        <w:pStyle w:val="Bulletindent1"/>
      </w:pPr>
      <w:r>
        <w:t>Treatment s</w:t>
      </w:r>
      <w:r w:rsidR="00B95350" w:rsidRPr="00B95350">
        <w:t>witching</w:t>
      </w:r>
      <w:r>
        <w:t xml:space="preserve"> in the model</w:t>
      </w:r>
      <w:r w:rsidR="00B95350" w:rsidRPr="00B95350">
        <w:t xml:space="preserve"> </w:t>
      </w:r>
      <w:r>
        <w:t>was</w:t>
      </w:r>
      <w:r w:rsidRPr="00B95350">
        <w:t xml:space="preserve"> </w:t>
      </w:r>
      <w:r w:rsidR="00B95350" w:rsidRPr="00B95350">
        <w:t xml:space="preserve">set at a fixed probability per weekly cycle for </w:t>
      </w:r>
      <w:r>
        <w:t>people</w:t>
      </w:r>
      <w:r w:rsidRPr="00B95350">
        <w:t xml:space="preserve"> </w:t>
      </w:r>
      <w:r w:rsidR="00B95350" w:rsidRPr="00B95350">
        <w:t>who</w:t>
      </w:r>
      <w:r>
        <w:t>se</w:t>
      </w:r>
      <w:r w:rsidR="00B95350" w:rsidRPr="00B95350">
        <w:t xml:space="preserve"> </w:t>
      </w:r>
      <w:r>
        <w:t>disease was not in</w:t>
      </w:r>
      <w:r w:rsidR="00B95350" w:rsidRPr="00B95350">
        <w:t xml:space="preserve"> remission</w:t>
      </w:r>
      <w:r w:rsidR="00A865AC">
        <w:t xml:space="preserve"> (see</w:t>
      </w:r>
      <w:r>
        <w:t xml:space="preserve"> </w:t>
      </w:r>
      <w:hyperlink w:anchor="_Treatment_discontinuation_rates" w:history="1">
        <w:r w:rsidR="001B2971">
          <w:rPr>
            <w:rStyle w:val="Hyperlink"/>
          </w:rPr>
          <w:t>section 3.7</w:t>
        </w:r>
      </w:hyperlink>
      <w:r w:rsidR="00A865AC">
        <w:t>)</w:t>
      </w:r>
      <w:r w:rsidR="00B95350" w:rsidRPr="00B95350">
        <w:t xml:space="preserve">. This </w:t>
      </w:r>
      <w:r>
        <w:t>made it</w:t>
      </w:r>
      <w:r w:rsidR="00B95350" w:rsidRPr="00B95350">
        <w:t xml:space="preserve"> possible for </w:t>
      </w:r>
      <w:r>
        <w:t>people</w:t>
      </w:r>
      <w:r w:rsidRPr="00B95350">
        <w:t xml:space="preserve"> </w:t>
      </w:r>
      <w:r w:rsidR="00B95350" w:rsidRPr="00B95350">
        <w:t xml:space="preserve">to remain on a treatment </w:t>
      </w:r>
      <w:r>
        <w:t>that led to</w:t>
      </w:r>
      <w:r w:rsidR="00B95350" w:rsidRPr="00B95350">
        <w:t xml:space="preserve"> remission for the whole of the model time horizon.</w:t>
      </w:r>
    </w:p>
    <w:p w14:paraId="56DD2883" w14:textId="56C805C3" w:rsidR="00753D7D" w:rsidRDefault="00B95350" w:rsidP="000C7E39">
      <w:pPr>
        <w:pStyle w:val="Bulletindent1"/>
      </w:pPr>
      <w:r w:rsidRPr="00B95350">
        <w:t xml:space="preserve">The model </w:t>
      </w:r>
      <w:r w:rsidR="00221E68" w:rsidRPr="00B95350">
        <w:t>allow</w:t>
      </w:r>
      <w:r w:rsidR="00221E68">
        <w:t>ed</w:t>
      </w:r>
      <w:r w:rsidR="00221E68" w:rsidRPr="00B95350">
        <w:t xml:space="preserve"> </w:t>
      </w:r>
      <w:r w:rsidR="00221E68">
        <w:t>people</w:t>
      </w:r>
      <w:r w:rsidR="00221E68" w:rsidRPr="00B95350">
        <w:t xml:space="preserve"> </w:t>
      </w:r>
      <w:r w:rsidRPr="00B95350">
        <w:t xml:space="preserve">to start a treatment, </w:t>
      </w:r>
      <w:r w:rsidR="00221E68">
        <w:t>for their condition to go into</w:t>
      </w:r>
      <w:r w:rsidRPr="00B95350">
        <w:t xml:space="preserve"> remission</w:t>
      </w:r>
      <w:r w:rsidR="00221E68">
        <w:t xml:space="preserve"> and</w:t>
      </w:r>
      <w:r w:rsidRPr="00B95350">
        <w:t xml:space="preserve"> relapse</w:t>
      </w:r>
      <w:r w:rsidR="00221E68">
        <w:t>,</w:t>
      </w:r>
      <w:r w:rsidRPr="00B95350">
        <w:t xml:space="preserve"> and </w:t>
      </w:r>
      <w:r w:rsidR="00221E68">
        <w:t xml:space="preserve">then for them </w:t>
      </w:r>
      <w:r w:rsidRPr="00B95350">
        <w:t xml:space="preserve">return to the same treatment before </w:t>
      </w:r>
      <w:r w:rsidR="00221E68">
        <w:t>their condition went into</w:t>
      </w:r>
      <w:r w:rsidR="00221E68" w:rsidRPr="00B95350">
        <w:t xml:space="preserve"> </w:t>
      </w:r>
      <w:r w:rsidRPr="00B95350">
        <w:t xml:space="preserve">remission </w:t>
      </w:r>
      <w:r w:rsidR="00221E68" w:rsidRPr="00B95350">
        <w:t>again</w:t>
      </w:r>
      <w:r w:rsidR="00221E68">
        <w:t xml:space="preserve">. This was </w:t>
      </w:r>
      <w:r w:rsidRPr="00B95350">
        <w:t>a perpetual loop for the whole model time horizon.</w:t>
      </w:r>
      <w:r w:rsidR="001D715E" w:rsidRPr="001D715E">
        <w:t xml:space="preserve"> </w:t>
      </w:r>
      <w:r w:rsidR="001D715E">
        <w:t>In addition, t</w:t>
      </w:r>
      <w:r w:rsidR="001D715E" w:rsidRPr="00B95350">
        <w:t>he patient pathway loop</w:t>
      </w:r>
      <w:r w:rsidR="001D715E">
        <w:t>s</w:t>
      </w:r>
      <w:r w:rsidR="001D715E" w:rsidRPr="00B95350">
        <w:t xml:space="preserve"> </w:t>
      </w:r>
      <w:r w:rsidR="00134432">
        <w:t xml:space="preserve">in the model </w:t>
      </w:r>
      <w:r w:rsidR="001D715E" w:rsidRPr="00B95350">
        <w:t>mean</w:t>
      </w:r>
      <w:r w:rsidR="001D715E">
        <w:t>t</w:t>
      </w:r>
      <w:r w:rsidR="001D715E" w:rsidRPr="00B95350">
        <w:t xml:space="preserve"> that, over time, </w:t>
      </w:r>
      <w:r w:rsidR="001D715E">
        <w:t>people</w:t>
      </w:r>
      <w:r w:rsidR="001D715E" w:rsidRPr="00B95350">
        <w:t xml:space="preserve"> in specific health states </w:t>
      </w:r>
      <w:r w:rsidR="001D715E">
        <w:t>became</w:t>
      </w:r>
      <w:r w:rsidR="001D715E" w:rsidRPr="00B95350">
        <w:t xml:space="preserve"> increasingly heterogeneous</w:t>
      </w:r>
      <w:r w:rsidR="003B575B">
        <w:t>. T</w:t>
      </w:r>
      <w:r w:rsidR="001D715E" w:rsidRPr="00B95350">
        <w:t>he extent to which health state transition probabilities reflect</w:t>
      </w:r>
      <w:r w:rsidR="001D715E">
        <w:t>ed</w:t>
      </w:r>
      <w:r w:rsidR="001D715E" w:rsidRPr="00B95350">
        <w:t xml:space="preserve"> the transition probabilities for the health state population decrease</w:t>
      </w:r>
      <w:r w:rsidR="001D715E">
        <w:t>d</w:t>
      </w:r>
      <w:r w:rsidR="001D715E" w:rsidRPr="00B95350">
        <w:t xml:space="preserve"> over time.</w:t>
      </w:r>
    </w:p>
    <w:p w14:paraId="777A82DB" w14:textId="77777777" w:rsidR="00541C7D" w:rsidRDefault="00753D7D" w:rsidP="00541C7D">
      <w:pPr>
        <w:pStyle w:val="Bulletindent1last"/>
      </w:pPr>
      <w:r w:rsidRPr="00804939">
        <w:t>I</w:t>
      </w:r>
      <w:r w:rsidR="00B95350" w:rsidRPr="00804939">
        <w:t xml:space="preserve">t </w:t>
      </w:r>
      <w:r w:rsidR="00221E68" w:rsidRPr="00804939">
        <w:t xml:space="preserve">was </w:t>
      </w:r>
      <w:r w:rsidR="00B95350" w:rsidRPr="00804939">
        <w:t xml:space="preserve">assumed that 50% of </w:t>
      </w:r>
      <w:r w:rsidR="00221E68" w:rsidRPr="00804939">
        <w:t>people</w:t>
      </w:r>
      <w:r w:rsidR="00B95350" w:rsidRPr="00804939">
        <w:t xml:space="preserve"> prescribed a </w:t>
      </w:r>
      <w:r w:rsidR="00091081" w:rsidRPr="00804939">
        <w:t>biologic</w:t>
      </w:r>
      <w:r w:rsidR="00221E68" w:rsidRPr="00804939">
        <w:t>al</w:t>
      </w:r>
      <w:r w:rsidR="007945AD" w:rsidRPr="00804939">
        <w:t xml:space="preserve"> </w:t>
      </w:r>
      <w:r w:rsidR="00B95350" w:rsidRPr="00804939">
        <w:t>DMARD</w:t>
      </w:r>
      <w:r w:rsidR="000C7E39" w:rsidRPr="00804939">
        <w:t xml:space="preserve"> would</w:t>
      </w:r>
      <w:r w:rsidR="00B95350" w:rsidRPr="00804939">
        <w:t xml:space="preserve"> remain on that treatment during remission. However, when these </w:t>
      </w:r>
      <w:r w:rsidR="00E675E1" w:rsidRPr="00804939">
        <w:t xml:space="preserve">people’s condition </w:t>
      </w:r>
      <w:r w:rsidR="00B95350" w:rsidRPr="00804939">
        <w:t>relapse</w:t>
      </w:r>
      <w:r w:rsidR="00E675E1" w:rsidRPr="00804939">
        <w:t>d</w:t>
      </w:r>
      <w:r w:rsidR="00B95350" w:rsidRPr="00804939">
        <w:t xml:space="preserve">, it </w:t>
      </w:r>
      <w:r w:rsidR="00E675E1" w:rsidRPr="00804939">
        <w:t xml:space="preserve">was </w:t>
      </w:r>
      <w:r w:rsidR="00B95350" w:rsidRPr="00804939">
        <w:t xml:space="preserve">assumed that they </w:t>
      </w:r>
      <w:r w:rsidR="00E675E1" w:rsidRPr="00804939">
        <w:t xml:space="preserve">would </w:t>
      </w:r>
      <w:r w:rsidR="00B95350" w:rsidRPr="00804939">
        <w:t xml:space="preserve">return to treatment with the same </w:t>
      </w:r>
      <w:r w:rsidR="00091081" w:rsidRPr="00804939">
        <w:t>biologic</w:t>
      </w:r>
      <w:r w:rsidRPr="00804939">
        <w:t>al</w:t>
      </w:r>
      <w:r w:rsidR="007945AD" w:rsidRPr="00804939">
        <w:t xml:space="preserve"> </w:t>
      </w:r>
      <w:r w:rsidR="00B95350" w:rsidRPr="00804939">
        <w:t xml:space="preserve">DMARD that they were taking </w:t>
      </w:r>
      <w:r w:rsidR="00E675E1" w:rsidRPr="00804939">
        <w:t>before</w:t>
      </w:r>
      <w:r w:rsidR="00B95350" w:rsidRPr="00804939">
        <w:t xml:space="preserve"> relapse</w:t>
      </w:r>
      <w:r w:rsidR="000C7E39" w:rsidRPr="00804939">
        <w:t>.</w:t>
      </w:r>
      <w:r w:rsidR="003A0093" w:rsidRPr="00804939">
        <w:t xml:space="preserve"> </w:t>
      </w:r>
      <w:r w:rsidR="000C7E39" w:rsidRPr="00804939">
        <w:t>It was assumed</w:t>
      </w:r>
      <w:r w:rsidR="00B95350" w:rsidRPr="00804939">
        <w:t xml:space="preserve"> that </w:t>
      </w:r>
      <w:r w:rsidRPr="00804939">
        <w:t xml:space="preserve">people </w:t>
      </w:r>
      <w:r w:rsidR="00E675E1" w:rsidRPr="00804939">
        <w:t xml:space="preserve">would </w:t>
      </w:r>
      <w:r w:rsidR="00B95350" w:rsidRPr="00804939">
        <w:t xml:space="preserve">have the same probability of remission as they had </w:t>
      </w:r>
      <w:r w:rsidR="00024E2F" w:rsidRPr="00804939">
        <w:t>before</w:t>
      </w:r>
      <w:r w:rsidR="00B95350" w:rsidRPr="00804939">
        <w:t xml:space="preserve"> the relapse.</w:t>
      </w:r>
    </w:p>
    <w:p w14:paraId="0332C59A" w14:textId="0ECCE5B1" w:rsidR="006E03CB" w:rsidRDefault="00B95350" w:rsidP="00541C7D">
      <w:pPr>
        <w:pStyle w:val="Numberedlevel2text"/>
        <w:numPr>
          <w:ilvl w:val="0"/>
          <w:numId w:val="0"/>
        </w:numPr>
        <w:ind w:left="1134"/>
      </w:pPr>
      <w:r>
        <w:lastRenderedPageBreak/>
        <w:t>The ERG</w:t>
      </w:r>
      <w:r w:rsidR="00E675E1">
        <w:t xml:space="preserve"> explained</w:t>
      </w:r>
      <w:r>
        <w:t xml:space="preserve"> that, based on clinical advice, </w:t>
      </w:r>
      <w:r w:rsidR="00024E2F">
        <w:t xml:space="preserve">it </w:t>
      </w:r>
      <w:r>
        <w:t>consider</w:t>
      </w:r>
      <w:r w:rsidR="00541C7D">
        <w:rPr>
          <w:lang w:val="en-GB"/>
        </w:rPr>
        <w:t>ed</w:t>
      </w:r>
      <w:r>
        <w:t xml:space="preserve"> these situations to be clinically implausible. </w:t>
      </w:r>
      <w:r w:rsidR="00BC6A4E">
        <w:t>The committee</w:t>
      </w:r>
      <w:r w:rsidR="00546D78">
        <w:t xml:space="preserve"> also</w:t>
      </w:r>
      <w:r w:rsidR="00BC6A4E">
        <w:t xml:space="preserve"> </w:t>
      </w:r>
      <w:r w:rsidR="00CA44C2">
        <w:t xml:space="preserve">questioned the validity of the model </w:t>
      </w:r>
      <w:r w:rsidR="00BC6A4E">
        <w:t>results</w:t>
      </w:r>
      <w:r w:rsidR="00E675E1">
        <w:t>. These</w:t>
      </w:r>
      <w:r w:rsidR="00CA44C2">
        <w:t xml:space="preserve"> showed a </w:t>
      </w:r>
      <w:r w:rsidR="00977948">
        <w:t xml:space="preserve">cost </w:t>
      </w:r>
      <w:r w:rsidR="00CA44C2">
        <w:t xml:space="preserve">saving of </w:t>
      </w:r>
      <w:r w:rsidR="00E675E1">
        <w:t xml:space="preserve">about </w:t>
      </w:r>
      <w:r w:rsidR="00CA44C2">
        <w:t>£</w:t>
      </w:r>
      <w:r w:rsidR="00977948">
        <w:t>25,000</w:t>
      </w:r>
      <w:r w:rsidR="00CA44C2">
        <w:t xml:space="preserve"> over the model time horizon </w:t>
      </w:r>
      <w:r w:rsidR="000C7E39">
        <w:t>when</w:t>
      </w:r>
      <w:r w:rsidR="00C92352">
        <w:t xml:space="preserve"> </w:t>
      </w:r>
      <w:r w:rsidR="00CA44C2">
        <w:t>anakinra</w:t>
      </w:r>
      <w:r w:rsidR="0083433D">
        <w:t xml:space="preserve"> </w:t>
      </w:r>
      <w:r w:rsidR="000C7E39">
        <w:t xml:space="preserve">was used </w:t>
      </w:r>
      <w:r w:rsidR="00E675E1">
        <w:t xml:space="preserve">about </w:t>
      </w:r>
      <w:r w:rsidR="0083433D">
        <w:t>6</w:t>
      </w:r>
      <w:r w:rsidR="00E675E1">
        <w:t> </w:t>
      </w:r>
      <w:r w:rsidR="0083433D">
        <w:t xml:space="preserve">months </w:t>
      </w:r>
      <w:r w:rsidR="00546D78">
        <w:t>earlier in the treatment pathway compared with</w:t>
      </w:r>
      <w:r w:rsidR="00CA44C2">
        <w:t xml:space="preserve"> after </w:t>
      </w:r>
      <w:r w:rsidR="000C1D7B">
        <w:t>conventional DMARD</w:t>
      </w:r>
      <w:r w:rsidR="00CA44C2">
        <w:t>s</w:t>
      </w:r>
      <w:r>
        <w:t>.</w:t>
      </w:r>
      <w:r w:rsidR="006E03CB">
        <w:t xml:space="preserve"> </w:t>
      </w:r>
      <w:r w:rsidR="0083433D">
        <w:t xml:space="preserve">This cost saving could not be </w:t>
      </w:r>
      <w:r w:rsidR="00CD163E">
        <w:t xml:space="preserve">fully </w:t>
      </w:r>
      <w:r w:rsidR="0083433D">
        <w:t xml:space="preserve">explained by the clinical experts. </w:t>
      </w:r>
      <w:r w:rsidR="006E03CB">
        <w:t xml:space="preserve">The committee </w:t>
      </w:r>
      <w:r w:rsidR="0080386D">
        <w:t>acknowledged the structural flaws in the model and the lack of validity in the model results</w:t>
      </w:r>
      <w:r w:rsidR="00E675E1">
        <w:t>. It</w:t>
      </w:r>
      <w:r w:rsidR="0080386D">
        <w:t xml:space="preserve"> </w:t>
      </w:r>
      <w:r w:rsidR="006E03CB">
        <w:t>concluded that the company’s economic model was not suitable for decision making.</w:t>
      </w:r>
      <w:bookmarkEnd w:id="12"/>
    </w:p>
    <w:p w14:paraId="557A321B" w14:textId="43A3D765" w:rsidR="006E03CB" w:rsidRDefault="006E03CB" w:rsidP="006E03CB">
      <w:pPr>
        <w:pStyle w:val="Heading2"/>
      </w:pPr>
      <w:r>
        <w:t>Cost</w:t>
      </w:r>
      <w:r w:rsidR="00E675E1">
        <w:t>-</w:t>
      </w:r>
      <w:r>
        <w:t>minimisation analysis</w:t>
      </w:r>
    </w:p>
    <w:p w14:paraId="544F0F62" w14:textId="50CE327D" w:rsidR="006E03CB" w:rsidRDefault="006E03CB" w:rsidP="006E03CB">
      <w:pPr>
        <w:pStyle w:val="Heading3"/>
      </w:pPr>
      <w:r>
        <w:t>A cost</w:t>
      </w:r>
      <w:r w:rsidR="00E675E1">
        <w:t>-</w:t>
      </w:r>
      <w:r>
        <w:t xml:space="preserve">minimisation analysis is </w:t>
      </w:r>
      <w:r w:rsidR="004C5CD2">
        <w:t xml:space="preserve">sufficient </w:t>
      </w:r>
      <w:r>
        <w:t>for decision making</w:t>
      </w:r>
    </w:p>
    <w:p w14:paraId="5F4F2771" w14:textId="11AA59E0" w:rsidR="00F4060D" w:rsidRPr="00E97666" w:rsidRDefault="00E675E1" w:rsidP="00A63C83">
      <w:pPr>
        <w:pStyle w:val="Numberedlevel2text"/>
      </w:pPr>
      <w:r>
        <w:rPr>
          <w:lang w:val="en-GB"/>
        </w:rPr>
        <w:t>Because of</w:t>
      </w:r>
      <w:r w:rsidR="006E03CB" w:rsidRPr="00E97666">
        <w:rPr>
          <w:lang w:val="en-GB"/>
        </w:rPr>
        <w:t xml:space="preserve"> its concerns over the lack of clinical evidence and structural flaws in the model</w:t>
      </w:r>
      <w:r>
        <w:rPr>
          <w:lang w:val="en-GB"/>
        </w:rPr>
        <w:t>,</w:t>
      </w:r>
      <w:r w:rsidR="006E03CB" w:rsidRPr="00E97666">
        <w:rPr>
          <w:lang w:val="en-GB"/>
        </w:rPr>
        <w:t xml:space="preserve"> the ERG provided a cost</w:t>
      </w:r>
      <w:r>
        <w:rPr>
          <w:lang w:val="en-GB"/>
        </w:rPr>
        <w:t>-</w:t>
      </w:r>
      <w:r w:rsidR="006E03CB" w:rsidRPr="00E97666">
        <w:rPr>
          <w:lang w:val="en-GB"/>
        </w:rPr>
        <w:t xml:space="preserve">minimisation analysis. </w:t>
      </w:r>
      <w:r>
        <w:rPr>
          <w:lang w:val="en-GB"/>
        </w:rPr>
        <w:t>It based this</w:t>
      </w:r>
      <w:r w:rsidR="007C41AF" w:rsidRPr="00E97666">
        <w:rPr>
          <w:lang w:val="en-GB"/>
        </w:rPr>
        <w:t xml:space="preserve"> analysis on the assumption of equal efficacy between anakinra and tocilizumab</w:t>
      </w:r>
      <w:r w:rsidR="00A94D43" w:rsidRPr="00E97666">
        <w:rPr>
          <w:lang w:val="en-GB"/>
        </w:rPr>
        <w:t xml:space="preserve"> in treating AOSD and </w:t>
      </w:r>
      <w:r w:rsidR="00C92352">
        <w:rPr>
          <w:lang w:val="en-GB"/>
        </w:rPr>
        <w:t xml:space="preserve">systemic </w:t>
      </w:r>
      <w:r w:rsidR="00E97666" w:rsidRPr="00E97666">
        <w:rPr>
          <w:lang w:val="en-GB"/>
        </w:rPr>
        <w:t>J</w:t>
      </w:r>
      <w:r w:rsidR="00A94D43" w:rsidRPr="00E97666">
        <w:rPr>
          <w:lang w:val="en-GB"/>
        </w:rPr>
        <w:t>IA</w:t>
      </w:r>
      <w:r w:rsidR="007C41AF" w:rsidRPr="00E97666">
        <w:rPr>
          <w:lang w:val="en-GB"/>
        </w:rPr>
        <w:t>. The committee w</w:t>
      </w:r>
      <w:r w:rsidR="00DE629C">
        <w:rPr>
          <w:lang w:val="en-GB"/>
        </w:rPr>
        <w:t>as</w:t>
      </w:r>
      <w:r w:rsidR="007C41AF" w:rsidRPr="00E97666">
        <w:rPr>
          <w:lang w:val="en-GB"/>
        </w:rPr>
        <w:t xml:space="preserve"> </w:t>
      </w:r>
      <w:r w:rsidR="004C5CD2">
        <w:rPr>
          <w:lang w:val="en-GB"/>
        </w:rPr>
        <w:t>considered</w:t>
      </w:r>
      <w:r w:rsidR="004C5CD2" w:rsidRPr="00E97666">
        <w:rPr>
          <w:lang w:val="en-GB"/>
        </w:rPr>
        <w:t xml:space="preserve"> </w:t>
      </w:r>
      <w:r w:rsidR="007C41AF" w:rsidRPr="00E97666">
        <w:rPr>
          <w:lang w:val="en-GB"/>
        </w:rPr>
        <w:t xml:space="preserve">that this was </w:t>
      </w:r>
      <w:r w:rsidR="004C5CD2">
        <w:rPr>
          <w:lang w:val="en-GB"/>
        </w:rPr>
        <w:t>reasonable</w:t>
      </w:r>
      <w:r w:rsidR="004C5CD2" w:rsidRPr="00E97666">
        <w:rPr>
          <w:lang w:val="en-GB"/>
        </w:rPr>
        <w:t xml:space="preserve"> </w:t>
      </w:r>
      <w:r w:rsidR="007C41AF" w:rsidRPr="00E97666">
        <w:rPr>
          <w:lang w:val="en-GB"/>
        </w:rPr>
        <w:t>based on the clinical experts' opinion</w:t>
      </w:r>
      <w:r>
        <w:rPr>
          <w:lang w:val="en-GB"/>
        </w:rPr>
        <w:t>s</w:t>
      </w:r>
      <w:r w:rsidR="00DE629C">
        <w:rPr>
          <w:lang w:val="en-GB"/>
        </w:rPr>
        <w:t>,</w:t>
      </w:r>
      <w:r w:rsidR="007C41AF" w:rsidRPr="00E97666">
        <w:rPr>
          <w:lang w:val="en-GB"/>
        </w:rPr>
        <w:t xml:space="preserve"> and because there was no evidence of a difference in treatment effect (</w:t>
      </w:r>
      <w:r>
        <w:rPr>
          <w:lang w:val="en-GB"/>
        </w:rPr>
        <w:t xml:space="preserve">see </w:t>
      </w:r>
      <w:hyperlink w:anchor="_It_is_reasonable" w:history="1">
        <w:r w:rsidR="001B2971">
          <w:rPr>
            <w:rStyle w:val="Hyperlink"/>
            <w:lang w:val="en-GB"/>
          </w:rPr>
          <w:t>section 3.5</w:t>
        </w:r>
      </w:hyperlink>
      <w:r w:rsidR="007C41AF" w:rsidRPr="00E97666">
        <w:rPr>
          <w:lang w:val="en-GB"/>
        </w:rPr>
        <w:t>)</w:t>
      </w:r>
      <w:r w:rsidR="00020144" w:rsidRPr="00E97666">
        <w:rPr>
          <w:lang w:val="en-GB"/>
        </w:rPr>
        <w:t xml:space="preserve">. The committee concluded that </w:t>
      </w:r>
      <w:r w:rsidR="00933CE5" w:rsidRPr="00E97666">
        <w:rPr>
          <w:lang w:val="en-GB"/>
        </w:rPr>
        <w:t xml:space="preserve">a cost-minimisation analysis was </w:t>
      </w:r>
      <w:r w:rsidR="004C5CD2">
        <w:rPr>
          <w:lang w:val="en-GB"/>
        </w:rPr>
        <w:t>sufficient</w:t>
      </w:r>
      <w:r w:rsidR="004C5CD2" w:rsidRPr="00E97666">
        <w:rPr>
          <w:lang w:val="en-GB"/>
        </w:rPr>
        <w:t xml:space="preserve"> </w:t>
      </w:r>
      <w:r w:rsidR="00933CE5" w:rsidRPr="00E97666">
        <w:rPr>
          <w:lang w:val="en-GB"/>
        </w:rPr>
        <w:t>for decision making.</w:t>
      </w:r>
    </w:p>
    <w:p w14:paraId="18925633" w14:textId="6985EADF" w:rsidR="00A62724" w:rsidRDefault="00A62724" w:rsidP="00F64D46">
      <w:pPr>
        <w:pStyle w:val="Heading2"/>
      </w:pPr>
      <w:r>
        <w:t>Cost</w:t>
      </w:r>
      <w:r w:rsidR="00E675E1">
        <w:t>-</w:t>
      </w:r>
      <w:r w:rsidR="00CE038A">
        <w:t xml:space="preserve">minimisation </w:t>
      </w:r>
      <w:r>
        <w:t>results</w:t>
      </w:r>
    </w:p>
    <w:p w14:paraId="73955F7F" w14:textId="51905A55" w:rsidR="00A62724" w:rsidRDefault="00A62724" w:rsidP="00A62724">
      <w:pPr>
        <w:pStyle w:val="Heading3"/>
      </w:pPr>
      <w:r>
        <w:t xml:space="preserve">Anakinra </w:t>
      </w:r>
      <w:r w:rsidR="00C9640B">
        <w:t>has a similar weekly cost</w:t>
      </w:r>
      <w:r w:rsidR="002A7F79">
        <w:t xml:space="preserve"> compared with tocilizumab</w:t>
      </w:r>
    </w:p>
    <w:p w14:paraId="703B0D28" w14:textId="3C066C80" w:rsidR="00C76F14" w:rsidRPr="00E97666" w:rsidRDefault="00A01BEC" w:rsidP="00761D27">
      <w:pPr>
        <w:pStyle w:val="Numberedlevel2text"/>
      </w:pPr>
      <w:r>
        <w:rPr>
          <w:lang w:val="en-GB"/>
        </w:rPr>
        <w:t xml:space="preserve">The </w:t>
      </w:r>
      <w:r w:rsidR="00EF68D6">
        <w:rPr>
          <w:lang w:val="en-GB"/>
        </w:rPr>
        <w:t xml:space="preserve">ERG’s cost-minimisation </w:t>
      </w:r>
      <w:r>
        <w:rPr>
          <w:lang w:val="en-GB"/>
        </w:rPr>
        <w:t>analysis consider</w:t>
      </w:r>
      <w:r w:rsidR="00EF68D6">
        <w:rPr>
          <w:lang w:val="en-GB"/>
        </w:rPr>
        <w:t>ed</w:t>
      </w:r>
      <w:r>
        <w:rPr>
          <w:lang w:val="en-GB"/>
        </w:rPr>
        <w:t xml:space="preserve"> the</w:t>
      </w:r>
      <w:r w:rsidRPr="00A01BEC">
        <w:t xml:space="preserve"> third-line treatment setting</w:t>
      </w:r>
      <w:r w:rsidR="00D35F7E">
        <w:rPr>
          <w:lang w:val="en-GB"/>
        </w:rPr>
        <w:t xml:space="preserve"> for anakinra</w:t>
      </w:r>
      <w:r w:rsidRPr="00A01BEC">
        <w:t xml:space="preserve"> (</w:t>
      </w:r>
      <w:r>
        <w:rPr>
          <w:lang w:val="en-GB"/>
        </w:rPr>
        <w:t xml:space="preserve">that </w:t>
      </w:r>
      <w:r w:rsidR="00A817FD">
        <w:rPr>
          <w:lang w:val="en-GB"/>
        </w:rPr>
        <w:t>is after conventional DMARDs</w:t>
      </w:r>
      <w:r w:rsidR="00761D27">
        <w:rPr>
          <w:lang w:val="en-GB"/>
        </w:rPr>
        <w:t>)</w:t>
      </w:r>
      <w:r w:rsidR="00D35F7E">
        <w:rPr>
          <w:lang w:val="en-GB"/>
        </w:rPr>
        <w:t xml:space="preserve"> in both </w:t>
      </w:r>
      <w:r w:rsidR="00C92352">
        <w:rPr>
          <w:lang w:val="en-GB"/>
        </w:rPr>
        <w:t xml:space="preserve">systemic </w:t>
      </w:r>
      <w:r w:rsidR="00D35F7E">
        <w:rPr>
          <w:lang w:val="en-GB"/>
        </w:rPr>
        <w:t>JIA and AOSD. The analysis</w:t>
      </w:r>
      <w:r w:rsidR="00C76F14">
        <w:rPr>
          <w:lang w:val="en-GB"/>
        </w:rPr>
        <w:t xml:space="preserve"> assumed that anakinra and tocilizumab had:</w:t>
      </w:r>
    </w:p>
    <w:p w14:paraId="011BA159" w14:textId="27972798" w:rsidR="00C76F14" w:rsidRDefault="00C76F14" w:rsidP="00C76F14">
      <w:pPr>
        <w:pStyle w:val="Bulletindent1"/>
      </w:pPr>
      <w:r>
        <w:t>equal efficacy</w:t>
      </w:r>
    </w:p>
    <w:p w14:paraId="63412EF2" w14:textId="52E7D956" w:rsidR="00C76F14" w:rsidRDefault="00DE629C" w:rsidP="00C76F14">
      <w:pPr>
        <w:pStyle w:val="Bulletindent1"/>
      </w:pPr>
      <w:r>
        <w:t>t</w:t>
      </w:r>
      <w:r w:rsidR="00E675E1">
        <w:t xml:space="preserve">he </w:t>
      </w:r>
      <w:r w:rsidR="00C76F14">
        <w:t>same side effect profiles</w:t>
      </w:r>
    </w:p>
    <w:p w14:paraId="20E7CBE0" w14:textId="7ECA9E01" w:rsidR="00A62724" w:rsidRPr="00A62724" w:rsidRDefault="00E675E1" w:rsidP="001D715E">
      <w:pPr>
        <w:pStyle w:val="Bulletindent1last"/>
      </w:pPr>
      <w:r w:rsidRPr="00DE629C">
        <w:t xml:space="preserve">the </w:t>
      </w:r>
      <w:r w:rsidR="00C76F14" w:rsidRPr="00DE629C">
        <w:t>same treatment discontinuation rates</w:t>
      </w:r>
      <w:r w:rsidRPr="00940BE3">
        <w:t>.</w:t>
      </w:r>
      <w:r w:rsidRPr="00940BE3">
        <w:br/>
      </w:r>
      <w:r>
        <w:br/>
      </w:r>
      <w:r w:rsidR="00DE629C">
        <w:t xml:space="preserve">The analysis </w:t>
      </w:r>
      <w:r w:rsidR="00761D27">
        <w:t>i</w:t>
      </w:r>
      <w:r w:rsidR="00A01BEC" w:rsidRPr="00A01BEC">
        <w:t>nclude</w:t>
      </w:r>
      <w:r w:rsidR="00D35F7E">
        <w:t>d</w:t>
      </w:r>
      <w:r w:rsidR="00A01BEC" w:rsidRPr="00A01BEC">
        <w:t xml:space="preserve"> </w:t>
      </w:r>
      <w:r w:rsidR="00761D27">
        <w:t>the</w:t>
      </w:r>
      <w:r w:rsidR="00A01BEC" w:rsidRPr="00A01BEC">
        <w:t xml:space="preserve"> </w:t>
      </w:r>
      <w:r w:rsidR="00194635">
        <w:t xml:space="preserve">costs of </w:t>
      </w:r>
      <w:r w:rsidR="00A817FD">
        <w:t xml:space="preserve">the different </w:t>
      </w:r>
      <w:r w:rsidR="00194635">
        <w:t xml:space="preserve">methods of </w:t>
      </w:r>
      <w:r w:rsidR="00A817FD">
        <w:lastRenderedPageBreak/>
        <w:t>administration</w:t>
      </w:r>
      <w:r w:rsidR="00A01BEC" w:rsidRPr="00A01BEC">
        <w:t xml:space="preserve"> (</w:t>
      </w:r>
      <w:r w:rsidR="00194635">
        <w:t xml:space="preserve">see </w:t>
      </w:r>
      <w:hyperlink w:anchor="_The_ERG’s_assumptions" w:history="1">
        <w:r w:rsidR="001B2971">
          <w:rPr>
            <w:rStyle w:val="Hyperlink"/>
          </w:rPr>
          <w:t>section 3.9</w:t>
        </w:r>
      </w:hyperlink>
      <w:r>
        <w:t xml:space="preserve">) </w:t>
      </w:r>
      <w:r w:rsidR="00A01BEC" w:rsidRPr="00A01BEC">
        <w:t>and monitoring costs</w:t>
      </w:r>
      <w:r w:rsidR="00194635">
        <w:t xml:space="preserve">. </w:t>
      </w:r>
      <w:r w:rsidR="00B34F37" w:rsidRPr="00B34F37">
        <w:t xml:space="preserve">Tocilizumab has a confidential </w:t>
      </w:r>
      <w:r w:rsidR="00B34F37">
        <w:t>commercial arrangement, which was included in the analyses, but means that</w:t>
      </w:r>
      <w:r w:rsidR="00B34F37" w:rsidRPr="00B34F37">
        <w:t xml:space="preserve"> the exact results cannot be reported here.</w:t>
      </w:r>
      <w:r w:rsidR="00B34F37">
        <w:t xml:space="preserve"> </w:t>
      </w:r>
      <w:r w:rsidR="00C9640B">
        <w:t xml:space="preserve">The </w:t>
      </w:r>
      <w:r w:rsidR="00473FCE">
        <w:t xml:space="preserve">committee concluded that the </w:t>
      </w:r>
      <w:r w:rsidR="00C9640B">
        <w:t>results suggest that anakinra has a similar weekly cost to tocilizumab for both systemic JIA and AOSD.</w:t>
      </w:r>
    </w:p>
    <w:p w14:paraId="683E533B" w14:textId="68F194DE" w:rsidR="00F54D88" w:rsidRDefault="006A5063" w:rsidP="00F54D88">
      <w:pPr>
        <w:pStyle w:val="Heading2"/>
      </w:pPr>
      <w:r>
        <w:t>Other factors</w:t>
      </w:r>
    </w:p>
    <w:p w14:paraId="329D1F7E" w14:textId="3E5B6E93" w:rsidR="00F54D88" w:rsidRPr="00F54D88" w:rsidRDefault="00F96DB1" w:rsidP="00F54D88">
      <w:pPr>
        <w:pStyle w:val="Heading3"/>
      </w:pPr>
      <w:r w:rsidRPr="00FA7706">
        <w:t xml:space="preserve">There are no </w:t>
      </w:r>
      <w:r w:rsidR="00DE629C">
        <w:t>equality or social value judg</w:t>
      </w:r>
      <w:r w:rsidR="00940BE3">
        <w:t>e</w:t>
      </w:r>
      <w:r w:rsidR="00DE629C">
        <w:t>ment issues</w:t>
      </w:r>
    </w:p>
    <w:p w14:paraId="490D438C" w14:textId="08166054" w:rsidR="00643582" w:rsidRDefault="009E7134" w:rsidP="00134432">
      <w:pPr>
        <w:pStyle w:val="Numberedlevel2text"/>
      </w:pPr>
      <w:r>
        <w:rPr>
          <w:lang w:val="en-GB"/>
        </w:rPr>
        <w:t xml:space="preserve">The </w:t>
      </w:r>
      <w:r w:rsidR="005830C4">
        <w:rPr>
          <w:lang w:val="en-GB"/>
        </w:rPr>
        <w:t>committee</w:t>
      </w:r>
      <w:r>
        <w:rPr>
          <w:lang w:val="en-GB"/>
        </w:rPr>
        <w:t xml:space="preserve"> noted </w:t>
      </w:r>
      <w:r w:rsidR="00D723A3">
        <w:rPr>
          <w:lang w:val="en-GB"/>
        </w:rPr>
        <w:t>that</w:t>
      </w:r>
      <w:r w:rsidR="00DE629C">
        <w:rPr>
          <w:lang w:val="en-GB"/>
        </w:rPr>
        <w:t xml:space="preserve"> </w:t>
      </w:r>
      <w:r w:rsidR="00D723A3">
        <w:rPr>
          <w:lang w:val="en-GB"/>
        </w:rPr>
        <w:t>n</w:t>
      </w:r>
      <w:r w:rsidR="00DE629C" w:rsidRPr="00DE629C">
        <w:rPr>
          <w:lang w:val="en-GB"/>
        </w:rPr>
        <w:t>o equality or social value judgement issues were identified.</w:t>
      </w:r>
    </w:p>
    <w:p w14:paraId="6E604223" w14:textId="51E3F30D" w:rsidR="00643582" w:rsidRDefault="00F928A2" w:rsidP="00643582">
      <w:pPr>
        <w:pStyle w:val="Heading2"/>
      </w:pPr>
      <w:r>
        <w:t>Conclusion</w:t>
      </w:r>
    </w:p>
    <w:p w14:paraId="0A9FFC2D" w14:textId="5408555F" w:rsidR="00F928A2" w:rsidRDefault="00F928A2" w:rsidP="00F928A2">
      <w:pPr>
        <w:pStyle w:val="Heading3"/>
      </w:pPr>
      <w:r>
        <w:t xml:space="preserve">Anakinra is </w:t>
      </w:r>
      <w:r w:rsidRPr="00B2098F">
        <w:t>recommended for routine commissioning</w:t>
      </w:r>
    </w:p>
    <w:p w14:paraId="4629D2C7" w14:textId="2A88FABD" w:rsidR="005240D3" w:rsidRPr="00134432" w:rsidRDefault="00F928A2" w:rsidP="00587671">
      <w:pPr>
        <w:pStyle w:val="Numberedlevel2text"/>
      </w:pPr>
      <w:r w:rsidRPr="00B2098F">
        <w:t xml:space="preserve">The committee acknowledged the need for </w:t>
      </w:r>
      <w:r>
        <w:t>biologic</w:t>
      </w:r>
      <w:r w:rsidR="00CB107E">
        <w:rPr>
          <w:lang w:val="en-GB"/>
        </w:rPr>
        <w:t>al</w:t>
      </w:r>
      <w:r>
        <w:t xml:space="preserve"> </w:t>
      </w:r>
      <w:r w:rsidRPr="00B2098F">
        <w:t>treatment option</w:t>
      </w:r>
      <w:r>
        <w:t xml:space="preserve">s for people with Still’s disease. </w:t>
      </w:r>
      <w:r w:rsidR="00CB107E">
        <w:rPr>
          <w:lang w:val="en-GB"/>
        </w:rPr>
        <w:t>It</w:t>
      </w:r>
      <w:r>
        <w:t xml:space="preserve"> concluded that the company’s economic model was not suitable for decision</w:t>
      </w:r>
      <w:r w:rsidR="00CB107E">
        <w:rPr>
          <w:lang w:val="en-GB"/>
        </w:rPr>
        <w:t xml:space="preserve"> </w:t>
      </w:r>
      <w:r>
        <w:t>making</w:t>
      </w:r>
      <w:r w:rsidR="00CB107E">
        <w:rPr>
          <w:lang w:val="en-GB"/>
        </w:rPr>
        <w:t>. However</w:t>
      </w:r>
      <w:r>
        <w:t>,</w:t>
      </w:r>
      <w:r w:rsidR="00CB107E">
        <w:rPr>
          <w:lang w:val="en-GB"/>
        </w:rPr>
        <w:t xml:space="preserve"> it concluded</w:t>
      </w:r>
      <w:r>
        <w:t xml:space="preserve"> that the cost-minimisation analysis </w:t>
      </w:r>
      <w:r w:rsidR="002A7F79">
        <w:rPr>
          <w:lang w:val="en-GB"/>
        </w:rPr>
        <w:t>suggested</w:t>
      </w:r>
      <w:r w:rsidR="002A7F79">
        <w:t xml:space="preserve"> </w:t>
      </w:r>
      <w:r>
        <w:t xml:space="preserve">that anakinra </w:t>
      </w:r>
      <w:r w:rsidR="004F1AB9">
        <w:rPr>
          <w:lang w:val="en-GB"/>
        </w:rPr>
        <w:t>has similar weekly costs</w:t>
      </w:r>
      <w:r w:rsidR="002A7F79">
        <w:rPr>
          <w:lang w:val="en-GB"/>
        </w:rPr>
        <w:t xml:space="preserve"> </w:t>
      </w:r>
      <w:r>
        <w:t xml:space="preserve">compared with tocilizumab. </w:t>
      </w:r>
      <w:r w:rsidRPr="00B2098F">
        <w:t xml:space="preserve">Therefore, </w:t>
      </w:r>
      <w:r>
        <w:t>anakinra</w:t>
      </w:r>
      <w:r w:rsidRPr="00B2098F">
        <w:t xml:space="preserve"> </w:t>
      </w:r>
      <w:r>
        <w:t>is</w:t>
      </w:r>
      <w:r w:rsidRPr="00B2098F">
        <w:t xml:space="preserve"> recommended as an option for</w:t>
      </w:r>
      <w:r w:rsidR="005240D3">
        <w:rPr>
          <w:lang w:val="en-GB"/>
        </w:rPr>
        <w:t>:</w:t>
      </w:r>
    </w:p>
    <w:p w14:paraId="468E9F5B" w14:textId="0414655D" w:rsidR="005240D3" w:rsidRDefault="00C92352" w:rsidP="005240D3">
      <w:pPr>
        <w:pStyle w:val="Bulletindent1"/>
      </w:pPr>
      <w:r>
        <w:t xml:space="preserve">systemic </w:t>
      </w:r>
      <w:r w:rsidR="00F928A2">
        <w:t xml:space="preserve">JIA </w:t>
      </w:r>
      <w:r w:rsidR="00CB107E">
        <w:t>when</w:t>
      </w:r>
      <w:r w:rsidR="00F928A2">
        <w:t xml:space="preserve"> the disease has not responded to at least 1</w:t>
      </w:r>
      <w:r w:rsidR="00CB107E">
        <w:t> </w:t>
      </w:r>
      <w:r w:rsidR="00F928A2" w:rsidRPr="00A957FB">
        <w:t xml:space="preserve">conventional </w:t>
      </w:r>
      <w:r w:rsidR="00F928A2">
        <w:t>DMARD</w:t>
      </w:r>
      <w:r w:rsidR="005240D3">
        <w:t>, and</w:t>
      </w:r>
    </w:p>
    <w:p w14:paraId="14DA0D41" w14:textId="4D86CE14" w:rsidR="00587671" w:rsidRDefault="00F928A2" w:rsidP="00134432">
      <w:pPr>
        <w:pStyle w:val="Bulletindent1last"/>
      </w:pPr>
      <w:r>
        <w:t xml:space="preserve">AOSD </w:t>
      </w:r>
      <w:r w:rsidR="00CB107E">
        <w:t>when</w:t>
      </w:r>
      <w:r>
        <w:t xml:space="preserve"> the disease has responded inadequately to 2</w:t>
      </w:r>
      <w:r w:rsidR="00C92352">
        <w:t> </w:t>
      </w:r>
      <w:r>
        <w:t>or more conventional DMARDs.</w:t>
      </w:r>
    </w:p>
    <w:p w14:paraId="2840FC7A" w14:textId="2A5B8A6C" w:rsidR="000F48EC" w:rsidRPr="00232061" w:rsidRDefault="000F48EC" w:rsidP="00F130AD">
      <w:pPr>
        <w:pStyle w:val="Numberedheading1"/>
      </w:pPr>
      <w:r w:rsidRPr="00232061">
        <w:t>Implementation</w:t>
      </w:r>
    </w:p>
    <w:p w14:paraId="70EF181C" w14:textId="3F516B99" w:rsidR="007D0ADB" w:rsidRDefault="008319E0" w:rsidP="007D0ADB">
      <w:pPr>
        <w:pStyle w:val="Numberedlevel2text"/>
      </w:pPr>
      <w:hyperlink r:id="rId14" w:history="1">
        <w:r w:rsidR="002A686F" w:rsidRPr="00D019BA">
          <w:rPr>
            <w:rStyle w:val="Hyperlink"/>
          </w:rPr>
          <w:t>Section 7(6) of the National Institute for Health and Care Excellence (Constitution and Functions) and the Health and Social Care Information Centre (Functions) Regulations 2013</w:t>
        </w:r>
      </w:hyperlink>
      <w:r w:rsidR="002A686F" w:rsidRPr="00EE2914">
        <w:t xml:space="preserve"> requires clinical commissioning groups, NHS England and, with respect to their public health functions, local authorities to comply with the recommendations in this appraisal within 3 months of its date of publication. </w:t>
      </w:r>
    </w:p>
    <w:p w14:paraId="6F401611" w14:textId="430D5127" w:rsidR="002A686F" w:rsidRDefault="002A686F" w:rsidP="007D0ADB">
      <w:pPr>
        <w:pStyle w:val="Numberedlevel2text"/>
      </w:pPr>
      <w:r>
        <w:lastRenderedPageBreak/>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37F734C7" w14:textId="61274E48" w:rsidR="002A686F" w:rsidRDefault="002A686F" w:rsidP="007D0ADB">
      <w:pPr>
        <w:pStyle w:val="Numberedlevel2text"/>
      </w:pPr>
      <w:r w:rsidRPr="00EE2914">
        <w:t>When NICE recommends a treatment ‘as an option’, the NHS must make sure it is available within the period set out in the paragraph</w:t>
      </w:r>
      <w:r>
        <w:t>s</w:t>
      </w:r>
      <w:r w:rsidRPr="00EE2914">
        <w:t xml:space="preserve"> above. This means that, if a patient has </w:t>
      </w:r>
      <w:r w:rsidR="007D0ADB">
        <w:rPr>
          <w:lang w:val="en-GB"/>
        </w:rPr>
        <w:t>s</w:t>
      </w:r>
      <w:r w:rsidR="00C92352">
        <w:rPr>
          <w:lang w:val="en-GB"/>
        </w:rPr>
        <w:t>ystemic juvenile idiopathic arthritis</w:t>
      </w:r>
      <w:r w:rsidR="007D0ADB">
        <w:rPr>
          <w:lang w:val="en-GB"/>
        </w:rPr>
        <w:t xml:space="preserve"> or </w:t>
      </w:r>
      <w:r w:rsidR="00C92352">
        <w:rPr>
          <w:lang w:val="en-GB"/>
        </w:rPr>
        <w:t>adult-onset Still’s disease</w:t>
      </w:r>
      <w:r w:rsidRPr="00EE2914">
        <w:t xml:space="preserve"> and the doctor responsible for their care thinks that </w:t>
      </w:r>
      <w:r w:rsidR="007D0ADB">
        <w:rPr>
          <w:lang w:val="en-GB"/>
        </w:rPr>
        <w:t>anakinra</w:t>
      </w:r>
      <w:r w:rsidRPr="00EE2914">
        <w:t xml:space="preserve"> is the right treatment, it should be available for use, in l</w:t>
      </w:r>
      <w:r>
        <w:t>ine with NICE’s recommendations</w:t>
      </w:r>
      <w:r w:rsidRPr="00EE2914">
        <w:t>.</w:t>
      </w:r>
    </w:p>
    <w:p w14:paraId="4A91D4D4" w14:textId="77777777" w:rsidR="000F48EC" w:rsidRPr="000F48EC" w:rsidRDefault="007A2801" w:rsidP="002E73E7">
      <w:pPr>
        <w:pStyle w:val="Numberedheading1"/>
      </w:pPr>
      <w:r>
        <w:t xml:space="preserve">Proposed date for </w:t>
      </w:r>
      <w:r w:rsidR="00000441">
        <w:t>r</w:t>
      </w:r>
      <w:r w:rsidR="000F48EC" w:rsidRPr="000F48EC">
        <w:t>eview of guidance</w:t>
      </w:r>
    </w:p>
    <w:p w14:paraId="61AF3D29" w14:textId="09312692" w:rsidR="00C52FC0" w:rsidRPr="000F48EC" w:rsidRDefault="001823EB" w:rsidP="00E97666">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00134432">
        <w:rPr>
          <w:lang w:val="en-GB"/>
        </w:rPr>
        <w:t>.</w:t>
      </w:r>
      <w:r w:rsidRPr="00044CC7">
        <w:t xml:space="preserve"> NICE welcomes comment on this proposed date. The </w:t>
      </w:r>
      <w:r>
        <w:t>g</w:t>
      </w:r>
      <w:r w:rsidRPr="00044CC7">
        <w:t xml:space="preserve">uidance </w:t>
      </w:r>
      <w:r>
        <w:t>e</w:t>
      </w:r>
      <w:r w:rsidRPr="00044CC7">
        <w:t xml:space="preserve">xecutive will decide whether the technology should be reviewed based on information gathered by NICE, and in consultation with consultees and commentators. </w:t>
      </w:r>
    </w:p>
    <w:p w14:paraId="1ACA4123" w14:textId="24764707" w:rsidR="004845D0" w:rsidRDefault="007B2126" w:rsidP="00ED5F88">
      <w:pPr>
        <w:pStyle w:val="NICEnormal"/>
      </w:pPr>
      <w:r>
        <w:t>Peter Selby</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t>December 2020</w:t>
      </w:r>
    </w:p>
    <w:p w14:paraId="5C319D20"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7665C46A" w14:textId="77777777" w:rsidR="00B16431" w:rsidRPr="007D7F83" w:rsidRDefault="00B16431" w:rsidP="00B16431">
      <w:pPr>
        <w:pStyle w:val="Heading2"/>
      </w:pPr>
      <w:bookmarkStart w:id="13" w:name="_Appraisal_committee_members"/>
      <w:bookmarkEnd w:id="13"/>
      <w:r w:rsidRPr="007D7F83">
        <w:t xml:space="preserve">Appraisal </w:t>
      </w:r>
      <w:r w:rsidR="00343B53">
        <w:t>c</w:t>
      </w:r>
      <w:r w:rsidRPr="007D7F83">
        <w:t>ommittee members</w:t>
      </w:r>
    </w:p>
    <w:p w14:paraId="392D1703" w14:textId="7601F474" w:rsidR="002F2583" w:rsidRPr="00742089" w:rsidRDefault="002F2583" w:rsidP="002F2583">
      <w:pPr>
        <w:pStyle w:val="NICEnormal"/>
        <w:rPr>
          <w:rFonts w:eastAsia="Calibri"/>
        </w:rPr>
      </w:pPr>
      <w:r>
        <w:t>The 4</w:t>
      </w:r>
      <w:r w:rsidR="00C92352">
        <w:t> </w:t>
      </w:r>
      <w:r>
        <w:t xml:space="preserve">technology appraisal committees are standing advisory committees of NICE. This topic was considered by </w:t>
      </w:r>
      <w:hyperlink r:id="rId15" w:history="1">
        <w:r w:rsidR="007B2126">
          <w:rPr>
            <w:rStyle w:val="Hyperlink"/>
            <w:rFonts w:eastAsia="Calibri"/>
          </w:rPr>
          <w:t>committee</w:t>
        </w:r>
        <w:r w:rsidR="00C92352">
          <w:rPr>
            <w:rStyle w:val="Hyperlink"/>
            <w:rFonts w:eastAsia="Calibri"/>
          </w:rPr>
          <w:t> </w:t>
        </w:r>
        <w:r w:rsidR="007B2126">
          <w:rPr>
            <w:rStyle w:val="Hyperlink"/>
            <w:rFonts w:eastAsia="Calibri"/>
          </w:rPr>
          <w:t>C</w:t>
        </w:r>
      </w:hyperlink>
      <w:r>
        <w:t>.</w:t>
      </w:r>
    </w:p>
    <w:p w14:paraId="11D8955A" w14:textId="77777777" w:rsidR="002F2583" w:rsidRDefault="002F2583" w:rsidP="002F2583">
      <w:pPr>
        <w:pStyle w:val="NICEnormal"/>
      </w:pPr>
      <w:r>
        <w:lastRenderedPageBreak/>
        <w:t xml:space="preserve">Committee members are asked to declare any interests in the technology to be appraised. If it is considered there is a conflict of interest, the member is excluded from participating further in that appraisal. </w:t>
      </w:r>
    </w:p>
    <w:p w14:paraId="36B5867E" w14:textId="142914DF" w:rsidR="00621AFB" w:rsidRPr="007D7F83" w:rsidRDefault="002F2583" w:rsidP="007D0ADB">
      <w:pPr>
        <w:pStyle w:val="NICEnormal"/>
      </w:pPr>
      <w:r>
        <w:t xml:space="preserve">The </w:t>
      </w:r>
      <w:hyperlink r:id="rId16"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6CF5638A" w14:textId="77777777" w:rsidR="00B16431" w:rsidRPr="007D7F83" w:rsidRDefault="00B16431" w:rsidP="00B16431">
      <w:pPr>
        <w:pStyle w:val="Heading2"/>
      </w:pPr>
      <w:r w:rsidRPr="007D7F83">
        <w:t>NICE project team</w:t>
      </w:r>
    </w:p>
    <w:p w14:paraId="1CF8A82F" w14:textId="1CEEC933" w:rsidR="00B16431" w:rsidRPr="000F2D8A" w:rsidRDefault="00B16431" w:rsidP="00B16431">
      <w:pPr>
        <w:pStyle w:val="NICEnormal"/>
      </w:pPr>
      <w:r w:rsidRPr="0058413D">
        <w:t xml:space="preserve">Each technology appraisal is assigned to a team consisting of </w:t>
      </w:r>
      <w:r>
        <w:t>1</w:t>
      </w:r>
      <w:r w:rsidR="00C92352">
        <w:t> </w:t>
      </w:r>
      <w:r w:rsidRPr="0058413D">
        <w:t>or more health technology analysts (who act as technical leads for the appraisal), a technical adviser and a project manager.</w:t>
      </w:r>
    </w:p>
    <w:p w14:paraId="0A58E114" w14:textId="1053B24F" w:rsidR="00B16431" w:rsidRPr="007B2126" w:rsidRDefault="007B2126" w:rsidP="00B16431">
      <w:pPr>
        <w:pStyle w:val="NICEnormal"/>
      </w:pPr>
      <w:bookmarkStart w:id="14" w:name="Text45"/>
      <w:r>
        <w:rPr>
          <w:b/>
        </w:rPr>
        <w:t>Luke Cowie</w:t>
      </w:r>
      <w:r>
        <w:br/>
      </w:r>
      <w:r w:rsidR="00B16431" w:rsidRPr="000F2D8A">
        <w:t xml:space="preserve">Technical </w:t>
      </w:r>
      <w:r w:rsidR="00E65C76">
        <w:t>l</w:t>
      </w:r>
      <w:r w:rsidR="00B16431" w:rsidRPr="000F2D8A">
        <w:t>ead</w:t>
      </w:r>
    </w:p>
    <w:p w14:paraId="0EBF731E" w14:textId="35AF95D1" w:rsidR="00B16431" w:rsidRPr="000F2D8A" w:rsidRDefault="007B2126" w:rsidP="00B16431">
      <w:pPr>
        <w:pStyle w:val="NICEnormal"/>
      </w:pPr>
      <w:r>
        <w:rPr>
          <w:b/>
        </w:rPr>
        <w:t>Victoria Kelly</w:t>
      </w:r>
      <w:r w:rsidR="00B16431">
        <w:br/>
      </w:r>
      <w:r w:rsidR="00B16431" w:rsidRPr="00AF59A2">
        <w:t xml:space="preserve">Technical </w:t>
      </w:r>
      <w:r w:rsidR="00E65C76">
        <w:t>a</w:t>
      </w:r>
      <w:r w:rsidR="00B16431" w:rsidRPr="00AF59A2">
        <w:t>dviser</w:t>
      </w:r>
    </w:p>
    <w:p w14:paraId="61AFF7E0" w14:textId="7BC2B239" w:rsidR="00B16431" w:rsidRPr="000F2D8A" w:rsidRDefault="007B2126" w:rsidP="005D3FD9">
      <w:pPr>
        <w:pStyle w:val="NICEnormal"/>
      </w:pPr>
      <w:r>
        <w:rPr>
          <w:b/>
        </w:rPr>
        <w:t>Louise Jafferally</w:t>
      </w:r>
      <w:r w:rsidR="00B16431">
        <w:br/>
      </w:r>
      <w:r w:rsidR="00B16431" w:rsidRPr="000F2D8A">
        <w:t xml:space="preserve">Project </w:t>
      </w:r>
      <w:r w:rsidR="00E65C76">
        <w:t>m</w:t>
      </w:r>
      <w:r w:rsidR="00B16431" w:rsidRPr="000F2D8A">
        <w:t>anager</w:t>
      </w:r>
      <w:bookmarkEnd w:id="14"/>
    </w:p>
    <w:p w14:paraId="36C52C22"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C41BE" w14:textId="77777777" w:rsidR="001645C9" w:rsidRDefault="001645C9">
      <w:r>
        <w:separator/>
      </w:r>
    </w:p>
  </w:endnote>
  <w:endnote w:type="continuationSeparator" w:id="0">
    <w:p w14:paraId="298F87C3" w14:textId="77777777" w:rsidR="001645C9" w:rsidRDefault="0016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5D5F" w14:textId="26ED4590" w:rsidR="001645C9" w:rsidRPr="003D33FB" w:rsidRDefault="001645C9"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0304DB">
      <w:rPr>
        <w:sz w:val="18"/>
        <w:szCs w:val="18"/>
      </w:rPr>
      <w:t>Anakinra for treating Still’s disease</w:t>
    </w:r>
    <w:r>
      <w:rPr>
        <w:sz w:val="18"/>
        <w:szCs w:val="18"/>
      </w:rPr>
      <w:t xml:space="preserve"> </w:t>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6CB3CEF0" w14:textId="31A9CEF2" w:rsidR="001645C9" w:rsidRDefault="001645C9" w:rsidP="007A7EC8">
    <w:pPr>
      <w:pStyle w:val="NICEnormalsinglespacing"/>
      <w:spacing w:after="120"/>
      <w:rPr>
        <w:sz w:val="18"/>
        <w:szCs w:val="18"/>
      </w:rPr>
    </w:pPr>
    <w:r w:rsidRPr="003D33FB">
      <w:rPr>
        <w:sz w:val="18"/>
        <w:szCs w:val="18"/>
      </w:rPr>
      <w:t xml:space="preserve">Issue date: </w:t>
    </w:r>
    <w:r>
      <w:rPr>
        <w:sz w:val="18"/>
        <w:szCs w:val="18"/>
      </w:rPr>
      <w:t>December 2020</w:t>
    </w:r>
  </w:p>
  <w:p w14:paraId="4916CDB0" w14:textId="065B84F7" w:rsidR="001645C9" w:rsidRPr="007A7EC8" w:rsidRDefault="001645C9"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D4095" w14:textId="77777777" w:rsidR="001645C9" w:rsidRDefault="001645C9">
      <w:r>
        <w:separator/>
      </w:r>
    </w:p>
  </w:footnote>
  <w:footnote w:type="continuationSeparator" w:id="0">
    <w:p w14:paraId="4F91D1CF" w14:textId="77777777" w:rsidR="001645C9" w:rsidRDefault="0016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E70C" w14:textId="77777777" w:rsidR="001645C9" w:rsidRPr="004E6427" w:rsidRDefault="001645C9"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0F36"/>
    <w:multiLevelType w:val="hybridMultilevel"/>
    <w:tmpl w:val="74E884CE"/>
    <w:lvl w:ilvl="0" w:tplc="659464DE">
      <w:start w:val="1"/>
      <w:numFmt w:val="bullet"/>
      <w:lvlText w:val="•"/>
      <w:lvlJc w:val="left"/>
      <w:pPr>
        <w:tabs>
          <w:tab w:val="num" w:pos="720"/>
        </w:tabs>
        <w:ind w:left="720" w:hanging="360"/>
      </w:pPr>
      <w:rPr>
        <w:rFonts w:ascii="Arial" w:hAnsi="Arial" w:hint="default"/>
      </w:rPr>
    </w:lvl>
    <w:lvl w:ilvl="1" w:tplc="220A4CE2" w:tentative="1">
      <w:start w:val="1"/>
      <w:numFmt w:val="bullet"/>
      <w:lvlText w:val="•"/>
      <w:lvlJc w:val="left"/>
      <w:pPr>
        <w:tabs>
          <w:tab w:val="num" w:pos="1440"/>
        </w:tabs>
        <w:ind w:left="1440" w:hanging="360"/>
      </w:pPr>
      <w:rPr>
        <w:rFonts w:ascii="Arial" w:hAnsi="Arial" w:hint="default"/>
      </w:rPr>
    </w:lvl>
    <w:lvl w:ilvl="2" w:tplc="121AF5BA" w:tentative="1">
      <w:start w:val="1"/>
      <w:numFmt w:val="bullet"/>
      <w:lvlText w:val="•"/>
      <w:lvlJc w:val="left"/>
      <w:pPr>
        <w:tabs>
          <w:tab w:val="num" w:pos="2160"/>
        </w:tabs>
        <w:ind w:left="2160" w:hanging="360"/>
      </w:pPr>
      <w:rPr>
        <w:rFonts w:ascii="Arial" w:hAnsi="Arial" w:hint="default"/>
      </w:rPr>
    </w:lvl>
    <w:lvl w:ilvl="3" w:tplc="62606E0A" w:tentative="1">
      <w:start w:val="1"/>
      <w:numFmt w:val="bullet"/>
      <w:lvlText w:val="•"/>
      <w:lvlJc w:val="left"/>
      <w:pPr>
        <w:tabs>
          <w:tab w:val="num" w:pos="2880"/>
        </w:tabs>
        <w:ind w:left="2880" w:hanging="360"/>
      </w:pPr>
      <w:rPr>
        <w:rFonts w:ascii="Arial" w:hAnsi="Arial" w:hint="default"/>
      </w:rPr>
    </w:lvl>
    <w:lvl w:ilvl="4" w:tplc="E662D50A" w:tentative="1">
      <w:start w:val="1"/>
      <w:numFmt w:val="bullet"/>
      <w:lvlText w:val="•"/>
      <w:lvlJc w:val="left"/>
      <w:pPr>
        <w:tabs>
          <w:tab w:val="num" w:pos="3600"/>
        </w:tabs>
        <w:ind w:left="3600" w:hanging="360"/>
      </w:pPr>
      <w:rPr>
        <w:rFonts w:ascii="Arial" w:hAnsi="Arial" w:hint="default"/>
      </w:rPr>
    </w:lvl>
    <w:lvl w:ilvl="5" w:tplc="89E81382" w:tentative="1">
      <w:start w:val="1"/>
      <w:numFmt w:val="bullet"/>
      <w:lvlText w:val="•"/>
      <w:lvlJc w:val="left"/>
      <w:pPr>
        <w:tabs>
          <w:tab w:val="num" w:pos="4320"/>
        </w:tabs>
        <w:ind w:left="4320" w:hanging="360"/>
      </w:pPr>
      <w:rPr>
        <w:rFonts w:ascii="Arial" w:hAnsi="Arial" w:hint="default"/>
      </w:rPr>
    </w:lvl>
    <w:lvl w:ilvl="6" w:tplc="D9563BAA" w:tentative="1">
      <w:start w:val="1"/>
      <w:numFmt w:val="bullet"/>
      <w:lvlText w:val="•"/>
      <w:lvlJc w:val="left"/>
      <w:pPr>
        <w:tabs>
          <w:tab w:val="num" w:pos="5040"/>
        </w:tabs>
        <w:ind w:left="5040" w:hanging="360"/>
      </w:pPr>
      <w:rPr>
        <w:rFonts w:ascii="Arial" w:hAnsi="Arial" w:hint="default"/>
      </w:rPr>
    </w:lvl>
    <w:lvl w:ilvl="7" w:tplc="3AF8B992" w:tentative="1">
      <w:start w:val="1"/>
      <w:numFmt w:val="bullet"/>
      <w:lvlText w:val="•"/>
      <w:lvlJc w:val="left"/>
      <w:pPr>
        <w:tabs>
          <w:tab w:val="num" w:pos="5760"/>
        </w:tabs>
        <w:ind w:left="5760" w:hanging="360"/>
      </w:pPr>
      <w:rPr>
        <w:rFonts w:ascii="Arial" w:hAnsi="Arial" w:hint="default"/>
      </w:rPr>
    </w:lvl>
    <w:lvl w:ilvl="8" w:tplc="8F58A8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8AE7B4B"/>
    <w:multiLevelType w:val="hybridMultilevel"/>
    <w:tmpl w:val="6E169B10"/>
    <w:lvl w:ilvl="0" w:tplc="5346375E">
      <w:start w:val="1"/>
      <w:numFmt w:val="bullet"/>
      <w:lvlText w:val="•"/>
      <w:lvlJc w:val="left"/>
      <w:pPr>
        <w:tabs>
          <w:tab w:val="num" w:pos="720"/>
        </w:tabs>
        <w:ind w:left="720" w:hanging="360"/>
      </w:pPr>
      <w:rPr>
        <w:rFonts w:ascii="Arial" w:hAnsi="Arial" w:hint="default"/>
      </w:rPr>
    </w:lvl>
    <w:lvl w:ilvl="1" w:tplc="84ECF8D6">
      <w:numFmt w:val="bullet"/>
      <w:lvlText w:val="–"/>
      <w:lvlJc w:val="left"/>
      <w:pPr>
        <w:tabs>
          <w:tab w:val="num" w:pos="1440"/>
        </w:tabs>
        <w:ind w:left="1440" w:hanging="360"/>
      </w:pPr>
      <w:rPr>
        <w:rFonts w:ascii="Arial" w:hAnsi="Arial" w:hint="default"/>
      </w:rPr>
    </w:lvl>
    <w:lvl w:ilvl="2" w:tplc="F4922BFA" w:tentative="1">
      <w:start w:val="1"/>
      <w:numFmt w:val="bullet"/>
      <w:lvlText w:val="•"/>
      <w:lvlJc w:val="left"/>
      <w:pPr>
        <w:tabs>
          <w:tab w:val="num" w:pos="2160"/>
        </w:tabs>
        <w:ind w:left="2160" w:hanging="360"/>
      </w:pPr>
      <w:rPr>
        <w:rFonts w:ascii="Arial" w:hAnsi="Arial" w:hint="default"/>
      </w:rPr>
    </w:lvl>
    <w:lvl w:ilvl="3" w:tplc="930E0008" w:tentative="1">
      <w:start w:val="1"/>
      <w:numFmt w:val="bullet"/>
      <w:lvlText w:val="•"/>
      <w:lvlJc w:val="left"/>
      <w:pPr>
        <w:tabs>
          <w:tab w:val="num" w:pos="2880"/>
        </w:tabs>
        <w:ind w:left="2880" w:hanging="360"/>
      </w:pPr>
      <w:rPr>
        <w:rFonts w:ascii="Arial" w:hAnsi="Arial" w:hint="default"/>
      </w:rPr>
    </w:lvl>
    <w:lvl w:ilvl="4" w:tplc="A3A43EE8" w:tentative="1">
      <w:start w:val="1"/>
      <w:numFmt w:val="bullet"/>
      <w:lvlText w:val="•"/>
      <w:lvlJc w:val="left"/>
      <w:pPr>
        <w:tabs>
          <w:tab w:val="num" w:pos="3600"/>
        </w:tabs>
        <w:ind w:left="3600" w:hanging="360"/>
      </w:pPr>
      <w:rPr>
        <w:rFonts w:ascii="Arial" w:hAnsi="Arial" w:hint="default"/>
      </w:rPr>
    </w:lvl>
    <w:lvl w:ilvl="5" w:tplc="9CA01DBC" w:tentative="1">
      <w:start w:val="1"/>
      <w:numFmt w:val="bullet"/>
      <w:lvlText w:val="•"/>
      <w:lvlJc w:val="left"/>
      <w:pPr>
        <w:tabs>
          <w:tab w:val="num" w:pos="4320"/>
        </w:tabs>
        <w:ind w:left="4320" w:hanging="360"/>
      </w:pPr>
      <w:rPr>
        <w:rFonts w:ascii="Arial" w:hAnsi="Arial" w:hint="default"/>
      </w:rPr>
    </w:lvl>
    <w:lvl w:ilvl="6" w:tplc="3B4416AA" w:tentative="1">
      <w:start w:val="1"/>
      <w:numFmt w:val="bullet"/>
      <w:lvlText w:val="•"/>
      <w:lvlJc w:val="left"/>
      <w:pPr>
        <w:tabs>
          <w:tab w:val="num" w:pos="5040"/>
        </w:tabs>
        <w:ind w:left="5040" w:hanging="360"/>
      </w:pPr>
      <w:rPr>
        <w:rFonts w:ascii="Arial" w:hAnsi="Arial" w:hint="default"/>
      </w:rPr>
    </w:lvl>
    <w:lvl w:ilvl="7" w:tplc="CEBECAEE" w:tentative="1">
      <w:start w:val="1"/>
      <w:numFmt w:val="bullet"/>
      <w:lvlText w:val="•"/>
      <w:lvlJc w:val="left"/>
      <w:pPr>
        <w:tabs>
          <w:tab w:val="num" w:pos="5760"/>
        </w:tabs>
        <w:ind w:left="5760" w:hanging="360"/>
      </w:pPr>
      <w:rPr>
        <w:rFonts w:ascii="Arial" w:hAnsi="Arial" w:hint="default"/>
      </w:rPr>
    </w:lvl>
    <w:lvl w:ilvl="8" w:tplc="9EDE1B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41C2B"/>
    <w:multiLevelType w:val="hybridMultilevel"/>
    <w:tmpl w:val="CE48289A"/>
    <w:lvl w:ilvl="0" w:tplc="FDC88BDA">
      <w:start w:val="1"/>
      <w:numFmt w:val="bullet"/>
      <w:lvlText w:val="•"/>
      <w:lvlJc w:val="left"/>
      <w:pPr>
        <w:tabs>
          <w:tab w:val="num" w:pos="720"/>
        </w:tabs>
        <w:ind w:left="720" w:hanging="360"/>
      </w:pPr>
      <w:rPr>
        <w:rFonts w:ascii="Arial" w:hAnsi="Arial" w:hint="default"/>
      </w:rPr>
    </w:lvl>
    <w:lvl w:ilvl="1" w:tplc="A3C2ED4E" w:tentative="1">
      <w:start w:val="1"/>
      <w:numFmt w:val="bullet"/>
      <w:lvlText w:val="•"/>
      <w:lvlJc w:val="left"/>
      <w:pPr>
        <w:tabs>
          <w:tab w:val="num" w:pos="1440"/>
        </w:tabs>
        <w:ind w:left="1440" w:hanging="360"/>
      </w:pPr>
      <w:rPr>
        <w:rFonts w:ascii="Arial" w:hAnsi="Arial" w:hint="default"/>
      </w:rPr>
    </w:lvl>
    <w:lvl w:ilvl="2" w:tplc="7FEC1636" w:tentative="1">
      <w:start w:val="1"/>
      <w:numFmt w:val="bullet"/>
      <w:lvlText w:val="•"/>
      <w:lvlJc w:val="left"/>
      <w:pPr>
        <w:tabs>
          <w:tab w:val="num" w:pos="2160"/>
        </w:tabs>
        <w:ind w:left="2160" w:hanging="360"/>
      </w:pPr>
      <w:rPr>
        <w:rFonts w:ascii="Arial" w:hAnsi="Arial" w:hint="default"/>
      </w:rPr>
    </w:lvl>
    <w:lvl w:ilvl="3" w:tplc="98543972" w:tentative="1">
      <w:start w:val="1"/>
      <w:numFmt w:val="bullet"/>
      <w:lvlText w:val="•"/>
      <w:lvlJc w:val="left"/>
      <w:pPr>
        <w:tabs>
          <w:tab w:val="num" w:pos="2880"/>
        </w:tabs>
        <w:ind w:left="2880" w:hanging="360"/>
      </w:pPr>
      <w:rPr>
        <w:rFonts w:ascii="Arial" w:hAnsi="Arial" w:hint="default"/>
      </w:rPr>
    </w:lvl>
    <w:lvl w:ilvl="4" w:tplc="3566F924" w:tentative="1">
      <w:start w:val="1"/>
      <w:numFmt w:val="bullet"/>
      <w:lvlText w:val="•"/>
      <w:lvlJc w:val="left"/>
      <w:pPr>
        <w:tabs>
          <w:tab w:val="num" w:pos="3600"/>
        </w:tabs>
        <w:ind w:left="3600" w:hanging="360"/>
      </w:pPr>
      <w:rPr>
        <w:rFonts w:ascii="Arial" w:hAnsi="Arial" w:hint="default"/>
      </w:rPr>
    </w:lvl>
    <w:lvl w:ilvl="5" w:tplc="6BBEF900" w:tentative="1">
      <w:start w:val="1"/>
      <w:numFmt w:val="bullet"/>
      <w:lvlText w:val="•"/>
      <w:lvlJc w:val="left"/>
      <w:pPr>
        <w:tabs>
          <w:tab w:val="num" w:pos="4320"/>
        </w:tabs>
        <w:ind w:left="4320" w:hanging="360"/>
      </w:pPr>
      <w:rPr>
        <w:rFonts w:ascii="Arial" w:hAnsi="Arial" w:hint="default"/>
      </w:rPr>
    </w:lvl>
    <w:lvl w:ilvl="6" w:tplc="17EC18F2" w:tentative="1">
      <w:start w:val="1"/>
      <w:numFmt w:val="bullet"/>
      <w:lvlText w:val="•"/>
      <w:lvlJc w:val="left"/>
      <w:pPr>
        <w:tabs>
          <w:tab w:val="num" w:pos="5040"/>
        </w:tabs>
        <w:ind w:left="5040" w:hanging="360"/>
      </w:pPr>
      <w:rPr>
        <w:rFonts w:ascii="Arial" w:hAnsi="Arial" w:hint="default"/>
      </w:rPr>
    </w:lvl>
    <w:lvl w:ilvl="7" w:tplc="773CDD70" w:tentative="1">
      <w:start w:val="1"/>
      <w:numFmt w:val="bullet"/>
      <w:lvlText w:val="•"/>
      <w:lvlJc w:val="left"/>
      <w:pPr>
        <w:tabs>
          <w:tab w:val="num" w:pos="5760"/>
        </w:tabs>
        <w:ind w:left="5760" w:hanging="360"/>
      </w:pPr>
      <w:rPr>
        <w:rFonts w:ascii="Arial" w:hAnsi="Arial" w:hint="default"/>
      </w:rPr>
    </w:lvl>
    <w:lvl w:ilvl="8" w:tplc="8F5664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99131A"/>
    <w:multiLevelType w:val="hybridMultilevel"/>
    <w:tmpl w:val="F2483600"/>
    <w:lvl w:ilvl="0" w:tplc="EE086F38">
      <w:start w:val="1"/>
      <w:numFmt w:val="bullet"/>
      <w:lvlText w:val="•"/>
      <w:lvlJc w:val="left"/>
      <w:pPr>
        <w:tabs>
          <w:tab w:val="num" w:pos="720"/>
        </w:tabs>
        <w:ind w:left="720" w:hanging="360"/>
      </w:pPr>
      <w:rPr>
        <w:rFonts w:ascii="Arial" w:hAnsi="Arial" w:hint="default"/>
      </w:rPr>
    </w:lvl>
    <w:lvl w:ilvl="1" w:tplc="506EDDFE" w:tentative="1">
      <w:start w:val="1"/>
      <w:numFmt w:val="bullet"/>
      <w:lvlText w:val="•"/>
      <w:lvlJc w:val="left"/>
      <w:pPr>
        <w:tabs>
          <w:tab w:val="num" w:pos="1440"/>
        </w:tabs>
        <w:ind w:left="1440" w:hanging="360"/>
      </w:pPr>
      <w:rPr>
        <w:rFonts w:ascii="Arial" w:hAnsi="Arial" w:hint="default"/>
      </w:rPr>
    </w:lvl>
    <w:lvl w:ilvl="2" w:tplc="0BF2C5E6" w:tentative="1">
      <w:start w:val="1"/>
      <w:numFmt w:val="bullet"/>
      <w:lvlText w:val="•"/>
      <w:lvlJc w:val="left"/>
      <w:pPr>
        <w:tabs>
          <w:tab w:val="num" w:pos="2160"/>
        </w:tabs>
        <w:ind w:left="2160" w:hanging="360"/>
      </w:pPr>
      <w:rPr>
        <w:rFonts w:ascii="Arial" w:hAnsi="Arial" w:hint="default"/>
      </w:rPr>
    </w:lvl>
    <w:lvl w:ilvl="3" w:tplc="BC548CE6" w:tentative="1">
      <w:start w:val="1"/>
      <w:numFmt w:val="bullet"/>
      <w:lvlText w:val="•"/>
      <w:lvlJc w:val="left"/>
      <w:pPr>
        <w:tabs>
          <w:tab w:val="num" w:pos="2880"/>
        </w:tabs>
        <w:ind w:left="2880" w:hanging="360"/>
      </w:pPr>
      <w:rPr>
        <w:rFonts w:ascii="Arial" w:hAnsi="Arial" w:hint="default"/>
      </w:rPr>
    </w:lvl>
    <w:lvl w:ilvl="4" w:tplc="FD984950" w:tentative="1">
      <w:start w:val="1"/>
      <w:numFmt w:val="bullet"/>
      <w:lvlText w:val="•"/>
      <w:lvlJc w:val="left"/>
      <w:pPr>
        <w:tabs>
          <w:tab w:val="num" w:pos="3600"/>
        </w:tabs>
        <w:ind w:left="3600" w:hanging="360"/>
      </w:pPr>
      <w:rPr>
        <w:rFonts w:ascii="Arial" w:hAnsi="Arial" w:hint="default"/>
      </w:rPr>
    </w:lvl>
    <w:lvl w:ilvl="5" w:tplc="17543208" w:tentative="1">
      <w:start w:val="1"/>
      <w:numFmt w:val="bullet"/>
      <w:lvlText w:val="•"/>
      <w:lvlJc w:val="left"/>
      <w:pPr>
        <w:tabs>
          <w:tab w:val="num" w:pos="4320"/>
        </w:tabs>
        <w:ind w:left="4320" w:hanging="360"/>
      </w:pPr>
      <w:rPr>
        <w:rFonts w:ascii="Arial" w:hAnsi="Arial" w:hint="default"/>
      </w:rPr>
    </w:lvl>
    <w:lvl w:ilvl="6" w:tplc="A874006A" w:tentative="1">
      <w:start w:val="1"/>
      <w:numFmt w:val="bullet"/>
      <w:lvlText w:val="•"/>
      <w:lvlJc w:val="left"/>
      <w:pPr>
        <w:tabs>
          <w:tab w:val="num" w:pos="5040"/>
        </w:tabs>
        <w:ind w:left="5040" w:hanging="360"/>
      </w:pPr>
      <w:rPr>
        <w:rFonts w:ascii="Arial" w:hAnsi="Arial" w:hint="default"/>
      </w:rPr>
    </w:lvl>
    <w:lvl w:ilvl="7" w:tplc="460A80D4" w:tentative="1">
      <w:start w:val="1"/>
      <w:numFmt w:val="bullet"/>
      <w:lvlText w:val="•"/>
      <w:lvlJc w:val="left"/>
      <w:pPr>
        <w:tabs>
          <w:tab w:val="num" w:pos="5760"/>
        </w:tabs>
        <w:ind w:left="5760" w:hanging="360"/>
      </w:pPr>
      <w:rPr>
        <w:rFonts w:ascii="Arial" w:hAnsi="Arial" w:hint="default"/>
      </w:rPr>
    </w:lvl>
    <w:lvl w:ilvl="8" w:tplc="A998B1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79F4496"/>
    <w:multiLevelType w:val="hybridMultilevel"/>
    <w:tmpl w:val="F7E80394"/>
    <w:lvl w:ilvl="0" w:tplc="A1EEAA10">
      <w:start w:val="1"/>
      <w:numFmt w:val="bullet"/>
      <w:lvlText w:val="•"/>
      <w:lvlJc w:val="left"/>
      <w:pPr>
        <w:tabs>
          <w:tab w:val="num" w:pos="720"/>
        </w:tabs>
        <w:ind w:left="720" w:hanging="360"/>
      </w:pPr>
      <w:rPr>
        <w:rFonts w:ascii="Arial" w:hAnsi="Arial" w:hint="default"/>
      </w:rPr>
    </w:lvl>
    <w:lvl w:ilvl="1" w:tplc="B74EDDC2" w:tentative="1">
      <w:start w:val="1"/>
      <w:numFmt w:val="bullet"/>
      <w:lvlText w:val="•"/>
      <w:lvlJc w:val="left"/>
      <w:pPr>
        <w:tabs>
          <w:tab w:val="num" w:pos="1440"/>
        </w:tabs>
        <w:ind w:left="1440" w:hanging="360"/>
      </w:pPr>
      <w:rPr>
        <w:rFonts w:ascii="Arial" w:hAnsi="Arial" w:hint="default"/>
      </w:rPr>
    </w:lvl>
    <w:lvl w:ilvl="2" w:tplc="0C883372" w:tentative="1">
      <w:start w:val="1"/>
      <w:numFmt w:val="bullet"/>
      <w:lvlText w:val="•"/>
      <w:lvlJc w:val="left"/>
      <w:pPr>
        <w:tabs>
          <w:tab w:val="num" w:pos="2160"/>
        </w:tabs>
        <w:ind w:left="2160" w:hanging="360"/>
      </w:pPr>
      <w:rPr>
        <w:rFonts w:ascii="Arial" w:hAnsi="Arial" w:hint="default"/>
      </w:rPr>
    </w:lvl>
    <w:lvl w:ilvl="3" w:tplc="129890F6" w:tentative="1">
      <w:start w:val="1"/>
      <w:numFmt w:val="bullet"/>
      <w:lvlText w:val="•"/>
      <w:lvlJc w:val="left"/>
      <w:pPr>
        <w:tabs>
          <w:tab w:val="num" w:pos="2880"/>
        </w:tabs>
        <w:ind w:left="2880" w:hanging="360"/>
      </w:pPr>
      <w:rPr>
        <w:rFonts w:ascii="Arial" w:hAnsi="Arial" w:hint="default"/>
      </w:rPr>
    </w:lvl>
    <w:lvl w:ilvl="4" w:tplc="A912BA7C" w:tentative="1">
      <w:start w:val="1"/>
      <w:numFmt w:val="bullet"/>
      <w:lvlText w:val="•"/>
      <w:lvlJc w:val="left"/>
      <w:pPr>
        <w:tabs>
          <w:tab w:val="num" w:pos="3600"/>
        </w:tabs>
        <w:ind w:left="3600" w:hanging="360"/>
      </w:pPr>
      <w:rPr>
        <w:rFonts w:ascii="Arial" w:hAnsi="Arial" w:hint="default"/>
      </w:rPr>
    </w:lvl>
    <w:lvl w:ilvl="5" w:tplc="B524AE00" w:tentative="1">
      <w:start w:val="1"/>
      <w:numFmt w:val="bullet"/>
      <w:lvlText w:val="•"/>
      <w:lvlJc w:val="left"/>
      <w:pPr>
        <w:tabs>
          <w:tab w:val="num" w:pos="4320"/>
        </w:tabs>
        <w:ind w:left="4320" w:hanging="360"/>
      </w:pPr>
      <w:rPr>
        <w:rFonts w:ascii="Arial" w:hAnsi="Arial" w:hint="default"/>
      </w:rPr>
    </w:lvl>
    <w:lvl w:ilvl="6" w:tplc="E0164DDC" w:tentative="1">
      <w:start w:val="1"/>
      <w:numFmt w:val="bullet"/>
      <w:lvlText w:val="•"/>
      <w:lvlJc w:val="left"/>
      <w:pPr>
        <w:tabs>
          <w:tab w:val="num" w:pos="5040"/>
        </w:tabs>
        <w:ind w:left="5040" w:hanging="360"/>
      </w:pPr>
      <w:rPr>
        <w:rFonts w:ascii="Arial" w:hAnsi="Arial" w:hint="default"/>
      </w:rPr>
    </w:lvl>
    <w:lvl w:ilvl="7" w:tplc="488EF0D2" w:tentative="1">
      <w:start w:val="1"/>
      <w:numFmt w:val="bullet"/>
      <w:lvlText w:val="•"/>
      <w:lvlJc w:val="left"/>
      <w:pPr>
        <w:tabs>
          <w:tab w:val="num" w:pos="5760"/>
        </w:tabs>
        <w:ind w:left="5760" w:hanging="360"/>
      </w:pPr>
      <w:rPr>
        <w:rFonts w:ascii="Arial" w:hAnsi="Arial" w:hint="default"/>
      </w:rPr>
    </w:lvl>
    <w:lvl w:ilvl="8" w:tplc="27542D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3" w15:restartNumberingAfterBreak="0">
    <w:nsid w:val="78FA5F91"/>
    <w:multiLevelType w:val="hybridMultilevel"/>
    <w:tmpl w:val="1FB83A0E"/>
    <w:lvl w:ilvl="0" w:tplc="7E285B6E">
      <w:start w:val="1"/>
      <w:numFmt w:val="bullet"/>
      <w:lvlText w:val="•"/>
      <w:lvlJc w:val="left"/>
      <w:pPr>
        <w:tabs>
          <w:tab w:val="num" w:pos="720"/>
        </w:tabs>
        <w:ind w:left="720" w:hanging="360"/>
      </w:pPr>
      <w:rPr>
        <w:rFonts w:ascii="Arial" w:hAnsi="Arial" w:hint="default"/>
      </w:rPr>
    </w:lvl>
    <w:lvl w:ilvl="1" w:tplc="F65A6D66" w:tentative="1">
      <w:start w:val="1"/>
      <w:numFmt w:val="bullet"/>
      <w:lvlText w:val="•"/>
      <w:lvlJc w:val="left"/>
      <w:pPr>
        <w:tabs>
          <w:tab w:val="num" w:pos="1440"/>
        </w:tabs>
        <w:ind w:left="1440" w:hanging="360"/>
      </w:pPr>
      <w:rPr>
        <w:rFonts w:ascii="Arial" w:hAnsi="Arial" w:hint="default"/>
      </w:rPr>
    </w:lvl>
    <w:lvl w:ilvl="2" w:tplc="3FB6B59A" w:tentative="1">
      <w:start w:val="1"/>
      <w:numFmt w:val="bullet"/>
      <w:lvlText w:val="•"/>
      <w:lvlJc w:val="left"/>
      <w:pPr>
        <w:tabs>
          <w:tab w:val="num" w:pos="2160"/>
        </w:tabs>
        <w:ind w:left="2160" w:hanging="360"/>
      </w:pPr>
      <w:rPr>
        <w:rFonts w:ascii="Arial" w:hAnsi="Arial" w:hint="default"/>
      </w:rPr>
    </w:lvl>
    <w:lvl w:ilvl="3" w:tplc="7AB02CCA" w:tentative="1">
      <w:start w:val="1"/>
      <w:numFmt w:val="bullet"/>
      <w:lvlText w:val="•"/>
      <w:lvlJc w:val="left"/>
      <w:pPr>
        <w:tabs>
          <w:tab w:val="num" w:pos="2880"/>
        </w:tabs>
        <w:ind w:left="2880" w:hanging="360"/>
      </w:pPr>
      <w:rPr>
        <w:rFonts w:ascii="Arial" w:hAnsi="Arial" w:hint="default"/>
      </w:rPr>
    </w:lvl>
    <w:lvl w:ilvl="4" w:tplc="B82ABB18" w:tentative="1">
      <w:start w:val="1"/>
      <w:numFmt w:val="bullet"/>
      <w:lvlText w:val="•"/>
      <w:lvlJc w:val="left"/>
      <w:pPr>
        <w:tabs>
          <w:tab w:val="num" w:pos="3600"/>
        </w:tabs>
        <w:ind w:left="3600" w:hanging="360"/>
      </w:pPr>
      <w:rPr>
        <w:rFonts w:ascii="Arial" w:hAnsi="Arial" w:hint="default"/>
      </w:rPr>
    </w:lvl>
    <w:lvl w:ilvl="5" w:tplc="02CA5AB0" w:tentative="1">
      <w:start w:val="1"/>
      <w:numFmt w:val="bullet"/>
      <w:lvlText w:val="•"/>
      <w:lvlJc w:val="left"/>
      <w:pPr>
        <w:tabs>
          <w:tab w:val="num" w:pos="4320"/>
        </w:tabs>
        <w:ind w:left="4320" w:hanging="360"/>
      </w:pPr>
      <w:rPr>
        <w:rFonts w:ascii="Arial" w:hAnsi="Arial" w:hint="default"/>
      </w:rPr>
    </w:lvl>
    <w:lvl w:ilvl="6" w:tplc="69BCD730" w:tentative="1">
      <w:start w:val="1"/>
      <w:numFmt w:val="bullet"/>
      <w:lvlText w:val="•"/>
      <w:lvlJc w:val="left"/>
      <w:pPr>
        <w:tabs>
          <w:tab w:val="num" w:pos="5040"/>
        </w:tabs>
        <w:ind w:left="5040" w:hanging="360"/>
      </w:pPr>
      <w:rPr>
        <w:rFonts w:ascii="Arial" w:hAnsi="Arial" w:hint="default"/>
      </w:rPr>
    </w:lvl>
    <w:lvl w:ilvl="7" w:tplc="DA603CD6" w:tentative="1">
      <w:start w:val="1"/>
      <w:numFmt w:val="bullet"/>
      <w:lvlText w:val="•"/>
      <w:lvlJc w:val="left"/>
      <w:pPr>
        <w:tabs>
          <w:tab w:val="num" w:pos="5760"/>
        </w:tabs>
        <w:ind w:left="5760" w:hanging="360"/>
      </w:pPr>
      <w:rPr>
        <w:rFonts w:ascii="Arial" w:hAnsi="Arial" w:hint="default"/>
      </w:rPr>
    </w:lvl>
    <w:lvl w:ilvl="8" w:tplc="607C09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2"/>
  </w:num>
  <w:num w:numId="3">
    <w:abstractNumId w:val="20"/>
  </w:num>
  <w:num w:numId="4">
    <w:abstractNumId w:val="13"/>
  </w:num>
  <w:num w:numId="5">
    <w:abstractNumId w:val="14"/>
  </w:num>
  <w:num w:numId="6">
    <w:abstractNumId w:val="1"/>
  </w:num>
  <w:num w:numId="7">
    <w:abstractNumId w:val="3"/>
  </w:num>
  <w:num w:numId="8">
    <w:abstractNumId w:val="6"/>
  </w:num>
  <w:num w:numId="9">
    <w:abstractNumId w:val="8"/>
  </w:num>
  <w:num w:numId="10">
    <w:abstractNumId w:val="9"/>
  </w:num>
  <w:num w:numId="11">
    <w:abstractNumId w:val="11"/>
  </w:num>
  <w:num w:numId="12">
    <w:abstractNumId w:val="10"/>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18"/>
  </w:num>
  <w:num w:numId="23">
    <w:abstractNumId w:val="19"/>
  </w:num>
  <w:num w:numId="24">
    <w:abstractNumId w:val="9"/>
  </w:num>
  <w:num w:numId="25">
    <w:abstractNumId w:val="18"/>
  </w:num>
  <w:num w:numId="26">
    <w:abstractNumId w:val="15"/>
  </w:num>
  <w:num w:numId="27">
    <w:abstractNumId w:val="4"/>
  </w:num>
  <w:num w:numId="28">
    <w:abstractNumId w:val="12"/>
  </w:num>
  <w:num w:numId="29">
    <w:abstractNumId w:val="17"/>
  </w:num>
  <w:num w:numId="30">
    <w:abstractNumId w:val="7"/>
  </w:num>
  <w:num w:numId="31">
    <w:abstractNumId w:val="0"/>
  </w:num>
  <w:num w:numId="32">
    <w:abstractNumId w:val="23"/>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DB"/>
    <w:rsid w:val="00000441"/>
    <w:rsid w:val="00006590"/>
    <w:rsid w:val="000069A4"/>
    <w:rsid w:val="000069F9"/>
    <w:rsid w:val="0000727D"/>
    <w:rsid w:val="000119FB"/>
    <w:rsid w:val="00014990"/>
    <w:rsid w:val="00016A22"/>
    <w:rsid w:val="00016E5E"/>
    <w:rsid w:val="0001704E"/>
    <w:rsid w:val="00017610"/>
    <w:rsid w:val="00020144"/>
    <w:rsid w:val="000205C6"/>
    <w:rsid w:val="00020B08"/>
    <w:rsid w:val="00021FB0"/>
    <w:rsid w:val="000221AA"/>
    <w:rsid w:val="0002331F"/>
    <w:rsid w:val="00023F26"/>
    <w:rsid w:val="000249F8"/>
    <w:rsid w:val="00024E2F"/>
    <w:rsid w:val="00026E82"/>
    <w:rsid w:val="000304DB"/>
    <w:rsid w:val="00030676"/>
    <w:rsid w:val="00030714"/>
    <w:rsid w:val="0003322C"/>
    <w:rsid w:val="00034110"/>
    <w:rsid w:val="00035AC1"/>
    <w:rsid w:val="000368FC"/>
    <w:rsid w:val="000376EE"/>
    <w:rsid w:val="0004009C"/>
    <w:rsid w:val="000421F8"/>
    <w:rsid w:val="00043262"/>
    <w:rsid w:val="00043540"/>
    <w:rsid w:val="00045528"/>
    <w:rsid w:val="0004562B"/>
    <w:rsid w:val="00052063"/>
    <w:rsid w:val="00055D39"/>
    <w:rsid w:val="00055DDF"/>
    <w:rsid w:val="00057724"/>
    <w:rsid w:val="00061C83"/>
    <w:rsid w:val="0006624B"/>
    <w:rsid w:val="000711F1"/>
    <w:rsid w:val="00071D1D"/>
    <w:rsid w:val="00073DA8"/>
    <w:rsid w:val="000755E6"/>
    <w:rsid w:val="00075BE9"/>
    <w:rsid w:val="000764D3"/>
    <w:rsid w:val="00076BBF"/>
    <w:rsid w:val="00080A47"/>
    <w:rsid w:val="00082F77"/>
    <w:rsid w:val="000859DE"/>
    <w:rsid w:val="00085C5A"/>
    <w:rsid w:val="000862FC"/>
    <w:rsid w:val="00087323"/>
    <w:rsid w:val="000879ED"/>
    <w:rsid w:val="00087B8B"/>
    <w:rsid w:val="00091081"/>
    <w:rsid w:val="00093649"/>
    <w:rsid w:val="00095189"/>
    <w:rsid w:val="00096246"/>
    <w:rsid w:val="000A04C5"/>
    <w:rsid w:val="000A0A6E"/>
    <w:rsid w:val="000A4016"/>
    <w:rsid w:val="000A6C40"/>
    <w:rsid w:val="000B1027"/>
    <w:rsid w:val="000B70D6"/>
    <w:rsid w:val="000B7F7A"/>
    <w:rsid w:val="000C04A1"/>
    <w:rsid w:val="000C0783"/>
    <w:rsid w:val="000C141E"/>
    <w:rsid w:val="000C194F"/>
    <w:rsid w:val="000C1D7B"/>
    <w:rsid w:val="000C2222"/>
    <w:rsid w:val="000C7788"/>
    <w:rsid w:val="000C7E39"/>
    <w:rsid w:val="000D09ED"/>
    <w:rsid w:val="000D0A87"/>
    <w:rsid w:val="000D0FB1"/>
    <w:rsid w:val="000D11B8"/>
    <w:rsid w:val="000D145B"/>
    <w:rsid w:val="000D6016"/>
    <w:rsid w:val="000D7185"/>
    <w:rsid w:val="000E1CED"/>
    <w:rsid w:val="000E24BD"/>
    <w:rsid w:val="000E29D1"/>
    <w:rsid w:val="000E6F19"/>
    <w:rsid w:val="000F098F"/>
    <w:rsid w:val="000F1B3B"/>
    <w:rsid w:val="000F1E3F"/>
    <w:rsid w:val="000F3DBC"/>
    <w:rsid w:val="000F48EC"/>
    <w:rsid w:val="000F5D8D"/>
    <w:rsid w:val="000F730F"/>
    <w:rsid w:val="001017A9"/>
    <w:rsid w:val="00101F34"/>
    <w:rsid w:val="00102E8C"/>
    <w:rsid w:val="001030E1"/>
    <w:rsid w:val="001033D5"/>
    <w:rsid w:val="001039F7"/>
    <w:rsid w:val="00105409"/>
    <w:rsid w:val="00106773"/>
    <w:rsid w:val="00107DBD"/>
    <w:rsid w:val="00110647"/>
    <w:rsid w:val="00110935"/>
    <w:rsid w:val="00113666"/>
    <w:rsid w:val="00115D52"/>
    <w:rsid w:val="001169FE"/>
    <w:rsid w:val="00116D19"/>
    <w:rsid w:val="00117513"/>
    <w:rsid w:val="001209CD"/>
    <w:rsid w:val="00121E78"/>
    <w:rsid w:val="00122B0F"/>
    <w:rsid w:val="001230AC"/>
    <w:rsid w:val="00123F4B"/>
    <w:rsid w:val="00124604"/>
    <w:rsid w:val="001265C0"/>
    <w:rsid w:val="0013321B"/>
    <w:rsid w:val="001337B7"/>
    <w:rsid w:val="00133921"/>
    <w:rsid w:val="00134432"/>
    <w:rsid w:val="001344B3"/>
    <w:rsid w:val="00140C93"/>
    <w:rsid w:val="00143536"/>
    <w:rsid w:val="001439EF"/>
    <w:rsid w:val="00145B2F"/>
    <w:rsid w:val="001464B2"/>
    <w:rsid w:val="00150440"/>
    <w:rsid w:val="00151D8E"/>
    <w:rsid w:val="00153687"/>
    <w:rsid w:val="001570BC"/>
    <w:rsid w:val="001579BF"/>
    <w:rsid w:val="00161A05"/>
    <w:rsid w:val="00161AA0"/>
    <w:rsid w:val="00163BE9"/>
    <w:rsid w:val="001645C9"/>
    <w:rsid w:val="001662BC"/>
    <w:rsid w:val="0017072D"/>
    <w:rsid w:val="00170B60"/>
    <w:rsid w:val="00171A2B"/>
    <w:rsid w:val="00176FB2"/>
    <w:rsid w:val="001823EB"/>
    <w:rsid w:val="00184A64"/>
    <w:rsid w:val="0018716E"/>
    <w:rsid w:val="001873CB"/>
    <w:rsid w:val="00191B56"/>
    <w:rsid w:val="00193945"/>
    <w:rsid w:val="00193DE7"/>
    <w:rsid w:val="00194635"/>
    <w:rsid w:val="001956FC"/>
    <w:rsid w:val="00196FE1"/>
    <w:rsid w:val="0019718A"/>
    <w:rsid w:val="001A1AE2"/>
    <w:rsid w:val="001A5561"/>
    <w:rsid w:val="001B2971"/>
    <w:rsid w:val="001B2DD8"/>
    <w:rsid w:val="001B7677"/>
    <w:rsid w:val="001B7B19"/>
    <w:rsid w:val="001B7E00"/>
    <w:rsid w:val="001C0EF4"/>
    <w:rsid w:val="001C59E4"/>
    <w:rsid w:val="001D0CCA"/>
    <w:rsid w:val="001D1D43"/>
    <w:rsid w:val="001D419A"/>
    <w:rsid w:val="001D715E"/>
    <w:rsid w:val="001D7255"/>
    <w:rsid w:val="001E24D2"/>
    <w:rsid w:val="001E27E5"/>
    <w:rsid w:val="001E2CAF"/>
    <w:rsid w:val="001E4D37"/>
    <w:rsid w:val="001F1400"/>
    <w:rsid w:val="001F6078"/>
    <w:rsid w:val="001F7251"/>
    <w:rsid w:val="001F7CAD"/>
    <w:rsid w:val="00200777"/>
    <w:rsid w:val="00204F82"/>
    <w:rsid w:val="0021081C"/>
    <w:rsid w:val="00211903"/>
    <w:rsid w:val="002119CD"/>
    <w:rsid w:val="002159C9"/>
    <w:rsid w:val="002161CB"/>
    <w:rsid w:val="002163DD"/>
    <w:rsid w:val="00217FB0"/>
    <w:rsid w:val="002218BC"/>
    <w:rsid w:val="00221E68"/>
    <w:rsid w:val="00222BEA"/>
    <w:rsid w:val="00225439"/>
    <w:rsid w:val="00225F9B"/>
    <w:rsid w:val="002314B6"/>
    <w:rsid w:val="00232061"/>
    <w:rsid w:val="00235945"/>
    <w:rsid w:val="00235C8E"/>
    <w:rsid w:val="00235CAB"/>
    <w:rsid w:val="00242F97"/>
    <w:rsid w:val="00243CEC"/>
    <w:rsid w:val="0024549E"/>
    <w:rsid w:val="00245B96"/>
    <w:rsid w:val="0024645B"/>
    <w:rsid w:val="00253EB9"/>
    <w:rsid w:val="002555BE"/>
    <w:rsid w:val="00255679"/>
    <w:rsid w:val="00257B1C"/>
    <w:rsid w:val="002614EA"/>
    <w:rsid w:val="00265B0E"/>
    <w:rsid w:val="00277328"/>
    <w:rsid w:val="00277FCA"/>
    <w:rsid w:val="00282C30"/>
    <w:rsid w:val="00282D56"/>
    <w:rsid w:val="00282D7E"/>
    <w:rsid w:val="0028322E"/>
    <w:rsid w:val="00285AE7"/>
    <w:rsid w:val="00285E14"/>
    <w:rsid w:val="00290445"/>
    <w:rsid w:val="00292044"/>
    <w:rsid w:val="00293811"/>
    <w:rsid w:val="00294526"/>
    <w:rsid w:val="00295895"/>
    <w:rsid w:val="002A136A"/>
    <w:rsid w:val="002A151A"/>
    <w:rsid w:val="002A1D61"/>
    <w:rsid w:val="002A2687"/>
    <w:rsid w:val="002A54DC"/>
    <w:rsid w:val="002A5C23"/>
    <w:rsid w:val="002A686F"/>
    <w:rsid w:val="002A7F79"/>
    <w:rsid w:val="002B1A6C"/>
    <w:rsid w:val="002B3340"/>
    <w:rsid w:val="002B5772"/>
    <w:rsid w:val="002B6D1D"/>
    <w:rsid w:val="002B733F"/>
    <w:rsid w:val="002B7C9B"/>
    <w:rsid w:val="002C0551"/>
    <w:rsid w:val="002C0710"/>
    <w:rsid w:val="002C257D"/>
    <w:rsid w:val="002C2774"/>
    <w:rsid w:val="002C381D"/>
    <w:rsid w:val="002C43EA"/>
    <w:rsid w:val="002C7D7F"/>
    <w:rsid w:val="002D33C8"/>
    <w:rsid w:val="002D7838"/>
    <w:rsid w:val="002D79A7"/>
    <w:rsid w:val="002E3F68"/>
    <w:rsid w:val="002E5C16"/>
    <w:rsid w:val="002E73E7"/>
    <w:rsid w:val="002F0AA7"/>
    <w:rsid w:val="002F1B28"/>
    <w:rsid w:val="002F2583"/>
    <w:rsid w:val="002F279A"/>
    <w:rsid w:val="002F2C1A"/>
    <w:rsid w:val="002F4F5B"/>
    <w:rsid w:val="002F58CA"/>
    <w:rsid w:val="002F68FE"/>
    <w:rsid w:val="002F7D76"/>
    <w:rsid w:val="00300DF8"/>
    <w:rsid w:val="00302696"/>
    <w:rsid w:val="0030272F"/>
    <w:rsid w:val="00303156"/>
    <w:rsid w:val="003107AB"/>
    <w:rsid w:val="0031127A"/>
    <w:rsid w:val="00311A01"/>
    <w:rsid w:val="00313556"/>
    <w:rsid w:val="003154E8"/>
    <w:rsid w:val="00315C29"/>
    <w:rsid w:val="0031664C"/>
    <w:rsid w:val="00321D69"/>
    <w:rsid w:val="00324997"/>
    <w:rsid w:val="00324E5D"/>
    <w:rsid w:val="003256B1"/>
    <w:rsid w:val="00331545"/>
    <w:rsid w:val="003321B8"/>
    <w:rsid w:val="003330E6"/>
    <w:rsid w:val="0033333E"/>
    <w:rsid w:val="003368C0"/>
    <w:rsid w:val="003373BE"/>
    <w:rsid w:val="00340413"/>
    <w:rsid w:val="00343439"/>
    <w:rsid w:val="00343B53"/>
    <w:rsid w:val="003459E9"/>
    <w:rsid w:val="00345F48"/>
    <w:rsid w:val="00346BA7"/>
    <w:rsid w:val="00354915"/>
    <w:rsid w:val="003567D8"/>
    <w:rsid w:val="0036391F"/>
    <w:rsid w:val="00364E30"/>
    <w:rsid w:val="00372031"/>
    <w:rsid w:val="003738C2"/>
    <w:rsid w:val="00375D8F"/>
    <w:rsid w:val="003779C3"/>
    <w:rsid w:val="00382F0B"/>
    <w:rsid w:val="00383594"/>
    <w:rsid w:val="00384753"/>
    <w:rsid w:val="003847B9"/>
    <w:rsid w:val="00385E85"/>
    <w:rsid w:val="0039083E"/>
    <w:rsid w:val="00390C00"/>
    <w:rsid w:val="00391154"/>
    <w:rsid w:val="0039118D"/>
    <w:rsid w:val="00391AC8"/>
    <w:rsid w:val="00392FB4"/>
    <w:rsid w:val="00394DFF"/>
    <w:rsid w:val="00395C05"/>
    <w:rsid w:val="00395F61"/>
    <w:rsid w:val="003961C2"/>
    <w:rsid w:val="003963C3"/>
    <w:rsid w:val="003A003E"/>
    <w:rsid w:val="003A0093"/>
    <w:rsid w:val="003A0250"/>
    <w:rsid w:val="003A04CD"/>
    <w:rsid w:val="003A11AB"/>
    <w:rsid w:val="003A1F14"/>
    <w:rsid w:val="003A2DC0"/>
    <w:rsid w:val="003A3669"/>
    <w:rsid w:val="003A3974"/>
    <w:rsid w:val="003A5838"/>
    <w:rsid w:val="003B0BC2"/>
    <w:rsid w:val="003B33EB"/>
    <w:rsid w:val="003B37BB"/>
    <w:rsid w:val="003B575B"/>
    <w:rsid w:val="003C0A9D"/>
    <w:rsid w:val="003C36AC"/>
    <w:rsid w:val="003C6321"/>
    <w:rsid w:val="003C7EF9"/>
    <w:rsid w:val="003D5C1D"/>
    <w:rsid w:val="003D68D5"/>
    <w:rsid w:val="003D7050"/>
    <w:rsid w:val="003E14CF"/>
    <w:rsid w:val="003E684C"/>
    <w:rsid w:val="003F0390"/>
    <w:rsid w:val="003F168A"/>
    <w:rsid w:val="003F4945"/>
    <w:rsid w:val="0040010B"/>
    <w:rsid w:val="00407D59"/>
    <w:rsid w:val="0041525E"/>
    <w:rsid w:val="00415939"/>
    <w:rsid w:val="00417FA0"/>
    <w:rsid w:val="00420742"/>
    <w:rsid w:val="00421005"/>
    <w:rsid w:val="00431372"/>
    <w:rsid w:val="00431D6E"/>
    <w:rsid w:val="00433564"/>
    <w:rsid w:val="00437CA3"/>
    <w:rsid w:val="0044027B"/>
    <w:rsid w:val="004408F8"/>
    <w:rsid w:val="00445812"/>
    <w:rsid w:val="0044648F"/>
    <w:rsid w:val="00446DA2"/>
    <w:rsid w:val="00447122"/>
    <w:rsid w:val="00451A0B"/>
    <w:rsid w:val="00457843"/>
    <w:rsid w:val="0046145C"/>
    <w:rsid w:val="00462002"/>
    <w:rsid w:val="0046212F"/>
    <w:rsid w:val="00462733"/>
    <w:rsid w:val="00463227"/>
    <w:rsid w:val="00463973"/>
    <w:rsid w:val="00464303"/>
    <w:rsid w:val="00466674"/>
    <w:rsid w:val="00471113"/>
    <w:rsid w:val="00471200"/>
    <w:rsid w:val="00472FF8"/>
    <w:rsid w:val="00473FCE"/>
    <w:rsid w:val="00475F03"/>
    <w:rsid w:val="004804B3"/>
    <w:rsid w:val="00481E06"/>
    <w:rsid w:val="004820E9"/>
    <w:rsid w:val="00482176"/>
    <w:rsid w:val="004822B5"/>
    <w:rsid w:val="00483119"/>
    <w:rsid w:val="0048361F"/>
    <w:rsid w:val="00483DEE"/>
    <w:rsid w:val="004845D0"/>
    <w:rsid w:val="0048486B"/>
    <w:rsid w:val="004852FF"/>
    <w:rsid w:val="004921C3"/>
    <w:rsid w:val="00492FDA"/>
    <w:rsid w:val="00494E73"/>
    <w:rsid w:val="00495E58"/>
    <w:rsid w:val="00496327"/>
    <w:rsid w:val="004A2283"/>
    <w:rsid w:val="004A2830"/>
    <w:rsid w:val="004B3CCF"/>
    <w:rsid w:val="004B514C"/>
    <w:rsid w:val="004B7D57"/>
    <w:rsid w:val="004C00D8"/>
    <w:rsid w:val="004C0B9F"/>
    <w:rsid w:val="004C14F9"/>
    <w:rsid w:val="004C3DAD"/>
    <w:rsid w:val="004C5923"/>
    <w:rsid w:val="004C5CD2"/>
    <w:rsid w:val="004C6116"/>
    <w:rsid w:val="004C7C61"/>
    <w:rsid w:val="004D0DFD"/>
    <w:rsid w:val="004D1FBE"/>
    <w:rsid w:val="004D33A0"/>
    <w:rsid w:val="004D4A86"/>
    <w:rsid w:val="004D6417"/>
    <w:rsid w:val="004D7664"/>
    <w:rsid w:val="004E074F"/>
    <w:rsid w:val="004E1A85"/>
    <w:rsid w:val="004E3280"/>
    <w:rsid w:val="004E6427"/>
    <w:rsid w:val="004E7625"/>
    <w:rsid w:val="004E7E43"/>
    <w:rsid w:val="004F092B"/>
    <w:rsid w:val="004F1956"/>
    <w:rsid w:val="004F1AB9"/>
    <w:rsid w:val="004F5FC6"/>
    <w:rsid w:val="004F69FA"/>
    <w:rsid w:val="005000C4"/>
    <w:rsid w:val="005037B2"/>
    <w:rsid w:val="0050455E"/>
    <w:rsid w:val="005047AD"/>
    <w:rsid w:val="00507F5F"/>
    <w:rsid w:val="00510B1D"/>
    <w:rsid w:val="0051107D"/>
    <w:rsid w:val="00511167"/>
    <w:rsid w:val="005240D3"/>
    <w:rsid w:val="00526C07"/>
    <w:rsid w:val="005273A6"/>
    <w:rsid w:val="00527533"/>
    <w:rsid w:val="00527E88"/>
    <w:rsid w:val="0053387C"/>
    <w:rsid w:val="00534F74"/>
    <w:rsid w:val="00535EE6"/>
    <w:rsid w:val="00536789"/>
    <w:rsid w:val="00536D2F"/>
    <w:rsid w:val="00540052"/>
    <w:rsid w:val="0054146B"/>
    <w:rsid w:val="00541C7D"/>
    <w:rsid w:val="0054233E"/>
    <w:rsid w:val="00543DB4"/>
    <w:rsid w:val="00543E08"/>
    <w:rsid w:val="005449AD"/>
    <w:rsid w:val="00546D78"/>
    <w:rsid w:val="005505ED"/>
    <w:rsid w:val="00556605"/>
    <w:rsid w:val="00557C5D"/>
    <w:rsid w:val="00562F99"/>
    <w:rsid w:val="00563933"/>
    <w:rsid w:val="00564B04"/>
    <w:rsid w:val="00566F40"/>
    <w:rsid w:val="00570524"/>
    <w:rsid w:val="00573059"/>
    <w:rsid w:val="00575624"/>
    <w:rsid w:val="00575F84"/>
    <w:rsid w:val="0057621E"/>
    <w:rsid w:val="00576392"/>
    <w:rsid w:val="00577B05"/>
    <w:rsid w:val="00580D6F"/>
    <w:rsid w:val="00580D80"/>
    <w:rsid w:val="005812C6"/>
    <w:rsid w:val="005830C4"/>
    <w:rsid w:val="0058382A"/>
    <w:rsid w:val="00587671"/>
    <w:rsid w:val="005948FA"/>
    <w:rsid w:val="005959BE"/>
    <w:rsid w:val="00596210"/>
    <w:rsid w:val="00596243"/>
    <w:rsid w:val="00596286"/>
    <w:rsid w:val="00596999"/>
    <w:rsid w:val="005969C4"/>
    <w:rsid w:val="005A0F31"/>
    <w:rsid w:val="005A28A1"/>
    <w:rsid w:val="005A46D0"/>
    <w:rsid w:val="005A6FB5"/>
    <w:rsid w:val="005B0F52"/>
    <w:rsid w:val="005B25E4"/>
    <w:rsid w:val="005B29AA"/>
    <w:rsid w:val="005B30C8"/>
    <w:rsid w:val="005B7778"/>
    <w:rsid w:val="005C051F"/>
    <w:rsid w:val="005C15A3"/>
    <w:rsid w:val="005C6E7B"/>
    <w:rsid w:val="005C762E"/>
    <w:rsid w:val="005D098C"/>
    <w:rsid w:val="005D311B"/>
    <w:rsid w:val="005D3FD9"/>
    <w:rsid w:val="005E2139"/>
    <w:rsid w:val="005E3F22"/>
    <w:rsid w:val="005E46BB"/>
    <w:rsid w:val="005E7605"/>
    <w:rsid w:val="005F2979"/>
    <w:rsid w:val="005F35D9"/>
    <w:rsid w:val="005F4372"/>
    <w:rsid w:val="005F5BEA"/>
    <w:rsid w:val="005F67A8"/>
    <w:rsid w:val="006001CC"/>
    <w:rsid w:val="00602B4D"/>
    <w:rsid w:val="00603C94"/>
    <w:rsid w:val="00604773"/>
    <w:rsid w:val="006048E0"/>
    <w:rsid w:val="00604FAD"/>
    <w:rsid w:val="0060662A"/>
    <w:rsid w:val="00607C68"/>
    <w:rsid w:val="006100CA"/>
    <w:rsid w:val="00611B19"/>
    <w:rsid w:val="006121E5"/>
    <w:rsid w:val="00612789"/>
    <w:rsid w:val="00613D24"/>
    <w:rsid w:val="00614BDA"/>
    <w:rsid w:val="00621AFB"/>
    <w:rsid w:val="00622130"/>
    <w:rsid w:val="0062589A"/>
    <w:rsid w:val="006307C7"/>
    <w:rsid w:val="00632B82"/>
    <w:rsid w:val="006331B4"/>
    <w:rsid w:val="006343F3"/>
    <w:rsid w:val="00640CF2"/>
    <w:rsid w:val="006417D6"/>
    <w:rsid w:val="00642906"/>
    <w:rsid w:val="00643582"/>
    <w:rsid w:val="00643B75"/>
    <w:rsid w:val="006457EF"/>
    <w:rsid w:val="00650F96"/>
    <w:rsid w:val="006512B7"/>
    <w:rsid w:val="00651C22"/>
    <w:rsid w:val="006527E6"/>
    <w:rsid w:val="00652D8D"/>
    <w:rsid w:val="00653797"/>
    <w:rsid w:val="00655679"/>
    <w:rsid w:val="00655B4D"/>
    <w:rsid w:val="00655ED5"/>
    <w:rsid w:val="00660B77"/>
    <w:rsid w:val="00665124"/>
    <w:rsid w:val="00665189"/>
    <w:rsid w:val="00665734"/>
    <w:rsid w:val="0067175C"/>
    <w:rsid w:val="00671977"/>
    <w:rsid w:val="00671D80"/>
    <w:rsid w:val="00672EFB"/>
    <w:rsid w:val="006739CF"/>
    <w:rsid w:val="00674588"/>
    <w:rsid w:val="0067752C"/>
    <w:rsid w:val="006776A2"/>
    <w:rsid w:val="006801A6"/>
    <w:rsid w:val="0068124B"/>
    <w:rsid w:val="00681610"/>
    <w:rsid w:val="00684AD6"/>
    <w:rsid w:val="00685D36"/>
    <w:rsid w:val="00686441"/>
    <w:rsid w:val="00687304"/>
    <w:rsid w:val="00692C71"/>
    <w:rsid w:val="006931A0"/>
    <w:rsid w:val="006935BC"/>
    <w:rsid w:val="00696E55"/>
    <w:rsid w:val="00697BE6"/>
    <w:rsid w:val="006A0B0E"/>
    <w:rsid w:val="006A3A9C"/>
    <w:rsid w:val="006A3CC5"/>
    <w:rsid w:val="006A438C"/>
    <w:rsid w:val="006A5063"/>
    <w:rsid w:val="006A7199"/>
    <w:rsid w:val="006A721F"/>
    <w:rsid w:val="006A7CCF"/>
    <w:rsid w:val="006B0581"/>
    <w:rsid w:val="006B0F36"/>
    <w:rsid w:val="006B30FD"/>
    <w:rsid w:val="006B413D"/>
    <w:rsid w:val="006B4254"/>
    <w:rsid w:val="006B5CB4"/>
    <w:rsid w:val="006B6DCF"/>
    <w:rsid w:val="006B791B"/>
    <w:rsid w:val="006C2554"/>
    <w:rsid w:val="006C4793"/>
    <w:rsid w:val="006D0C54"/>
    <w:rsid w:val="006D36FB"/>
    <w:rsid w:val="006D42ED"/>
    <w:rsid w:val="006D4D1A"/>
    <w:rsid w:val="006D6FF5"/>
    <w:rsid w:val="006D73F1"/>
    <w:rsid w:val="006E03CB"/>
    <w:rsid w:val="006E2A29"/>
    <w:rsid w:val="006E3514"/>
    <w:rsid w:val="006E7421"/>
    <w:rsid w:val="006E7647"/>
    <w:rsid w:val="006F162C"/>
    <w:rsid w:val="006F1DA8"/>
    <w:rsid w:val="006F22E9"/>
    <w:rsid w:val="006F4A21"/>
    <w:rsid w:val="006F4CFA"/>
    <w:rsid w:val="006F5310"/>
    <w:rsid w:val="006F696E"/>
    <w:rsid w:val="006F6B91"/>
    <w:rsid w:val="00700D4C"/>
    <w:rsid w:val="007024C2"/>
    <w:rsid w:val="007040CB"/>
    <w:rsid w:val="0070523B"/>
    <w:rsid w:val="00707D16"/>
    <w:rsid w:val="007105A4"/>
    <w:rsid w:val="00711388"/>
    <w:rsid w:val="00715E8A"/>
    <w:rsid w:val="00717226"/>
    <w:rsid w:val="00720FDD"/>
    <w:rsid w:val="00722883"/>
    <w:rsid w:val="00723AF0"/>
    <w:rsid w:val="00727911"/>
    <w:rsid w:val="0073007E"/>
    <w:rsid w:val="007311E2"/>
    <w:rsid w:val="00732519"/>
    <w:rsid w:val="0073365B"/>
    <w:rsid w:val="00734F5A"/>
    <w:rsid w:val="0073579D"/>
    <w:rsid w:val="00735FC4"/>
    <w:rsid w:val="00736D97"/>
    <w:rsid w:val="00737CEF"/>
    <w:rsid w:val="00737DDA"/>
    <w:rsid w:val="00744390"/>
    <w:rsid w:val="00746B57"/>
    <w:rsid w:val="00746B6B"/>
    <w:rsid w:val="00747D90"/>
    <w:rsid w:val="007501B9"/>
    <w:rsid w:val="00751CB9"/>
    <w:rsid w:val="00751FF1"/>
    <w:rsid w:val="00752B3D"/>
    <w:rsid w:val="007539A9"/>
    <w:rsid w:val="00753D7D"/>
    <w:rsid w:val="0075624F"/>
    <w:rsid w:val="00756580"/>
    <w:rsid w:val="00756D96"/>
    <w:rsid w:val="00757684"/>
    <w:rsid w:val="00761D27"/>
    <w:rsid w:val="007620C2"/>
    <w:rsid w:val="0076212D"/>
    <w:rsid w:val="00763641"/>
    <w:rsid w:val="00765018"/>
    <w:rsid w:val="007650FE"/>
    <w:rsid w:val="0076584A"/>
    <w:rsid w:val="007668BA"/>
    <w:rsid w:val="00770596"/>
    <w:rsid w:val="0077277D"/>
    <w:rsid w:val="007747D4"/>
    <w:rsid w:val="0077490D"/>
    <w:rsid w:val="00774963"/>
    <w:rsid w:val="00775A3A"/>
    <w:rsid w:val="00776327"/>
    <w:rsid w:val="00781B7F"/>
    <w:rsid w:val="00782DCB"/>
    <w:rsid w:val="00784156"/>
    <w:rsid w:val="00784BC0"/>
    <w:rsid w:val="00785982"/>
    <w:rsid w:val="00791280"/>
    <w:rsid w:val="007933B3"/>
    <w:rsid w:val="007945AD"/>
    <w:rsid w:val="00794D72"/>
    <w:rsid w:val="0079570B"/>
    <w:rsid w:val="007A048E"/>
    <w:rsid w:val="007A19AF"/>
    <w:rsid w:val="007A1E9D"/>
    <w:rsid w:val="007A2801"/>
    <w:rsid w:val="007A4EEE"/>
    <w:rsid w:val="007A6DAA"/>
    <w:rsid w:val="007A7EC8"/>
    <w:rsid w:val="007B032C"/>
    <w:rsid w:val="007B1669"/>
    <w:rsid w:val="007B1AF8"/>
    <w:rsid w:val="007B2126"/>
    <w:rsid w:val="007B2A16"/>
    <w:rsid w:val="007B4318"/>
    <w:rsid w:val="007B4B3F"/>
    <w:rsid w:val="007B665A"/>
    <w:rsid w:val="007B787D"/>
    <w:rsid w:val="007B7B7B"/>
    <w:rsid w:val="007C04E5"/>
    <w:rsid w:val="007C3165"/>
    <w:rsid w:val="007C41AF"/>
    <w:rsid w:val="007C5713"/>
    <w:rsid w:val="007C58D6"/>
    <w:rsid w:val="007C732D"/>
    <w:rsid w:val="007D0ADB"/>
    <w:rsid w:val="007D1008"/>
    <w:rsid w:val="007D4327"/>
    <w:rsid w:val="007D5B27"/>
    <w:rsid w:val="007D5C80"/>
    <w:rsid w:val="007D62AE"/>
    <w:rsid w:val="007D734B"/>
    <w:rsid w:val="007E013D"/>
    <w:rsid w:val="007E08EA"/>
    <w:rsid w:val="007E2754"/>
    <w:rsid w:val="007E5818"/>
    <w:rsid w:val="007E61A7"/>
    <w:rsid w:val="007E65D7"/>
    <w:rsid w:val="007F19C9"/>
    <w:rsid w:val="007F20B3"/>
    <w:rsid w:val="007F227E"/>
    <w:rsid w:val="007F6113"/>
    <w:rsid w:val="0080089C"/>
    <w:rsid w:val="00803318"/>
    <w:rsid w:val="00803456"/>
    <w:rsid w:val="0080386D"/>
    <w:rsid w:val="0080390A"/>
    <w:rsid w:val="00804939"/>
    <w:rsid w:val="00805946"/>
    <w:rsid w:val="00810B17"/>
    <w:rsid w:val="00811BBD"/>
    <w:rsid w:val="00812976"/>
    <w:rsid w:val="00814DEF"/>
    <w:rsid w:val="0082239E"/>
    <w:rsid w:val="00825A87"/>
    <w:rsid w:val="008319E0"/>
    <w:rsid w:val="00831B9B"/>
    <w:rsid w:val="00832608"/>
    <w:rsid w:val="0083433D"/>
    <w:rsid w:val="00835008"/>
    <w:rsid w:val="00842A7E"/>
    <w:rsid w:val="008445E9"/>
    <w:rsid w:val="00844D3D"/>
    <w:rsid w:val="0084532E"/>
    <w:rsid w:val="00845810"/>
    <w:rsid w:val="00845F3C"/>
    <w:rsid w:val="00846159"/>
    <w:rsid w:val="008505C3"/>
    <w:rsid w:val="00851677"/>
    <w:rsid w:val="008522C6"/>
    <w:rsid w:val="00852651"/>
    <w:rsid w:val="00852E40"/>
    <w:rsid w:val="00853655"/>
    <w:rsid w:val="00857A90"/>
    <w:rsid w:val="00857CDD"/>
    <w:rsid w:val="00860EA8"/>
    <w:rsid w:val="00861A17"/>
    <w:rsid w:val="00861AB1"/>
    <w:rsid w:val="0086472B"/>
    <w:rsid w:val="00866CC6"/>
    <w:rsid w:val="0087368E"/>
    <w:rsid w:val="008802D9"/>
    <w:rsid w:val="00880B98"/>
    <w:rsid w:val="00881F26"/>
    <w:rsid w:val="008838A1"/>
    <w:rsid w:val="0088685E"/>
    <w:rsid w:val="0088689E"/>
    <w:rsid w:val="00891794"/>
    <w:rsid w:val="00891929"/>
    <w:rsid w:val="00893176"/>
    <w:rsid w:val="00895446"/>
    <w:rsid w:val="00895BBA"/>
    <w:rsid w:val="008A0324"/>
    <w:rsid w:val="008A05E4"/>
    <w:rsid w:val="008A2098"/>
    <w:rsid w:val="008A32D1"/>
    <w:rsid w:val="008B03D8"/>
    <w:rsid w:val="008B4290"/>
    <w:rsid w:val="008B61CD"/>
    <w:rsid w:val="008C330E"/>
    <w:rsid w:val="008C4477"/>
    <w:rsid w:val="008C4A61"/>
    <w:rsid w:val="008C4CB3"/>
    <w:rsid w:val="008C4F0F"/>
    <w:rsid w:val="008C6CFD"/>
    <w:rsid w:val="008C7D07"/>
    <w:rsid w:val="008C7F38"/>
    <w:rsid w:val="008D3B9E"/>
    <w:rsid w:val="008D55C9"/>
    <w:rsid w:val="008E481F"/>
    <w:rsid w:val="008E7460"/>
    <w:rsid w:val="008E7585"/>
    <w:rsid w:val="008F0B02"/>
    <w:rsid w:val="008F16A1"/>
    <w:rsid w:val="008F2E5C"/>
    <w:rsid w:val="008F6430"/>
    <w:rsid w:val="008F646F"/>
    <w:rsid w:val="00906982"/>
    <w:rsid w:val="009076D0"/>
    <w:rsid w:val="00914F38"/>
    <w:rsid w:val="0091776B"/>
    <w:rsid w:val="00920396"/>
    <w:rsid w:val="0092657D"/>
    <w:rsid w:val="00930B17"/>
    <w:rsid w:val="00931E1D"/>
    <w:rsid w:val="00932580"/>
    <w:rsid w:val="00932B67"/>
    <w:rsid w:val="00933213"/>
    <w:rsid w:val="00933253"/>
    <w:rsid w:val="00933CE5"/>
    <w:rsid w:val="00935018"/>
    <w:rsid w:val="009354B5"/>
    <w:rsid w:val="0093671F"/>
    <w:rsid w:val="00937D0C"/>
    <w:rsid w:val="00937F0D"/>
    <w:rsid w:val="00940BE3"/>
    <w:rsid w:val="00941D1F"/>
    <w:rsid w:val="0094276E"/>
    <w:rsid w:val="0094330B"/>
    <w:rsid w:val="0094366C"/>
    <w:rsid w:val="0094666B"/>
    <w:rsid w:val="009479C0"/>
    <w:rsid w:val="009502D9"/>
    <w:rsid w:val="00950914"/>
    <w:rsid w:val="00950C51"/>
    <w:rsid w:val="00951973"/>
    <w:rsid w:val="0095252E"/>
    <w:rsid w:val="00952591"/>
    <w:rsid w:val="009526C8"/>
    <w:rsid w:val="00952C90"/>
    <w:rsid w:val="00953ADF"/>
    <w:rsid w:val="00953B55"/>
    <w:rsid w:val="0095579B"/>
    <w:rsid w:val="00957E73"/>
    <w:rsid w:val="0096135C"/>
    <w:rsid w:val="0096603F"/>
    <w:rsid w:val="00966FA9"/>
    <w:rsid w:val="009746D7"/>
    <w:rsid w:val="009770CA"/>
    <w:rsid w:val="00977948"/>
    <w:rsid w:val="009808B4"/>
    <w:rsid w:val="00980BA8"/>
    <w:rsid w:val="00983391"/>
    <w:rsid w:val="00984821"/>
    <w:rsid w:val="00991CB9"/>
    <w:rsid w:val="0099558C"/>
    <w:rsid w:val="009961A7"/>
    <w:rsid w:val="0099716A"/>
    <w:rsid w:val="009A0593"/>
    <w:rsid w:val="009A2797"/>
    <w:rsid w:val="009A2C14"/>
    <w:rsid w:val="009A3D97"/>
    <w:rsid w:val="009A3DC2"/>
    <w:rsid w:val="009A3ED6"/>
    <w:rsid w:val="009A598B"/>
    <w:rsid w:val="009A6426"/>
    <w:rsid w:val="009A698B"/>
    <w:rsid w:val="009B045D"/>
    <w:rsid w:val="009B2D86"/>
    <w:rsid w:val="009B3F94"/>
    <w:rsid w:val="009B5E70"/>
    <w:rsid w:val="009B621A"/>
    <w:rsid w:val="009B672F"/>
    <w:rsid w:val="009B6EAB"/>
    <w:rsid w:val="009B718D"/>
    <w:rsid w:val="009C0BCC"/>
    <w:rsid w:val="009C3FA3"/>
    <w:rsid w:val="009C45D9"/>
    <w:rsid w:val="009C6530"/>
    <w:rsid w:val="009C6F32"/>
    <w:rsid w:val="009D0879"/>
    <w:rsid w:val="009D1ABB"/>
    <w:rsid w:val="009D2BEF"/>
    <w:rsid w:val="009D358E"/>
    <w:rsid w:val="009D7187"/>
    <w:rsid w:val="009D74AB"/>
    <w:rsid w:val="009D783B"/>
    <w:rsid w:val="009E01DD"/>
    <w:rsid w:val="009E547A"/>
    <w:rsid w:val="009E7134"/>
    <w:rsid w:val="009F30C8"/>
    <w:rsid w:val="009F4054"/>
    <w:rsid w:val="009F58D8"/>
    <w:rsid w:val="009F618C"/>
    <w:rsid w:val="00A01BEC"/>
    <w:rsid w:val="00A02F7D"/>
    <w:rsid w:val="00A03791"/>
    <w:rsid w:val="00A0417A"/>
    <w:rsid w:val="00A06657"/>
    <w:rsid w:val="00A12DA0"/>
    <w:rsid w:val="00A16DFA"/>
    <w:rsid w:val="00A17A6B"/>
    <w:rsid w:val="00A17C0A"/>
    <w:rsid w:val="00A22FA7"/>
    <w:rsid w:val="00A238D0"/>
    <w:rsid w:val="00A2595F"/>
    <w:rsid w:val="00A266EA"/>
    <w:rsid w:val="00A33919"/>
    <w:rsid w:val="00A346B2"/>
    <w:rsid w:val="00A3601F"/>
    <w:rsid w:val="00A36968"/>
    <w:rsid w:val="00A36EC5"/>
    <w:rsid w:val="00A41149"/>
    <w:rsid w:val="00A43690"/>
    <w:rsid w:val="00A44745"/>
    <w:rsid w:val="00A44F15"/>
    <w:rsid w:val="00A47B7B"/>
    <w:rsid w:val="00A50621"/>
    <w:rsid w:val="00A50EBD"/>
    <w:rsid w:val="00A510D0"/>
    <w:rsid w:val="00A54175"/>
    <w:rsid w:val="00A56809"/>
    <w:rsid w:val="00A60D9A"/>
    <w:rsid w:val="00A62724"/>
    <w:rsid w:val="00A63A07"/>
    <w:rsid w:val="00A63C83"/>
    <w:rsid w:val="00A654A2"/>
    <w:rsid w:val="00A67183"/>
    <w:rsid w:val="00A70079"/>
    <w:rsid w:val="00A73427"/>
    <w:rsid w:val="00A76373"/>
    <w:rsid w:val="00A76391"/>
    <w:rsid w:val="00A76452"/>
    <w:rsid w:val="00A817FD"/>
    <w:rsid w:val="00A81E4F"/>
    <w:rsid w:val="00A83F5F"/>
    <w:rsid w:val="00A84DF8"/>
    <w:rsid w:val="00A865AC"/>
    <w:rsid w:val="00A86D3D"/>
    <w:rsid w:val="00A9013E"/>
    <w:rsid w:val="00A915F3"/>
    <w:rsid w:val="00A91E65"/>
    <w:rsid w:val="00A945BD"/>
    <w:rsid w:val="00A94B17"/>
    <w:rsid w:val="00A94D43"/>
    <w:rsid w:val="00A94F1F"/>
    <w:rsid w:val="00A95347"/>
    <w:rsid w:val="00A95E11"/>
    <w:rsid w:val="00A96EA6"/>
    <w:rsid w:val="00AA270F"/>
    <w:rsid w:val="00AA349C"/>
    <w:rsid w:val="00AA471D"/>
    <w:rsid w:val="00AA4B1C"/>
    <w:rsid w:val="00AA6188"/>
    <w:rsid w:val="00AA7E33"/>
    <w:rsid w:val="00AB265E"/>
    <w:rsid w:val="00AB2948"/>
    <w:rsid w:val="00AB39FA"/>
    <w:rsid w:val="00AB3B30"/>
    <w:rsid w:val="00AB426C"/>
    <w:rsid w:val="00AB451C"/>
    <w:rsid w:val="00AB59F2"/>
    <w:rsid w:val="00AC1ABF"/>
    <w:rsid w:val="00AC3389"/>
    <w:rsid w:val="00AC3E62"/>
    <w:rsid w:val="00AC465A"/>
    <w:rsid w:val="00AC4C34"/>
    <w:rsid w:val="00AC5620"/>
    <w:rsid w:val="00AC5AF9"/>
    <w:rsid w:val="00AC6192"/>
    <w:rsid w:val="00AD2F03"/>
    <w:rsid w:val="00AD3699"/>
    <w:rsid w:val="00AD57FE"/>
    <w:rsid w:val="00AD5C5A"/>
    <w:rsid w:val="00AD6933"/>
    <w:rsid w:val="00AD6B7B"/>
    <w:rsid w:val="00AD7CAB"/>
    <w:rsid w:val="00AE0D6A"/>
    <w:rsid w:val="00AE10BE"/>
    <w:rsid w:val="00AE16C9"/>
    <w:rsid w:val="00AE3EF5"/>
    <w:rsid w:val="00AE4F2A"/>
    <w:rsid w:val="00AE50F9"/>
    <w:rsid w:val="00AE5F33"/>
    <w:rsid w:val="00AF0AD5"/>
    <w:rsid w:val="00AF15E6"/>
    <w:rsid w:val="00AF51E7"/>
    <w:rsid w:val="00AF6744"/>
    <w:rsid w:val="00AF6ADE"/>
    <w:rsid w:val="00AF7713"/>
    <w:rsid w:val="00B00BB7"/>
    <w:rsid w:val="00B019B5"/>
    <w:rsid w:val="00B02225"/>
    <w:rsid w:val="00B04750"/>
    <w:rsid w:val="00B05077"/>
    <w:rsid w:val="00B05620"/>
    <w:rsid w:val="00B11DA5"/>
    <w:rsid w:val="00B12E05"/>
    <w:rsid w:val="00B12EBE"/>
    <w:rsid w:val="00B16431"/>
    <w:rsid w:val="00B166A4"/>
    <w:rsid w:val="00B219B7"/>
    <w:rsid w:val="00B21F1A"/>
    <w:rsid w:val="00B25038"/>
    <w:rsid w:val="00B27FF1"/>
    <w:rsid w:val="00B30783"/>
    <w:rsid w:val="00B3159A"/>
    <w:rsid w:val="00B33465"/>
    <w:rsid w:val="00B34F37"/>
    <w:rsid w:val="00B35C09"/>
    <w:rsid w:val="00B379C5"/>
    <w:rsid w:val="00B41436"/>
    <w:rsid w:val="00B4183F"/>
    <w:rsid w:val="00B42198"/>
    <w:rsid w:val="00B42A71"/>
    <w:rsid w:val="00B46AD2"/>
    <w:rsid w:val="00B54ED8"/>
    <w:rsid w:val="00B57427"/>
    <w:rsid w:val="00B6157F"/>
    <w:rsid w:val="00B62659"/>
    <w:rsid w:val="00B64BBE"/>
    <w:rsid w:val="00B65757"/>
    <w:rsid w:val="00B67DE1"/>
    <w:rsid w:val="00B70936"/>
    <w:rsid w:val="00B70CC6"/>
    <w:rsid w:val="00B718DF"/>
    <w:rsid w:val="00B73894"/>
    <w:rsid w:val="00B74002"/>
    <w:rsid w:val="00B776B5"/>
    <w:rsid w:val="00B8193F"/>
    <w:rsid w:val="00B82A82"/>
    <w:rsid w:val="00B82CBE"/>
    <w:rsid w:val="00B82D72"/>
    <w:rsid w:val="00B8464A"/>
    <w:rsid w:val="00B8473D"/>
    <w:rsid w:val="00B90410"/>
    <w:rsid w:val="00B90E10"/>
    <w:rsid w:val="00B95350"/>
    <w:rsid w:val="00B964CA"/>
    <w:rsid w:val="00B969D7"/>
    <w:rsid w:val="00B97280"/>
    <w:rsid w:val="00BA31C4"/>
    <w:rsid w:val="00BA4655"/>
    <w:rsid w:val="00BA6D04"/>
    <w:rsid w:val="00BA78B6"/>
    <w:rsid w:val="00BA7935"/>
    <w:rsid w:val="00BB047B"/>
    <w:rsid w:val="00BB4818"/>
    <w:rsid w:val="00BB4AF3"/>
    <w:rsid w:val="00BB56EF"/>
    <w:rsid w:val="00BB6398"/>
    <w:rsid w:val="00BC205A"/>
    <w:rsid w:val="00BC25EF"/>
    <w:rsid w:val="00BC2DAF"/>
    <w:rsid w:val="00BC34FF"/>
    <w:rsid w:val="00BC4FD3"/>
    <w:rsid w:val="00BC6827"/>
    <w:rsid w:val="00BC6A4E"/>
    <w:rsid w:val="00BC6C7A"/>
    <w:rsid w:val="00BC77F8"/>
    <w:rsid w:val="00BC7D9E"/>
    <w:rsid w:val="00BD0372"/>
    <w:rsid w:val="00BD094F"/>
    <w:rsid w:val="00BD44F5"/>
    <w:rsid w:val="00BD7E4D"/>
    <w:rsid w:val="00BE4340"/>
    <w:rsid w:val="00BE4DB3"/>
    <w:rsid w:val="00BE5C41"/>
    <w:rsid w:val="00BF0646"/>
    <w:rsid w:val="00BF1C32"/>
    <w:rsid w:val="00BF646D"/>
    <w:rsid w:val="00BF76A6"/>
    <w:rsid w:val="00C0068D"/>
    <w:rsid w:val="00C01F23"/>
    <w:rsid w:val="00C03437"/>
    <w:rsid w:val="00C044BE"/>
    <w:rsid w:val="00C04BA9"/>
    <w:rsid w:val="00C04BAB"/>
    <w:rsid w:val="00C0607B"/>
    <w:rsid w:val="00C06CE9"/>
    <w:rsid w:val="00C06DEF"/>
    <w:rsid w:val="00C075A2"/>
    <w:rsid w:val="00C107CB"/>
    <w:rsid w:val="00C118C4"/>
    <w:rsid w:val="00C11F58"/>
    <w:rsid w:val="00C120D7"/>
    <w:rsid w:val="00C132D1"/>
    <w:rsid w:val="00C139CA"/>
    <w:rsid w:val="00C13A7D"/>
    <w:rsid w:val="00C14A81"/>
    <w:rsid w:val="00C22FA2"/>
    <w:rsid w:val="00C241A8"/>
    <w:rsid w:val="00C24ABA"/>
    <w:rsid w:val="00C264CB"/>
    <w:rsid w:val="00C31253"/>
    <w:rsid w:val="00C35129"/>
    <w:rsid w:val="00C41197"/>
    <w:rsid w:val="00C41794"/>
    <w:rsid w:val="00C419DB"/>
    <w:rsid w:val="00C45118"/>
    <w:rsid w:val="00C45E4C"/>
    <w:rsid w:val="00C45ED2"/>
    <w:rsid w:val="00C476F1"/>
    <w:rsid w:val="00C51429"/>
    <w:rsid w:val="00C51E8F"/>
    <w:rsid w:val="00C52CE9"/>
    <w:rsid w:val="00C52FC0"/>
    <w:rsid w:val="00C53F9E"/>
    <w:rsid w:val="00C559E9"/>
    <w:rsid w:val="00C608C1"/>
    <w:rsid w:val="00C61360"/>
    <w:rsid w:val="00C63D4E"/>
    <w:rsid w:val="00C63EA9"/>
    <w:rsid w:val="00C665A0"/>
    <w:rsid w:val="00C67725"/>
    <w:rsid w:val="00C700F3"/>
    <w:rsid w:val="00C7092F"/>
    <w:rsid w:val="00C72F75"/>
    <w:rsid w:val="00C7319E"/>
    <w:rsid w:val="00C75BD5"/>
    <w:rsid w:val="00C7649B"/>
    <w:rsid w:val="00C76DDA"/>
    <w:rsid w:val="00C76F14"/>
    <w:rsid w:val="00C807B3"/>
    <w:rsid w:val="00C825C9"/>
    <w:rsid w:val="00C86CC3"/>
    <w:rsid w:val="00C86E37"/>
    <w:rsid w:val="00C901B1"/>
    <w:rsid w:val="00C90A06"/>
    <w:rsid w:val="00C90EBC"/>
    <w:rsid w:val="00C91B69"/>
    <w:rsid w:val="00C92352"/>
    <w:rsid w:val="00C9640B"/>
    <w:rsid w:val="00C96575"/>
    <w:rsid w:val="00CA3856"/>
    <w:rsid w:val="00CA44C2"/>
    <w:rsid w:val="00CA5A3F"/>
    <w:rsid w:val="00CA67E0"/>
    <w:rsid w:val="00CB0122"/>
    <w:rsid w:val="00CB0269"/>
    <w:rsid w:val="00CB0833"/>
    <w:rsid w:val="00CB107E"/>
    <w:rsid w:val="00CB18F5"/>
    <w:rsid w:val="00CC008E"/>
    <w:rsid w:val="00CC02ED"/>
    <w:rsid w:val="00CC63EB"/>
    <w:rsid w:val="00CD022A"/>
    <w:rsid w:val="00CD03BE"/>
    <w:rsid w:val="00CD0707"/>
    <w:rsid w:val="00CD163E"/>
    <w:rsid w:val="00CD1A25"/>
    <w:rsid w:val="00CD2E16"/>
    <w:rsid w:val="00CD65E7"/>
    <w:rsid w:val="00CD7BFC"/>
    <w:rsid w:val="00CE038A"/>
    <w:rsid w:val="00CE2B95"/>
    <w:rsid w:val="00CE2F1A"/>
    <w:rsid w:val="00CF1A11"/>
    <w:rsid w:val="00CF30FC"/>
    <w:rsid w:val="00CF4286"/>
    <w:rsid w:val="00CF55BB"/>
    <w:rsid w:val="00CF5CB2"/>
    <w:rsid w:val="00D019BA"/>
    <w:rsid w:val="00D01B9F"/>
    <w:rsid w:val="00D03B38"/>
    <w:rsid w:val="00D03F87"/>
    <w:rsid w:val="00D04CD4"/>
    <w:rsid w:val="00D05DE9"/>
    <w:rsid w:val="00D06ADC"/>
    <w:rsid w:val="00D07174"/>
    <w:rsid w:val="00D12095"/>
    <w:rsid w:val="00D16961"/>
    <w:rsid w:val="00D20C50"/>
    <w:rsid w:val="00D21AEC"/>
    <w:rsid w:val="00D22D06"/>
    <w:rsid w:val="00D24772"/>
    <w:rsid w:val="00D26E91"/>
    <w:rsid w:val="00D272A6"/>
    <w:rsid w:val="00D3088E"/>
    <w:rsid w:val="00D30C20"/>
    <w:rsid w:val="00D3441D"/>
    <w:rsid w:val="00D355C4"/>
    <w:rsid w:val="00D35F7E"/>
    <w:rsid w:val="00D3612A"/>
    <w:rsid w:val="00D37703"/>
    <w:rsid w:val="00D37DBF"/>
    <w:rsid w:val="00D37F25"/>
    <w:rsid w:val="00D42F4F"/>
    <w:rsid w:val="00D44141"/>
    <w:rsid w:val="00D45F4A"/>
    <w:rsid w:val="00D50EAB"/>
    <w:rsid w:val="00D52790"/>
    <w:rsid w:val="00D56A53"/>
    <w:rsid w:val="00D63158"/>
    <w:rsid w:val="00D6324F"/>
    <w:rsid w:val="00D63458"/>
    <w:rsid w:val="00D66D37"/>
    <w:rsid w:val="00D7009C"/>
    <w:rsid w:val="00D723A3"/>
    <w:rsid w:val="00D750CC"/>
    <w:rsid w:val="00D758DC"/>
    <w:rsid w:val="00D8427E"/>
    <w:rsid w:val="00D84369"/>
    <w:rsid w:val="00D84C8F"/>
    <w:rsid w:val="00D873AD"/>
    <w:rsid w:val="00D90BEE"/>
    <w:rsid w:val="00D90F0B"/>
    <w:rsid w:val="00D91AAC"/>
    <w:rsid w:val="00D91C06"/>
    <w:rsid w:val="00D91C9F"/>
    <w:rsid w:val="00D93FD1"/>
    <w:rsid w:val="00D95A61"/>
    <w:rsid w:val="00DA08F5"/>
    <w:rsid w:val="00DA1480"/>
    <w:rsid w:val="00DA2ADC"/>
    <w:rsid w:val="00DB01E2"/>
    <w:rsid w:val="00DB0764"/>
    <w:rsid w:val="00DB2E00"/>
    <w:rsid w:val="00DB3506"/>
    <w:rsid w:val="00DB61E8"/>
    <w:rsid w:val="00DB7A9A"/>
    <w:rsid w:val="00DC3177"/>
    <w:rsid w:val="00DC3276"/>
    <w:rsid w:val="00DC4304"/>
    <w:rsid w:val="00DD03EA"/>
    <w:rsid w:val="00DD13AB"/>
    <w:rsid w:val="00DD2841"/>
    <w:rsid w:val="00DD2C30"/>
    <w:rsid w:val="00DD323F"/>
    <w:rsid w:val="00DD37D8"/>
    <w:rsid w:val="00DD38C1"/>
    <w:rsid w:val="00DD4EB5"/>
    <w:rsid w:val="00DD5902"/>
    <w:rsid w:val="00DE01A4"/>
    <w:rsid w:val="00DE3E40"/>
    <w:rsid w:val="00DE4597"/>
    <w:rsid w:val="00DE629C"/>
    <w:rsid w:val="00DE643F"/>
    <w:rsid w:val="00DF6840"/>
    <w:rsid w:val="00E010AB"/>
    <w:rsid w:val="00E015AD"/>
    <w:rsid w:val="00E0233F"/>
    <w:rsid w:val="00E02678"/>
    <w:rsid w:val="00E050EC"/>
    <w:rsid w:val="00E06262"/>
    <w:rsid w:val="00E0748A"/>
    <w:rsid w:val="00E128A9"/>
    <w:rsid w:val="00E143DA"/>
    <w:rsid w:val="00E14BA3"/>
    <w:rsid w:val="00E16744"/>
    <w:rsid w:val="00E24CDE"/>
    <w:rsid w:val="00E25953"/>
    <w:rsid w:val="00E27F5A"/>
    <w:rsid w:val="00E32BEA"/>
    <w:rsid w:val="00E32F5B"/>
    <w:rsid w:val="00E34EF1"/>
    <w:rsid w:val="00E3799F"/>
    <w:rsid w:val="00E37B2D"/>
    <w:rsid w:val="00E37DA2"/>
    <w:rsid w:val="00E4119C"/>
    <w:rsid w:val="00E4121B"/>
    <w:rsid w:val="00E425FC"/>
    <w:rsid w:val="00E42FA4"/>
    <w:rsid w:val="00E43115"/>
    <w:rsid w:val="00E43ACF"/>
    <w:rsid w:val="00E43B5E"/>
    <w:rsid w:val="00E45864"/>
    <w:rsid w:val="00E4622C"/>
    <w:rsid w:val="00E47280"/>
    <w:rsid w:val="00E47F40"/>
    <w:rsid w:val="00E511C4"/>
    <w:rsid w:val="00E51FFB"/>
    <w:rsid w:val="00E52DD3"/>
    <w:rsid w:val="00E5471E"/>
    <w:rsid w:val="00E558A4"/>
    <w:rsid w:val="00E576D9"/>
    <w:rsid w:val="00E60DC5"/>
    <w:rsid w:val="00E615AC"/>
    <w:rsid w:val="00E65C76"/>
    <w:rsid w:val="00E65EA1"/>
    <w:rsid w:val="00E6605D"/>
    <w:rsid w:val="00E6611F"/>
    <w:rsid w:val="00E6748B"/>
    <w:rsid w:val="00E675E1"/>
    <w:rsid w:val="00E77578"/>
    <w:rsid w:val="00E81333"/>
    <w:rsid w:val="00E82CE5"/>
    <w:rsid w:val="00E84ED8"/>
    <w:rsid w:val="00E86458"/>
    <w:rsid w:val="00E9168B"/>
    <w:rsid w:val="00E91A28"/>
    <w:rsid w:val="00E923A0"/>
    <w:rsid w:val="00E9265B"/>
    <w:rsid w:val="00E95236"/>
    <w:rsid w:val="00E95253"/>
    <w:rsid w:val="00E95569"/>
    <w:rsid w:val="00E97666"/>
    <w:rsid w:val="00E978F3"/>
    <w:rsid w:val="00EA1CB1"/>
    <w:rsid w:val="00EA3D33"/>
    <w:rsid w:val="00EA6125"/>
    <w:rsid w:val="00EB30BD"/>
    <w:rsid w:val="00EB3A4C"/>
    <w:rsid w:val="00EC0435"/>
    <w:rsid w:val="00EC37EF"/>
    <w:rsid w:val="00EC3EB6"/>
    <w:rsid w:val="00EC55CA"/>
    <w:rsid w:val="00EC5844"/>
    <w:rsid w:val="00EC7180"/>
    <w:rsid w:val="00ED209D"/>
    <w:rsid w:val="00ED418D"/>
    <w:rsid w:val="00ED46C4"/>
    <w:rsid w:val="00ED5BD7"/>
    <w:rsid w:val="00ED5F88"/>
    <w:rsid w:val="00ED664B"/>
    <w:rsid w:val="00ED7359"/>
    <w:rsid w:val="00ED7C2E"/>
    <w:rsid w:val="00EE2C25"/>
    <w:rsid w:val="00EE4C6C"/>
    <w:rsid w:val="00EE5111"/>
    <w:rsid w:val="00EF157F"/>
    <w:rsid w:val="00EF2730"/>
    <w:rsid w:val="00EF28D7"/>
    <w:rsid w:val="00EF5550"/>
    <w:rsid w:val="00EF68D6"/>
    <w:rsid w:val="00F00422"/>
    <w:rsid w:val="00F01760"/>
    <w:rsid w:val="00F01D63"/>
    <w:rsid w:val="00F03786"/>
    <w:rsid w:val="00F03AB8"/>
    <w:rsid w:val="00F05E37"/>
    <w:rsid w:val="00F07897"/>
    <w:rsid w:val="00F07EF7"/>
    <w:rsid w:val="00F112AC"/>
    <w:rsid w:val="00F130AD"/>
    <w:rsid w:val="00F139B3"/>
    <w:rsid w:val="00F1435B"/>
    <w:rsid w:val="00F2002D"/>
    <w:rsid w:val="00F2112A"/>
    <w:rsid w:val="00F22093"/>
    <w:rsid w:val="00F227E8"/>
    <w:rsid w:val="00F24647"/>
    <w:rsid w:val="00F26374"/>
    <w:rsid w:val="00F26A9F"/>
    <w:rsid w:val="00F30DE4"/>
    <w:rsid w:val="00F32286"/>
    <w:rsid w:val="00F331B5"/>
    <w:rsid w:val="00F34AF9"/>
    <w:rsid w:val="00F4060D"/>
    <w:rsid w:val="00F412ED"/>
    <w:rsid w:val="00F41623"/>
    <w:rsid w:val="00F41E62"/>
    <w:rsid w:val="00F45725"/>
    <w:rsid w:val="00F46CCC"/>
    <w:rsid w:val="00F47B58"/>
    <w:rsid w:val="00F47BED"/>
    <w:rsid w:val="00F53521"/>
    <w:rsid w:val="00F53991"/>
    <w:rsid w:val="00F53E2C"/>
    <w:rsid w:val="00F54D88"/>
    <w:rsid w:val="00F60978"/>
    <w:rsid w:val="00F61722"/>
    <w:rsid w:val="00F617C6"/>
    <w:rsid w:val="00F6208E"/>
    <w:rsid w:val="00F64D46"/>
    <w:rsid w:val="00F66A33"/>
    <w:rsid w:val="00F66F7C"/>
    <w:rsid w:val="00F70BA5"/>
    <w:rsid w:val="00F71818"/>
    <w:rsid w:val="00F732A5"/>
    <w:rsid w:val="00F73842"/>
    <w:rsid w:val="00F739C8"/>
    <w:rsid w:val="00F73B39"/>
    <w:rsid w:val="00F74981"/>
    <w:rsid w:val="00F75C04"/>
    <w:rsid w:val="00F81F50"/>
    <w:rsid w:val="00F90692"/>
    <w:rsid w:val="00F928A2"/>
    <w:rsid w:val="00F93893"/>
    <w:rsid w:val="00F93FC8"/>
    <w:rsid w:val="00F94901"/>
    <w:rsid w:val="00F95772"/>
    <w:rsid w:val="00F96DB1"/>
    <w:rsid w:val="00F9789E"/>
    <w:rsid w:val="00FA0846"/>
    <w:rsid w:val="00FA27ED"/>
    <w:rsid w:val="00FB105F"/>
    <w:rsid w:val="00FB2CA2"/>
    <w:rsid w:val="00FB4289"/>
    <w:rsid w:val="00FB5140"/>
    <w:rsid w:val="00FC0149"/>
    <w:rsid w:val="00FC10B4"/>
    <w:rsid w:val="00FC1824"/>
    <w:rsid w:val="00FC2985"/>
    <w:rsid w:val="00FC7254"/>
    <w:rsid w:val="00FD008B"/>
    <w:rsid w:val="00FD0E0E"/>
    <w:rsid w:val="00FD12A2"/>
    <w:rsid w:val="00FD3FCF"/>
    <w:rsid w:val="00FD424D"/>
    <w:rsid w:val="00FD4A19"/>
    <w:rsid w:val="00FD5803"/>
    <w:rsid w:val="00FD5F21"/>
    <w:rsid w:val="00FE1814"/>
    <w:rsid w:val="00FE2CE3"/>
    <w:rsid w:val="00FE2CF0"/>
    <w:rsid w:val="00FE6D5A"/>
    <w:rsid w:val="00FE7F11"/>
    <w:rsid w:val="00FF100A"/>
    <w:rsid w:val="00FF20D4"/>
    <w:rsid w:val="00FF2AF6"/>
    <w:rsid w:val="00FF2F40"/>
    <w:rsid w:val="00FF3F44"/>
    <w:rsid w:val="00FF491C"/>
    <w:rsid w:val="00FF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72FCBF6"/>
  <w15:chartTrackingRefBased/>
  <w15:docId w15:val="{F4F24AAB-F745-4172-8EAB-7543E6E1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styleId="NormalWeb">
    <w:name w:val="Normal (Web)"/>
    <w:basedOn w:val="Normal"/>
    <w:uiPriority w:val="99"/>
    <w:unhideWhenUsed/>
    <w:rsid w:val="00CF55BB"/>
    <w:pPr>
      <w:spacing w:before="100" w:beforeAutospacing="1" w:after="100" w:afterAutospacing="1"/>
    </w:pPr>
    <w:rPr>
      <w:lang w:eastAsia="en-GB"/>
    </w:rPr>
  </w:style>
  <w:style w:type="character" w:styleId="Emphasis">
    <w:name w:val="Emphasis"/>
    <w:basedOn w:val="DefaultParagraphFont"/>
    <w:qFormat/>
    <w:rsid w:val="00391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5775">
      <w:bodyDiv w:val="1"/>
      <w:marLeft w:val="0"/>
      <w:marRight w:val="0"/>
      <w:marTop w:val="0"/>
      <w:marBottom w:val="0"/>
      <w:divBdr>
        <w:top w:val="none" w:sz="0" w:space="0" w:color="auto"/>
        <w:left w:val="none" w:sz="0" w:space="0" w:color="auto"/>
        <w:bottom w:val="none" w:sz="0" w:space="0" w:color="auto"/>
        <w:right w:val="none" w:sz="0" w:space="0" w:color="auto"/>
      </w:divBdr>
      <w:divsChild>
        <w:div w:id="916784272">
          <w:marLeft w:val="547"/>
          <w:marRight w:val="0"/>
          <w:marTop w:val="0"/>
          <w:marBottom w:val="0"/>
          <w:divBdr>
            <w:top w:val="none" w:sz="0" w:space="0" w:color="auto"/>
            <w:left w:val="none" w:sz="0" w:space="0" w:color="auto"/>
            <w:bottom w:val="none" w:sz="0" w:space="0" w:color="auto"/>
            <w:right w:val="none" w:sz="0" w:space="0" w:color="auto"/>
          </w:divBdr>
        </w:div>
        <w:div w:id="1693066723">
          <w:marLeft w:val="547"/>
          <w:marRight w:val="0"/>
          <w:marTop w:val="0"/>
          <w:marBottom w:val="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7835156">
      <w:bodyDiv w:val="1"/>
      <w:marLeft w:val="0"/>
      <w:marRight w:val="0"/>
      <w:marTop w:val="0"/>
      <w:marBottom w:val="0"/>
      <w:divBdr>
        <w:top w:val="none" w:sz="0" w:space="0" w:color="auto"/>
        <w:left w:val="none" w:sz="0" w:space="0" w:color="auto"/>
        <w:bottom w:val="none" w:sz="0" w:space="0" w:color="auto"/>
        <w:right w:val="none" w:sz="0" w:space="0" w:color="auto"/>
      </w:divBdr>
      <w:divsChild>
        <w:div w:id="1411121579">
          <w:marLeft w:val="0"/>
          <w:marRight w:val="0"/>
          <w:marTop w:val="0"/>
          <w:marBottom w:val="0"/>
          <w:divBdr>
            <w:top w:val="none" w:sz="0" w:space="0" w:color="auto"/>
            <w:left w:val="none" w:sz="0" w:space="0" w:color="auto"/>
            <w:bottom w:val="none" w:sz="0" w:space="0" w:color="auto"/>
            <w:right w:val="none" w:sz="0" w:space="0" w:color="auto"/>
          </w:divBdr>
        </w:div>
      </w:divsChild>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26980154">
      <w:bodyDiv w:val="1"/>
      <w:marLeft w:val="0"/>
      <w:marRight w:val="0"/>
      <w:marTop w:val="0"/>
      <w:marBottom w:val="0"/>
      <w:divBdr>
        <w:top w:val="none" w:sz="0" w:space="0" w:color="auto"/>
        <w:left w:val="none" w:sz="0" w:space="0" w:color="auto"/>
        <w:bottom w:val="none" w:sz="0" w:space="0" w:color="auto"/>
        <w:right w:val="none" w:sz="0" w:space="0" w:color="auto"/>
      </w:divBdr>
      <w:divsChild>
        <w:div w:id="297105692">
          <w:marLeft w:val="547"/>
          <w:marRight w:val="0"/>
          <w:marTop w:val="0"/>
          <w:marBottom w:val="0"/>
          <w:divBdr>
            <w:top w:val="none" w:sz="0" w:space="0" w:color="auto"/>
            <w:left w:val="none" w:sz="0" w:space="0" w:color="auto"/>
            <w:bottom w:val="none" w:sz="0" w:space="0" w:color="auto"/>
            <w:right w:val="none" w:sz="0" w:space="0" w:color="auto"/>
          </w:divBdr>
        </w:div>
        <w:div w:id="1303071782">
          <w:marLeft w:val="547"/>
          <w:marRight w:val="0"/>
          <w:marTop w:val="0"/>
          <w:marBottom w:val="0"/>
          <w:divBdr>
            <w:top w:val="none" w:sz="0" w:space="0" w:color="auto"/>
            <w:left w:val="none" w:sz="0" w:space="0" w:color="auto"/>
            <w:bottom w:val="none" w:sz="0" w:space="0" w:color="auto"/>
            <w:right w:val="none" w:sz="0" w:space="0" w:color="auto"/>
          </w:divBdr>
        </w:div>
        <w:div w:id="1334530501">
          <w:marLeft w:val="547"/>
          <w:marRight w:val="0"/>
          <w:marTop w:val="0"/>
          <w:marBottom w:val="0"/>
          <w:divBdr>
            <w:top w:val="none" w:sz="0" w:space="0" w:color="auto"/>
            <w:left w:val="none" w:sz="0" w:space="0" w:color="auto"/>
            <w:bottom w:val="none" w:sz="0" w:space="0" w:color="auto"/>
            <w:right w:val="none" w:sz="0" w:space="0" w:color="auto"/>
          </w:divBdr>
        </w:div>
      </w:divsChild>
    </w:div>
    <w:div w:id="411463482">
      <w:bodyDiv w:val="1"/>
      <w:marLeft w:val="0"/>
      <w:marRight w:val="0"/>
      <w:marTop w:val="0"/>
      <w:marBottom w:val="0"/>
      <w:divBdr>
        <w:top w:val="none" w:sz="0" w:space="0" w:color="auto"/>
        <w:left w:val="none" w:sz="0" w:space="0" w:color="auto"/>
        <w:bottom w:val="none" w:sz="0" w:space="0" w:color="auto"/>
        <w:right w:val="none" w:sz="0" w:space="0" w:color="auto"/>
      </w:divBdr>
    </w:div>
    <w:div w:id="452526138">
      <w:bodyDiv w:val="1"/>
      <w:marLeft w:val="0"/>
      <w:marRight w:val="0"/>
      <w:marTop w:val="0"/>
      <w:marBottom w:val="0"/>
      <w:divBdr>
        <w:top w:val="none" w:sz="0" w:space="0" w:color="auto"/>
        <w:left w:val="none" w:sz="0" w:space="0" w:color="auto"/>
        <w:bottom w:val="none" w:sz="0" w:space="0" w:color="auto"/>
        <w:right w:val="none" w:sz="0" w:space="0" w:color="auto"/>
      </w:divBdr>
    </w:div>
    <w:div w:id="536428586">
      <w:bodyDiv w:val="1"/>
      <w:marLeft w:val="0"/>
      <w:marRight w:val="0"/>
      <w:marTop w:val="0"/>
      <w:marBottom w:val="0"/>
      <w:divBdr>
        <w:top w:val="none" w:sz="0" w:space="0" w:color="auto"/>
        <w:left w:val="none" w:sz="0" w:space="0" w:color="auto"/>
        <w:bottom w:val="none" w:sz="0" w:space="0" w:color="auto"/>
        <w:right w:val="none" w:sz="0" w:space="0" w:color="auto"/>
      </w:divBdr>
      <w:divsChild>
        <w:div w:id="473333339">
          <w:marLeft w:val="446"/>
          <w:marRight w:val="0"/>
          <w:marTop w:val="0"/>
          <w:marBottom w:val="12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70596859">
      <w:bodyDiv w:val="1"/>
      <w:marLeft w:val="0"/>
      <w:marRight w:val="0"/>
      <w:marTop w:val="0"/>
      <w:marBottom w:val="0"/>
      <w:divBdr>
        <w:top w:val="none" w:sz="0" w:space="0" w:color="auto"/>
        <w:left w:val="none" w:sz="0" w:space="0" w:color="auto"/>
        <w:bottom w:val="none" w:sz="0" w:space="0" w:color="auto"/>
        <w:right w:val="none" w:sz="0" w:space="0" w:color="auto"/>
      </w:divBdr>
    </w:div>
    <w:div w:id="681200720">
      <w:bodyDiv w:val="1"/>
      <w:marLeft w:val="0"/>
      <w:marRight w:val="0"/>
      <w:marTop w:val="0"/>
      <w:marBottom w:val="0"/>
      <w:divBdr>
        <w:top w:val="none" w:sz="0" w:space="0" w:color="auto"/>
        <w:left w:val="none" w:sz="0" w:space="0" w:color="auto"/>
        <w:bottom w:val="none" w:sz="0" w:space="0" w:color="auto"/>
        <w:right w:val="none" w:sz="0" w:space="0" w:color="auto"/>
      </w:divBdr>
    </w:div>
    <w:div w:id="760416244">
      <w:bodyDiv w:val="1"/>
      <w:marLeft w:val="0"/>
      <w:marRight w:val="0"/>
      <w:marTop w:val="0"/>
      <w:marBottom w:val="0"/>
      <w:divBdr>
        <w:top w:val="none" w:sz="0" w:space="0" w:color="auto"/>
        <w:left w:val="none" w:sz="0" w:space="0" w:color="auto"/>
        <w:bottom w:val="none" w:sz="0" w:space="0" w:color="auto"/>
        <w:right w:val="none" w:sz="0" w:space="0" w:color="auto"/>
      </w:divBdr>
      <w:divsChild>
        <w:div w:id="1297374299">
          <w:marLeft w:val="547"/>
          <w:marRight w:val="0"/>
          <w:marTop w:val="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103914050">
      <w:bodyDiv w:val="1"/>
      <w:marLeft w:val="0"/>
      <w:marRight w:val="0"/>
      <w:marTop w:val="0"/>
      <w:marBottom w:val="0"/>
      <w:divBdr>
        <w:top w:val="none" w:sz="0" w:space="0" w:color="auto"/>
        <w:left w:val="none" w:sz="0" w:space="0" w:color="auto"/>
        <w:bottom w:val="none" w:sz="0" w:space="0" w:color="auto"/>
        <w:right w:val="none" w:sz="0" w:space="0" w:color="auto"/>
      </w:divBdr>
    </w:div>
    <w:div w:id="1187057272">
      <w:bodyDiv w:val="1"/>
      <w:marLeft w:val="0"/>
      <w:marRight w:val="0"/>
      <w:marTop w:val="0"/>
      <w:marBottom w:val="0"/>
      <w:divBdr>
        <w:top w:val="none" w:sz="0" w:space="0" w:color="auto"/>
        <w:left w:val="none" w:sz="0" w:space="0" w:color="auto"/>
        <w:bottom w:val="none" w:sz="0" w:space="0" w:color="auto"/>
        <w:right w:val="none" w:sz="0" w:space="0" w:color="auto"/>
      </w:divBdr>
      <w:divsChild>
        <w:div w:id="1764763302">
          <w:marLeft w:val="0"/>
          <w:marRight w:val="0"/>
          <w:marTop w:val="0"/>
          <w:marBottom w:val="0"/>
          <w:divBdr>
            <w:top w:val="none" w:sz="0" w:space="0" w:color="auto"/>
            <w:left w:val="none" w:sz="0" w:space="0" w:color="auto"/>
            <w:bottom w:val="none" w:sz="0" w:space="0" w:color="auto"/>
            <w:right w:val="none" w:sz="0" w:space="0" w:color="auto"/>
          </w:divBdr>
        </w:div>
      </w:divsChild>
    </w:div>
    <w:div w:id="1231231027">
      <w:bodyDiv w:val="1"/>
      <w:marLeft w:val="0"/>
      <w:marRight w:val="0"/>
      <w:marTop w:val="0"/>
      <w:marBottom w:val="0"/>
      <w:divBdr>
        <w:top w:val="none" w:sz="0" w:space="0" w:color="auto"/>
        <w:left w:val="none" w:sz="0" w:space="0" w:color="auto"/>
        <w:bottom w:val="none" w:sz="0" w:space="0" w:color="auto"/>
        <w:right w:val="none" w:sz="0" w:space="0" w:color="auto"/>
      </w:divBdr>
      <w:divsChild>
        <w:div w:id="1387490574">
          <w:marLeft w:val="547"/>
          <w:marRight w:val="0"/>
          <w:marTop w:val="170"/>
          <w:marBottom w:val="0"/>
          <w:divBdr>
            <w:top w:val="none" w:sz="0" w:space="0" w:color="auto"/>
            <w:left w:val="none" w:sz="0" w:space="0" w:color="auto"/>
            <w:bottom w:val="none" w:sz="0" w:space="0" w:color="auto"/>
            <w:right w:val="none" w:sz="0" w:space="0" w:color="auto"/>
          </w:divBdr>
        </w:div>
        <w:div w:id="1222211943">
          <w:marLeft w:val="994"/>
          <w:marRight w:val="0"/>
          <w:marTop w:val="170"/>
          <w:marBottom w:val="0"/>
          <w:divBdr>
            <w:top w:val="none" w:sz="0" w:space="0" w:color="auto"/>
            <w:left w:val="none" w:sz="0" w:space="0" w:color="auto"/>
            <w:bottom w:val="none" w:sz="0" w:space="0" w:color="auto"/>
            <w:right w:val="none" w:sz="0" w:space="0" w:color="auto"/>
          </w:divBdr>
        </w:div>
        <w:div w:id="785664580">
          <w:marLeft w:val="994"/>
          <w:marRight w:val="0"/>
          <w:marTop w:val="170"/>
          <w:marBottom w:val="0"/>
          <w:divBdr>
            <w:top w:val="none" w:sz="0" w:space="0" w:color="auto"/>
            <w:left w:val="none" w:sz="0" w:space="0" w:color="auto"/>
            <w:bottom w:val="none" w:sz="0" w:space="0" w:color="auto"/>
            <w:right w:val="none" w:sz="0" w:space="0" w:color="auto"/>
          </w:divBdr>
        </w:div>
        <w:div w:id="1299188909">
          <w:marLeft w:val="994"/>
          <w:marRight w:val="0"/>
          <w:marTop w:val="170"/>
          <w:marBottom w:val="0"/>
          <w:divBdr>
            <w:top w:val="none" w:sz="0" w:space="0" w:color="auto"/>
            <w:left w:val="none" w:sz="0" w:space="0" w:color="auto"/>
            <w:bottom w:val="none" w:sz="0" w:space="0" w:color="auto"/>
            <w:right w:val="none" w:sz="0" w:space="0" w:color="auto"/>
          </w:divBdr>
        </w:div>
      </w:divsChild>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409114025">
      <w:bodyDiv w:val="1"/>
      <w:marLeft w:val="0"/>
      <w:marRight w:val="0"/>
      <w:marTop w:val="0"/>
      <w:marBottom w:val="0"/>
      <w:divBdr>
        <w:top w:val="none" w:sz="0" w:space="0" w:color="auto"/>
        <w:left w:val="none" w:sz="0" w:space="0" w:color="auto"/>
        <w:bottom w:val="none" w:sz="0" w:space="0" w:color="auto"/>
        <w:right w:val="none" w:sz="0" w:space="0" w:color="auto"/>
      </w:divBdr>
      <w:divsChild>
        <w:div w:id="1012223621">
          <w:marLeft w:val="547"/>
          <w:marRight w:val="0"/>
          <w:marTop w:val="170"/>
          <w:marBottom w:val="0"/>
          <w:divBdr>
            <w:top w:val="none" w:sz="0" w:space="0" w:color="auto"/>
            <w:left w:val="none" w:sz="0" w:space="0" w:color="auto"/>
            <w:bottom w:val="none" w:sz="0" w:space="0" w:color="auto"/>
            <w:right w:val="none" w:sz="0" w:space="0" w:color="auto"/>
          </w:divBdr>
        </w:div>
      </w:divsChild>
    </w:div>
    <w:div w:id="1666471408">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7666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559/smpc" TargetMode="External"/><Relationship Id="rId13" Type="http://schemas.openxmlformats.org/officeDocument/2006/relationships/hyperlink" Target="https://www.nice.org.uk/guidance/ta23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2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specialised-commissioning-document-library/policy-statements-urgent-policy-statements/"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c-members" TargetMode="External"/><Relationship Id="rId10" Type="http://schemas.openxmlformats.org/officeDocument/2006/relationships/hyperlink" Target="https://www.england.nhs.uk/publication/clinical-commissioning-policy-anakinra-tocilizumab-for-the-treatment-of-adult-onset-stills-disease-refractory-to-second-line-therapy-adul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ta10392/Documents" TargetMode="External"/><Relationship Id="rId14" Type="http://schemas.openxmlformats.org/officeDocument/2006/relationships/hyperlink" Target="http://www.legislation.gov.uk/uksi/2013/259/contents/ma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D34A-B7EA-4112-A792-5F107BA0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3750</Words>
  <Characters>22271</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25970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Luke Cowie</dc:creator>
  <cp:keywords/>
  <cp:lastModifiedBy>Louise Jafferally</cp:lastModifiedBy>
  <cp:revision>2</cp:revision>
  <cp:lastPrinted>2020-12-15T16:50:00Z</cp:lastPrinted>
  <dcterms:created xsi:type="dcterms:W3CDTF">2020-12-15T16:51:00Z</dcterms:created>
  <dcterms:modified xsi:type="dcterms:W3CDTF">2020-12-15T16:51:00Z</dcterms:modified>
</cp:coreProperties>
</file>