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17332" w14:textId="77777777" w:rsidR="0070272A" w:rsidRDefault="00D66A24">
      <w:pPr>
        <w:pStyle w:val="Title2"/>
      </w:pPr>
      <w:r>
        <w:t>NATIONAL INSTITUTE FOR HEALTH AND CARE EXCELLENCE</w:t>
      </w:r>
    </w:p>
    <w:p w14:paraId="1E0D00F6" w14:textId="57967456" w:rsidR="0070272A" w:rsidRDefault="00220B1E">
      <w:pPr>
        <w:pStyle w:val="Title2"/>
      </w:pPr>
      <w:r>
        <w:t>Appraisal consultation document</w:t>
      </w:r>
    </w:p>
    <w:p w14:paraId="73EA8EE5" w14:textId="0027E08F" w:rsidR="0070272A" w:rsidRDefault="00D66A24">
      <w:pPr>
        <w:pStyle w:val="Title1"/>
      </w:pPr>
      <w:r>
        <w:t>Pembrolizumab for treating locally advanced or metastatic urothelial carcinoma</w:t>
      </w:r>
      <w:r w:rsidR="00140D62">
        <w:t xml:space="preserve"> after platinum-containing chemotherapy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6A4B4E" w14:paraId="672C20EB" w14:textId="77777777" w:rsidTr="004C3FA0">
        <w:tc>
          <w:tcPr>
            <w:tcW w:w="8529" w:type="dxa"/>
            <w:shd w:val="clear" w:color="auto" w:fill="auto"/>
          </w:tcPr>
          <w:p w14:paraId="649B5502" w14:textId="747A550B" w:rsidR="006A4B4E" w:rsidRPr="00981B9F" w:rsidRDefault="006A4B4E" w:rsidP="004C3FA0">
            <w:pPr>
              <w:pStyle w:val="NICEnormalsinglespacing"/>
            </w:pPr>
            <w:r w:rsidRPr="00981B9F">
              <w:t xml:space="preserve">The Department of Health </w:t>
            </w:r>
            <w:r>
              <w:t xml:space="preserve">and Social Care </w:t>
            </w:r>
            <w:r w:rsidRPr="00981B9F">
              <w:t xml:space="preserve">has asked the National Institute for Health and Care Excellence (NICE) to produce guidance on using </w:t>
            </w:r>
            <w:r>
              <w:t>pembrolizumab</w:t>
            </w:r>
            <w:r w:rsidRPr="00981B9F">
              <w:t xml:space="preserve"> in the NHS in England. The </w:t>
            </w:r>
            <w:r>
              <w:t>a</w:t>
            </w:r>
            <w:r w:rsidRPr="00981B9F">
              <w:t xml:space="preserve">ppraisal </w:t>
            </w:r>
            <w:r>
              <w:t>c</w:t>
            </w:r>
            <w:r w:rsidRPr="00981B9F">
              <w:t xml:space="preserve">ommittee has considered the evidence submitted by the </w:t>
            </w:r>
            <w:r>
              <w:t>company</w:t>
            </w:r>
            <w:r w:rsidRPr="00981B9F">
              <w:t xml:space="preserve"> and the views of non-</w:t>
            </w:r>
            <w:r>
              <w:t>company</w:t>
            </w:r>
            <w:r w:rsidRPr="00981B9F">
              <w:t xml:space="preserve"> consultees and commentators, clinical </w:t>
            </w:r>
            <w:r>
              <w:t>experts</w:t>
            </w:r>
            <w:r w:rsidRPr="00981B9F">
              <w:t xml:space="preserve"> and patient experts. </w:t>
            </w:r>
          </w:p>
          <w:p w14:paraId="36192457" w14:textId="0D523BCA" w:rsidR="006A4B4E" w:rsidRPr="00981B9F" w:rsidRDefault="006A4B4E" w:rsidP="004C3FA0">
            <w:pPr>
              <w:pStyle w:val="NICEnormalsinglespacing"/>
            </w:pPr>
            <w:r w:rsidRPr="00E975D0">
              <w:rPr>
                <w:b/>
              </w:rPr>
              <w:t>This document has been prepared for consultation with the consultees.</w:t>
            </w:r>
            <w:r w:rsidRPr="00981B9F">
              <w:t xml:space="preserve"> It summarises the evidence and views that have been considered, and sets out the recommendations made by the </w:t>
            </w:r>
            <w:r>
              <w:t>c</w:t>
            </w:r>
            <w:r w:rsidRPr="00981B9F">
              <w:t>ommittee. NICE invites comments from the consultees and commentators for this appraisal and the public. This document should be read along with the evidence (</w:t>
            </w:r>
            <w:r>
              <w:t xml:space="preserve">see </w:t>
            </w:r>
            <w:r w:rsidRPr="00981B9F">
              <w:t xml:space="preserve">the </w:t>
            </w:r>
            <w:hyperlink r:id="rId8" w:history="1">
              <w:r>
                <w:rPr>
                  <w:rStyle w:val="Hyperlink"/>
                </w:rPr>
                <w:t>committee papers</w:t>
              </w:r>
            </w:hyperlink>
            <w:r w:rsidRPr="00981B9F">
              <w:t>).</w:t>
            </w:r>
          </w:p>
          <w:p w14:paraId="7D93E5AF" w14:textId="77777777" w:rsidR="006A4B4E" w:rsidRPr="00981494" w:rsidRDefault="006A4B4E" w:rsidP="004C3FA0">
            <w:pPr>
              <w:pStyle w:val="NICEnormalsinglespacing"/>
            </w:pPr>
            <w:r w:rsidRPr="00981494">
              <w:t xml:space="preserve">The </w:t>
            </w:r>
            <w:r>
              <w:t>a</w:t>
            </w:r>
            <w:r w:rsidRPr="00981494">
              <w:t xml:space="preserve">ppraisal </w:t>
            </w:r>
            <w:r>
              <w:t>c</w:t>
            </w:r>
            <w:r w:rsidRPr="00981494">
              <w:t>ommittee is interested in receiving comments on the following:</w:t>
            </w:r>
          </w:p>
          <w:p w14:paraId="2DDF60BD" w14:textId="4A8B1047" w:rsidR="006A4B4E" w:rsidRPr="00981494" w:rsidRDefault="006A4B4E" w:rsidP="006A4B4E">
            <w:pPr>
              <w:pStyle w:val="Bulletleft1"/>
              <w:numPr>
                <w:ilvl w:val="0"/>
                <w:numId w:val="7"/>
              </w:numPr>
              <w:spacing w:line="240" w:lineRule="auto"/>
            </w:pPr>
            <w:r w:rsidRPr="00981494">
              <w:t>Has all the relevant evidence been taken into account?</w:t>
            </w:r>
          </w:p>
          <w:p w14:paraId="6D8EF75E" w14:textId="5A1E1793" w:rsidR="006A4B4E" w:rsidRPr="00981494" w:rsidRDefault="006A4B4E" w:rsidP="006A4B4E">
            <w:pPr>
              <w:pStyle w:val="Bulletleft1"/>
              <w:numPr>
                <w:ilvl w:val="0"/>
                <w:numId w:val="7"/>
              </w:numPr>
              <w:spacing w:line="240" w:lineRule="auto"/>
            </w:pPr>
            <w:r w:rsidRPr="00981494">
              <w:t>Are the summaries of clinical and cost</w:t>
            </w:r>
            <w:r w:rsidR="00681A9C">
              <w:rPr>
                <w:rFonts w:cs="Arial"/>
              </w:rPr>
              <w:t>-</w:t>
            </w:r>
            <w:r w:rsidRPr="00981494">
              <w:t>effectiveness reasonable interpretations of the evidence?</w:t>
            </w:r>
          </w:p>
          <w:p w14:paraId="20B4C0A5" w14:textId="77777777" w:rsidR="006A4B4E" w:rsidRPr="00981494" w:rsidRDefault="006A4B4E" w:rsidP="006A4B4E">
            <w:pPr>
              <w:pStyle w:val="Bulletleft1"/>
              <w:numPr>
                <w:ilvl w:val="0"/>
                <w:numId w:val="7"/>
              </w:numPr>
              <w:spacing w:line="240" w:lineRule="auto"/>
            </w:pPr>
            <w:r w:rsidRPr="00981494">
              <w:t>Are the recommendations sound and a suitable basis for guidance to the NHS?</w:t>
            </w:r>
          </w:p>
          <w:p w14:paraId="514F3835" w14:textId="77777777" w:rsidR="006A4B4E" w:rsidRPr="00981494" w:rsidRDefault="006A4B4E" w:rsidP="006A4B4E">
            <w:pPr>
              <w:pStyle w:val="Bulletleft1"/>
              <w:numPr>
                <w:ilvl w:val="0"/>
                <w:numId w:val="7"/>
              </w:numPr>
              <w:spacing w:line="240" w:lineRule="auto"/>
            </w:pPr>
            <w:r w:rsidRPr="00981494">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41A6AA2F" w14:textId="25264C77" w:rsidR="006A4B4E" w:rsidRDefault="006A4B4E">
      <w:pPr>
        <w:pStyle w:val="NICEnormal"/>
      </w:pPr>
    </w:p>
    <w:p w14:paraId="49503BC9" w14:textId="77777777" w:rsidR="006A4B4E" w:rsidRDefault="006A4B4E">
      <w:pPr>
        <w:rPr>
          <w:rFonts w:ascii="Arial" w:hAnsi="Arial"/>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6A4B4E" w14:paraId="627FC17C" w14:textId="77777777" w:rsidTr="004C3FA0">
        <w:tc>
          <w:tcPr>
            <w:tcW w:w="8529" w:type="dxa"/>
            <w:shd w:val="clear" w:color="auto" w:fill="auto"/>
          </w:tcPr>
          <w:p w14:paraId="1A915BC2" w14:textId="77777777" w:rsidR="006A4B4E" w:rsidRPr="00E975D0" w:rsidRDefault="006A4B4E" w:rsidP="004C3FA0">
            <w:pPr>
              <w:pStyle w:val="NICEnormalsinglespacing"/>
              <w:rPr>
                <w:b/>
                <w:bCs/>
              </w:rPr>
            </w:pPr>
            <w:r w:rsidRPr="00E975D0">
              <w:rPr>
                <w:b/>
                <w:bCs/>
              </w:rPr>
              <w:lastRenderedPageBreak/>
              <w:t>Note that this document is not NICE's final guidance on this technology. The recommendations in section 1 may change after consultation.</w:t>
            </w:r>
          </w:p>
          <w:p w14:paraId="5579DD7E" w14:textId="77777777" w:rsidR="006A4B4E" w:rsidRPr="00981494" w:rsidRDefault="006A4B4E" w:rsidP="004C3FA0">
            <w:pPr>
              <w:pStyle w:val="NICEnormalsinglespacing"/>
            </w:pPr>
            <w:r w:rsidRPr="00981494">
              <w:t>After consultation:</w:t>
            </w:r>
          </w:p>
          <w:p w14:paraId="3F331792" w14:textId="77777777" w:rsidR="006A4B4E" w:rsidRPr="00981494" w:rsidRDefault="006A4B4E" w:rsidP="006A4B4E">
            <w:pPr>
              <w:pStyle w:val="Bulletleft1"/>
              <w:numPr>
                <w:ilvl w:val="0"/>
                <w:numId w:val="7"/>
              </w:numPr>
              <w:spacing w:line="240" w:lineRule="auto"/>
            </w:pPr>
            <w:r w:rsidRPr="00981494">
              <w:t xml:space="preserve">The </w:t>
            </w:r>
            <w:r>
              <w:t>a</w:t>
            </w:r>
            <w:r w:rsidRPr="00981494">
              <w:t xml:space="preserve">ppraisal </w:t>
            </w:r>
            <w:r>
              <w:t>c</w:t>
            </w:r>
            <w:r w:rsidRPr="00981494">
              <w:t>ommittee will meet again to consider the evidence, this appraisal consultation document and comments from the consultees.</w:t>
            </w:r>
          </w:p>
          <w:p w14:paraId="261C0BFD" w14:textId="77777777" w:rsidR="006A4B4E" w:rsidRPr="00981494" w:rsidRDefault="006A4B4E" w:rsidP="006A4B4E">
            <w:pPr>
              <w:pStyle w:val="Bulletleft1"/>
              <w:numPr>
                <w:ilvl w:val="0"/>
                <w:numId w:val="7"/>
              </w:numPr>
              <w:spacing w:line="240" w:lineRule="auto"/>
            </w:pPr>
            <w:r w:rsidRPr="00981494">
              <w:t xml:space="preserve">At that meeting, the </w:t>
            </w:r>
            <w:r>
              <w:t>c</w:t>
            </w:r>
            <w:r w:rsidRPr="00981494">
              <w:t>ommittee will also consider comments made by people who are not consultees.</w:t>
            </w:r>
          </w:p>
          <w:p w14:paraId="1D04BB7C" w14:textId="77777777" w:rsidR="006A4B4E" w:rsidRPr="00981494" w:rsidRDefault="006A4B4E" w:rsidP="006A4B4E">
            <w:pPr>
              <w:pStyle w:val="Bulletleft1"/>
              <w:numPr>
                <w:ilvl w:val="0"/>
                <w:numId w:val="7"/>
              </w:numPr>
              <w:spacing w:line="240" w:lineRule="auto"/>
            </w:pPr>
            <w:r w:rsidRPr="00981494">
              <w:t xml:space="preserve">After considering these comments, the </w:t>
            </w:r>
            <w:r>
              <w:t>c</w:t>
            </w:r>
            <w:r w:rsidRPr="00981494">
              <w:t>ommittee will prepare the final appraisal d</w:t>
            </w:r>
            <w:r>
              <w:t>ocument</w:t>
            </w:r>
            <w:r w:rsidRPr="00981494">
              <w:t>.</w:t>
            </w:r>
          </w:p>
          <w:p w14:paraId="59993DF7" w14:textId="322AF490" w:rsidR="006A4B4E" w:rsidRPr="00981494" w:rsidRDefault="006A4B4E" w:rsidP="006A4B4E">
            <w:pPr>
              <w:pStyle w:val="Bulletleft1last"/>
              <w:numPr>
                <w:ilvl w:val="0"/>
                <w:numId w:val="11"/>
              </w:numPr>
              <w:spacing w:line="240" w:lineRule="auto"/>
            </w:pPr>
            <w:r w:rsidRPr="00981494">
              <w:t>Subject to any appeal by consultees, the final appraisal d</w:t>
            </w:r>
            <w:r>
              <w:t>ocument</w:t>
            </w:r>
            <w:r w:rsidRPr="00981494">
              <w:t xml:space="preserve"> may be used as the basis for NICE’s guidance on using </w:t>
            </w:r>
            <w:r>
              <w:t>pembrolizumab</w:t>
            </w:r>
            <w:r w:rsidRPr="00981494">
              <w:t xml:space="preserve"> in the NHS in England. </w:t>
            </w:r>
          </w:p>
          <w:p w14:paraId="66EB163A" w14:textId="77777777" w:rsidR="006A4B4E" w:rsidRPr="00981494" w:rsidRDefault="006A4B4E" w:rsidP="004C3FA0">
            <w:pPr>
              <w:pStyle w:val="NICEnormalsinglespacing"/>
            </w:pPr>
            <w:r w:rsidRPr="00276C00">
              <w:t xml:space="preserve">For further details, see </w:t>
            </w:r>
            <w:r>
              <w:t>NICE’s</w:t>
            </w:r>
            <w:r w:rsidRPr="00276C00">
              <w:t xml:space="preserve"> </w:t>
            </w:r>
            <w:hyperlink r:id="rId9" w:history="1">
              <w:r w:rsidRPr="00021681">
                <w:rPr>
                  <w:rStyle w:val="Hyperlink"/>
                </w:rPr>
                <w:t>guide to the processes of technology appraisal</w:t>
              </w:r>
            </w:hyperlink>
            <w:r>
              <w:t>.</w:t>
            </w:r>
          </w:p>
          <w:p w14:paraId="63C0A5AE" w14:textId="77777777" w:rsidR="006A4B4E" w:rsidRPr="00981494" w:rsidRDefault="006A4B4E" w:rsidP="004C3FA0">
            <w:pPr>
              <w:pStyle w:val="NICEnormalsinglespacing"/>
              <w:rPr>
                <w:b/>
                <w:bCs/>
              </w:rPr>
            </w:pPr>
            <w:r w:rsidRPr="00981494">
              <w:rPr>
                <w:b/>
                <w:bCs/>
              </w:rPr>
              <w:t>The key dates for this appraisal are:</w:t>
            </w:r>
          </w:p>
          <w:p w14:paraId="70A0F2A7" w14:textId="1B216155" w:rsidR="006A4B4E" w:rsidRPr="00981494" w:rsidRDefault="006A4B4E" w:rsidP="004C3FA0">
            <w:pPr>
              <w:pStyle w:val="NICEnormalsinglespacing"/>
            </w:pPr>
            <w:r w:rsidRPr="00981494">
              <w:t xml:space="preserve">Closing date for comments: </w:t>
            </w:r>
            <w:r>
              <w:t>5 December 2019</w:t>
            </w:r>
          </w:p>
          <w:p w14:paraId="6989E6D4" w14:textId="1E7F4FD5" w:rsidR="006A4B4E" w:rsidRPr="00981494" w:rsidRDefault="006A4B4E" w:rsidP="004C3FA0">
            <w:pPr>
              <w:pStyle w:val="NICEnormalsinglespacing"/>
            </w:pPr>
            <w:r w:rsidRPr="00981494">
              <w:t xml:space="preserve">Second </w:t>
            </w:r>
            <w:r>
              <w:t>a</w:t>
            </w:r>
            <w:r w:rsidRPr="00981494">
              <w:t xml:space="preserve">ppraisal </w:t>
            </w:r>
            <w:r>
              <w:t>c</w:t>
            </w:r>
            <w:r w:rsidRPr="00981494">
              <w:t xml:space="preserve">ommittee meeting: </w:t>
            </w:r>
            <w:r>
              <w:t>7 January 2020</w:t>
            </w:r>
          </w:p>
          <w:p w14:paraId="6A693E16" w14:textId="49334319" w:rsidR="006A4B4E" w:rsidRPr="00981494" w:rsidRDefault="006A4B4E" w:rsidP="004C3FA0">
            <w:pPr>
              <w:pStyle w:val="NICEnormalsinglespacing"/>
            </w:pPr>
            <w:r w:rsidRPr="00981494">
              <w:t xml:space="preserve">Details of membership of the </w:t>
            </w:r>
            <w:r>
              <w:t>a</w:t>
            </w:r>
            <w:r w:rsidRPr="00981494">
              <w:t xml:space="preserve">ppraisal </w:t>
            </w:r>
            <w:r>
              <w:t>c</w:t>
            </w:r>
            <w:r w:rsidRPr="00981494">
              <w:t xml:space="preserve">ommittee are given in </w:t>
            </w:r>
            <w:hyperlink w:anchor="_Appraisal_committee_members" w:history="1">
              <w:r w:rsidRPr="00C41C31">
                <w:rPr>
                  <w:rStyle w:val="Hyperlink"/>
                </w:rPr>
                <w:t>section</w:t>
              </w:r>
              <w:r w:rsidR="00C41C31" w:rsidRPr="00C41C31">
                <w:rPr>
                  <w:rStyle w:val="Hyperlink"/>
                </w:rPr>
                <w:t> 5</w:t>
              </w:r>
            </w:hyperlink>
            <w:r>
              <w:t>.</w:t>
            </w:r>
          </w:p>
        </w:tc>
      </w:tr>
    </w:tbl>
    <w:p w14:paraId="345E6A71" w14:textId="166AD997" w:rsidR="006A4B4E" w:rsidRDefault="006A4B4E">
      <w:pPr>
        <w:pStyle w:val="NICEnormal"/>
      </w:pPr>
    </w:p>
    <w:p w14:paraId="1C2A371F" w14:textId="77777777" w:rsidR="006A4B4E" w:rsidRDefault="006A4B4E">
      <w:pPr>
        <w:rPr>
          <w:rFonts w:ascii="Arial" w:hAnsi="Arial"/>
        </w:rPr>
      </w:pPr>
      <w:r>
        <w:br w:type="page"/>
      </w:r>
    </w:p>
    <w:p w14:paraId="31DB92E9" w14:textId="77777777" w:rsidR="0070272A" w:rsidRDefault="00D66A24">
      <w:pPr>
        <w:pStyle w:val="Numberedheading1"/>
        <w:numPr>
          <w:ilvl w:val="0"/>
          <w:numId w:val="4"/>
        </w:numPr>
      </w:pPr>
      <w:r>
        <w:lastRenderedPageBreak/>
        <w:t>Recommendations</w:t>
      </w:r>
    </w:p>
    <w:p w14:paraId="7DFF1138" w14:textId="7299F845" w:rsidR="00F7480F" w:rsidRPr="00E44867" w:rsidRDefault="00D66A24" w:rsidP="002A2EDE">
      <w:pPr>
        <w:pStyle w:val="Numberedlevel2text"/>
        <w:numPr>
          <w:ilvl w:val="1"/>
          <w:numId w:val="6"/>
        </w:numPr>
        <w:rPr>
          <w:lang w:val="en-GB"/>
        </w:rPr>
      </w:pPr>
      <w:r>
        <w:rPr>
          <w:lang w:val="en-GB"/>
        </w:rPr>
        <w:t>Pembrolizumab</w:t>
      </w:r>
      <w:r>
        <w:t xml:space="preserve"> is</w:t>
      </w:r>
      <w:r w:rsidR="00653400">
        <w:rPr>
          <w:lang w:val="en-GB"/>
        </w:rPr>
        <w:t xml:space="preserve"> not</w:t>
      </w:r>
      <w:r>
        <w:t xml:space="preserve"> recommended</w:t>
      </w:r>
      <w:r w:rsidR="00653400">
        <w:rPr>
          <w:lang w:val="en-GB"/>
        </w:rPr>
        <w:t>, within its marketing authorisation,</w:t>
      </w:r>
      <w:r w:rsidR="003E5CD3" w:rsidRPr="003E5CD3">
        <w:t xml:space="preserve"> </w:t>
      </w:r>
      <w:r>
        <w:t xml:space="preserve">for </w:t>
      </w:r>
      <w:r>
        <w:rPr>
          <w:lang w:val="en-GB"/>
        </w:rPr>
        <w:t xml:space="preserve">treating </w:t>
      </w:r>
      <w:r>
        <w:t xml:space="preserve">locally advanced or metastatic urothelial carcinoma in adults who have </w:t>
      </w:r>
      <w:r>
        <w:rPr>
          <w:lang w:val="en-GB"/>
        </w:rPr>
        <w:t>had</w:t>
      </w:r>
      <w:r>
        <w:t xml:space="preserve"> </w:t>
      </w:r>
      <w:r w:rsidR="00096F4B">
        <w:rPr>
          <w:lang w:val="en-GB"/>
        </w:rPr>
        <w:t xml:space="preserve">platinum-containing </w:t>
      </w:r>
      <w:r>
        <w:t>chemotherapy</w:t>
      </w:r>
      <w:r w:rsidR="00653400">
        <w:rPr>
          <w:lang w:val="en-GB"/>
        </w:rPr>
        <w:t>.</w:t>
      </w:r>
    </w:p>
    <w:p w14:paraId="3CAAEBCB" w14:textId="7D360323" w:rsidR="0070272A" w:rsidRPr="00D6148E" w:rsidRDefault="002A2EDE" w:rsidP="00D6148E">
      <w:pPr>
        <w:pStyle w:val="Numberedlevel2text"/>
        <w:numPr>
          <w:ilvl w:val="1"/>
          <w:numId w:val="6"/>
        </w:numPr>
        <w:rPr>
          <w:lang w:val="en-GB"/>
        </w:rPr>
      </w:pPr>
      <w:r w:rsidRPr="0009129B">
        <w:t xml:space="preserve">This </w:t>
      </w:r>
      <w:r w:rsidR="007E1D1A" w:rsidRPr="00D6148E">
        <w:rPr>
          <w:lang w:val="en-GB"/>
        </w:rPr>
        <w:t>recommendation</w:t>
      </w:r>
      <w:r w:rsidR="007E1D1A" w:rsidRPr="0009129B">
        <w:t xml:space="preserve"> </w:t>
      </w:r>
      <w:r w:rsidRPr="0009129B">
        <w:t xml:space="preserve">is not intended to affect </w:t>
      </w:r>
      <w:r w:rsidRPr="006A2D99">
        <w:t xml:space="preserve">treatment with </w:t>
      </w:r>
      <w:r w:rsidRPr="00D6148E">
        <w:rPr>
          <w:lang w:val="en-GB"/>
        </w:rPr>
        <w:t>pembrolizumab</w:t>
      </w:r>
      <w:r w:rsidRPr="006A2D99">
        <w:t xml:space="preserve"> </w:t>
      </w:r>
      <w:r w:rsidR="00744BC5" w:rsidRPr="00D6148E">
        <w:rPr>
          <w:lang w:val="en-GB"/>
        </w:rPr>
        <w:t xml:space="preserve">that </w:t>
      </w:r>
      <w:r w:rsidRPr="006A2D99">
        <w:t>was started in the NHS befo</w:t>
      </w:r>
      <w:r>
        <w:t xml:space="preserve">re this guidance was published. </w:t>
      </w:r>
      <w:r w:rsidR="00744BC5" w:rsidRPr="00D6148E">
        <w:rPr>
          <w:lang w:val="en-GB"/>
        </w:rPr>
        <w:t>People having t</w:t>
      </w:r>
      <w:r>
        <w:t xml:space="preserve">reatment </w:t>
      </w:r>
      <w:r w:rsidR="00744BC5" w:rsidRPr="00D6148E">
        <w:rPr>
          <w:lang w:val="en-GB"/>
        </w:rPr>
        <w:t xml:space="preserve">outside of this recommendation </w:t>
      </w:r>
      <w:r>
        <w:t xml:space="preserve">may </w:t>
      </w:r>
      <w:r w:rsidRPr="006A2D99">
        <w:t xml:space="preserve">continue </w:t>
      </w:r>
      <w:r>
        <w:t xml:space="preserve">without change to </w:t>
      </w:r>
      <w:r w:rsidR="00744BC5" w:rsidRPr="00D6148E">
        <w:rPr>
          <w:lang w:val="en-GB"/>
        </w:rPr>
        <w:t xml:space="preserve">the </w:t>
      </w:r>
      <w:r>
        <w:t xml:space="preserve">funding arrangements </w:t>
      </w:r>
      <w:r w:rsidR="00744BC5" w:rsidRPr="00D6148E">
        <w:rPr>
          <w:lang w:val="en-GB"/>
        </w:rPr>
        <w:t>in</w:t>
      </w:r>
      <w:r>
        <w:t xml:space="preserve"> place for them before this guidance was published</w:t>
      </w:r>
      <w:r w:rsidR="00744BC5" w:rsidRPr="00D6148E">
        <w:rPr>
          <w:lang w:val="en-GB"/>
        </w:rPr>
        <w:t>,</w:t>
      </w:r>
      <w:r w:rsidRPr="006A2D99">
        <w:t xml:space="preserve"> until they and their NHS clinician consider it appropriate to stop</w:t>
      </w:r>
      <w:r w:rsidR="00841D7B" w:rsidRPr="00D6148E">
        <w:rPr>
          <w:lang w:val="en-GB"/>
        </w:rPr>
        <w:t>.</w:t>
      </w:r>
    </w:p>
    <w:p w14:paraId="0424A809" w14:textId="77777777" w:rsidR="0070272A" w:rsidRPr="0080086C" w:rsidRDefault="00D66A24" w:rsidP="00DC76A8">
      <w:pPr>
        <w:pStyle w:val="NICEnormal"/>
      </w:pPr>
      <w:r w:rsidRPr="00DC76A8">
        <w:rPr>
          <w:b/>
        </w:rPr>
        <w:t>Why the committee made these recommendations</w:t>
      </w:r>
    </w:p>
    <w:p w14:paraId="3443A4DD" w14:textId="24345130" w:rsidR="000D394D" w:rsidRDefault="000D394D">
      <w:pPr>
        <w:pStyle w:val="NICEnormalindented"/>
        <w:spacing w:before="120" w:after="120"/>
      </w:pPr>
      <w:r>
        <w:t xml:space="preserve">Pembrolizumab for previously treated locally advanced or metastatic urothelial carcinoma was recommended for use in the Cancer Drugs Fund in </w:t>
      </w:r>
      <w:hyperlink r:id="rId10" w:history="1">
        <w:r w:rsidRPr="008270E9">
          <w:rPr>
            <w:rStyle w:val="Hyperlink"/>
          </w:rPr>
          <w:t>technology appraisal 519</w:t>
        </w:r>
      </w:hyperlink>
      <w:r>
        <w:t>. This appraisal review</w:t>
      </w:r>
      <w:r w:rsidR="00B67291">
        <w:t>s</w:t>
      </w:r>
      <w:r>
        <w:t xml:space="preserve"> the evidence </w:t>
      </w:r>
      <w:r w:rsidR="00DA3D05">
        <w:t xml:space="preserve">collected </w:t>
      </w:r>
      <w:r w:rsidR="00B67291">
        <w:t>after</w:t>
      </w:r>
      <w:r w:rsidR="00FA64FE">
        <w:t xml:space="preserve"> pembrolizumab became </w:t>
      </w:r>
      <w:r w:rsidR="00436DAF">
        <w:t>availab</w:t>
      </w:r>
      <w:r w:rsidR="004C0592">
        <w:t>l</w:t>
      </w:r>
      <w:r w:rsidR="00FA64FE">
        <w:t>e</w:t>
      </w:r>
      <w:r>
        <w:t xml:space="preserve"> </w:t>
      </w:r>
      <w:r w:rsidR="00B67291">
        <w:t>through</w:t>
      </w:r>
      <w:r>
        <w:t xml:space="preserve"> the Cancer Drugs Fund.</w:t>
      </w:r>
    </w:p>
    <w:p w14:paraId="3DCF762D" w14:textId="1C2B2403" w:rsidR="000E368D" w:rsidRDefault="002C6116">
      <w:pPr>
        <w:pStyle w:val="NICEnormalindented"/>
        <w:spacing w:before="120" w:after="120"/>
      </w:pPr>
      <w:r>
        <w:t xml:space="preserve">Treatment </w:t>
      </w:r>
      <w:r w:rsidR="00B67291">
        <w:t>for</w:t>
      </w:r>
      <w:r w:rsidR="000D394D">
        <w:t xml:space="preserve"> this indication</w:t>
      </w:r>
      <w:r>
        <w:t xml:space="preserve"> </w:t>
      </w:r>
      <w:r w:rsidR="00C93618">
        <w:t xml:space="preserve">includes </w:t>
      </w:r>
      <w:r>
        <w:t xml:space="preserve">docetaxel or paclitaxel. </w:t>
      </w:r>
      <w:r w:rsidR="000E368D">
        <w:t>Clinical trial evidence shows that pembrolizumab significantly improves overall survival compared with docetaxel and paclitaxel.</w:t>
      </w:r>
    </w:p>
    <w:p w14:paraId="0D4F1A38" w14:textId="48492F0C" w:rsidR="0070272A" w:rsidRDefault="00082392">
      <w:pPr>
        <w:pStyle w:val="NICEnormalindented"/>
        <w:spacing w:before="120" w:after="120"/>
      </w:pPr>
      <w:r>
        <w:t>Atezolizumab</w:t>
      </w:r>
      <w:r w:rsidR="00A45045">
        <w:t xml:space="preserve"> is now also</w:t>
      </w:r>
      <w:r>
        <w:t xml:space="preserve"> </w:t>
      </w:r>
      <w:r w:rsidR="000E7974">
        <w:t>a possible treatment</w:t>
      </w:r>
      <w:r>
        <w:t xml:space="preserve">. </w:t>
      </w:r>
      <w:r w:rsidR="002328B9">
        <w:t>But</w:t>
      </w:r>
      <w:r>
        <w:t xml:space="preserve"> </w:t>
      </w:r>
      <w:r w:rsidR="000E7974">
        <w:t xml:space="preserve">it </w:t>
      </w:r>
      <w:r w:rsidR="000E368D">
        <w:t xml:space="preserve">was </w:t>
      </w:r>
      <w:r w:rsidR="000D394D">
        <w:t>not established clinical practice in the NHS at the time of the original appraisal, so is not included in the scope</w:t>
      </w:r>
      <w:r>
        <w:t xml:space="preserve">. </w:t>
      </w:r>
    </w:p>
    <w:p w14:paraId="1E2220CA" w14:textId="3E113ACA" w:rsidR="00DE1338" w:rsidRDefault="002B4EC6" w:rsidP="00DE1338">
      <w:pPr>
        <w:pStyle w:val="NICEnormalindented"/>
      </w:pPr>
      <w:r>
        <w:t xml:space="preserve">If </w:t>
      </w:r>
      <w:r w:rsidR="00505C3F">
        <w:t>an active treatment is</w:t>
      </w:r>
      <w:r>
        <w:t xml:space="preserve"> not tolerated or people choose not to have </w:t>
      </w:r>
      <w:r w:rsidR="00505C3F">
        <w:t>it</w:t>
      </w:r>
      <w:r>
        <w:t xml:space="preserve">, best supportive care is given. </w:t>
      </w:r>
      <w:r w:rsidR="00DE1338">
        <w:t>No clinical or cost</w:t>
      </w:r>
      <w:r w:rsidR="001C16AB">
        <w:t>-</w:t>
      </w:r>
      <w:r w:rsidR="00DE1338" w:rsidRPr="009B39C8">
        <w:t>effectiveness</w:t>
      </w:r>
      <w:r w:rsidR="00DE1338">
        <w:t xml:space="preserve"> evidence was available for pembrolizumab compared with best supportive care.</w:t>
      </w:r>
    </w:p>
    <w:p w14:paraId="2180AA32" w14:textId="1B9AD365" w:rsidR="007E1D1A" w:rsidRDefault="00D66A24" w:rsidP="007E1B7F">
      <w:pPr>
        <w:pStyle w:val="NICEnormalindented"/>
        <w:spacing w:before="120" w:after="120"/>
      </w:pPr>
      <w:r>
        <w:t xml:space="preserve">Pembrolizumab meets NICE’s criteria to </w:t>
      </w:r>
      <w:r>
        <w:rPr>
          <w:rFonts w:cs="Arial"/>
        </w:rPr>
        <w:t>be considered a life-extending treatment at the end of life</w:t>
      </w:r>
      <w:r>
        <w:t>.</w:t>
      </w:r>
      <w:r w:rsidR="00347C0A">
        <w:t xml:space="preserve"> </w:t>
      </w:r>
      <w:r w:rsidR="00744BC5">
        <w:t xml:space="preserve">The most </w:t>
      </w:r>
      <w:r w:rsidR="001A78AB">
        <w:t xml:space="preserve">likely </w:t>
      </w:r>
      <w:r w:rsidR="00744BC5">
        <w:t>cost</w:t>
      </w:r>
      <w:r w:rsidR="00EC0CEF">
        <w:t>-</w:t>
      </w:r>
      <w:r w:rsidR="00744BC5">
        <w:t xml:space="preserve">effectiveness estimate for pembrolizumab </w:t>
      </w:r>
      <w:r w:rsidR="00937BA9">
        <w:t>is uncertain</w:t>
      </w:r>
      <w:r w:rsidR="00FD2202">
        <w:t>. This is</w:t>
      </w:r>
      <w:r w:rsidR="00937BA9">
        <w:t xml:space="preserve"> because it </w:t>
      </w:r>
      <w:r w:rsidR="00C77C4A">
        <w:t xml:space="preserve">is </w:t>
      </w:r>
      <w:r w:rsidR="00937BA9">
        <w:t xml:space="preserve">not clear which </w:t>
      </w:r>
      <w:r w:rsidR="0099439D">
        <w:t xml:space="preserve">model of </w:t>
      </w:r>
      <w:r w:rsidR="00937BA9">
        <w:lastRenderedPageBreak/>
        <w:t xml:space="preserve">overall survival is most appropriate. </w:t>
      </w:r>
      <w:r w:rsidR="00113CEA">
        <w:t>Even when pembrolizumab is offered with its agreed discount, t</w:t>
      </w:r>
      <w:r w:rsidR="00937BA9">
        <w:t xml:space="preserve">he </w:t>
      </w:r>
      <w:r w:rsidR="007E1B7F" w:rsidRPr="0082739E">
        <w:t xml:space="preserve">most plausible </w:t>
      </w:r>
      <w:r w:rsidR="00B23041">
        <w:t>cost</w:t>
      </w:r>
      <w:r w:rsidR="00C261F9">
        <w:t>-</w:t>
      </w:r>
      <w:r w:rsidR="00B23041">
        <w:t>effectiveness estimate</w:t>
      </w:r>
      <w:r w:rsidR="00B23041" w:rsidRPr="0082739E">
        <w:t xml:space="preserve"> </w:t>
      </w:r>
      <w:r w:rsidR="00113CEA">
        <w:t>remains</w:t>
      </w:r>
      <w:r w:rsidR="00113CEA" w:rsidRPr="0082739E">
        <w:t xml:space="preserve"> </w:t>
      </w:r>
      <w:r w:rsidR="007E1B7F" w:rsidRPr="0082739E">
        <w:t>above what NICE normally considers acceptable for end-of-life treatments</w:t>
      </w:r>
      <w:r w:rsidR="00937BA9">
        <w:t>.</w:t>
      </w:r>
      <w:r w:rsidR="00671A43">
        <w:t xml:space="preserve"> </w:t>
      </w:r>
      <w:r w:rsidR="00841D7B">
        <w:t>Therefore,</w:t>
      </w:r>
      <w:r w:rsidR="00671A43">
        <w:t xml:space="preserve"> pembrolizumab </w:t>
      </w:r>
      <w:r w:rsidR="009B39C8">
        <w:t>is</w:t>
      </w:r>
      <w:r w:rsidR="00671A43">
        <w:t xml:space="preserve"> not recommended</w:t>
      </w:r>
      <w:r w:rsidR="007E1B7F" w:rsidRPr="0082739E">
        <w:t>.</w:t>
      </w:r>
    </w:p>
    <w:p w14:paraId="7104EA1E" w14:textId="37A42FB6" w:rsidR="00841D7B" w:rsidRPr="0051425B" w:rsidRDefault="00671A43" w:rsidP="00D6148E">
      <w:pPr>
        <w:pStyle w:val="NICEnormalindented"/>
        <w:spacing w:before="120" w:after="120"/>
      </w:pPr>
      <w:r w:rsidRPr="00D6148E">
        <w:t>Beca</w:t>
      </w:r>
      <w:r w:rsidRPr="007726F5">
        <w:t>use</w:t>
      </w:r>
      <w:r w:rsidRPr="00D6148E">
        <w:t xml:space="preserve"> pembrolizumab has already been available </w:t>
      </w:r>
      <w:r w:rsidR="00CC240D">
        <w:t>through</w:t>
      </w:r>
      <w:r w:rsidR="0010182B">
        <w:t xml:space="preserve"> the Cancer Drugs Fund </w:t>
      </w:r>
      <w:r w:rsidRPr="00D6148E">
        <w:t xml:space="preserve">for locally advanced or metastatic urothelial carcinoma in adults who have had platinum-containing chemotherapy, </w:t>
      </w:r>
      <w:r w:rsidR="001021E2">
        <w:t xml:space="preserve">it </w:t>
      </w:r>
      <w:r w:rsidR="001021E2" w:rsidRPr="001021E2">
        <w:t xml:space="preserve">may not remain in the Cancer Drugs Fund </w:t>
      </w:r>
      <w:r w:rsidR="001021E2">
        <w:t xml:space="preserve">for this indication </w:t>
      </w:r>
      <w:r w:rsidR="001021E2" w:rsidRPr="001021E2">
        <w:t>once the guidance review has been completed</w:t>
      </w:r>
      <w:r w:rsidR="00B55945" w:rsidRPr="00D6148E">
        <w:t>.</w:t>
      </w:r>
    </w:p>
    <w:p w14:paraId="00C98201" w14:textId="3020AFCC" w:rsidR="0070272A" w:rsidRDefault="009E4284">
      <w:pPr>
        <w:pStyle w:val="Numberedheading1"/>
        <w:numPr>
          <w:ilvl w:val="0"/>
          <w:numId w:val="4"/>
        </w:numPr>
      </w:pPr>
      <w:r>
        <w:t>Information about pembrolizumab</w:t>
      </w:r>
    </w:p>
    <w:tbl>
      <w:tblPr>
        <w:tblW w:w="852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084"/>
        <w:gridCol w:w="5445"/>
      </w:tblGrid>
      <w:tr w:rsidR="0070272A" w14:paraId="36CC2176" w14:textId="77777777">
        <w:tc>
          <w:tcPr>
            <w:tcW w:w="8529"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D8D0A2C" w14:textId="77777777" w:rsidR="0070272A" w:rsidRDefault="00D66A24">
            <w:pPr>
              <w:pStyle w:val="Tabletext"/>
              <w:rPr>
                <w:b/>
              </w:rPr>
            </w:pPr>
            <w:r>
              <w:rPr>
                <w:b/>
              </w:rPr>
              <w:t>Pembrolizumab (Keytruda, Merck Sharp &amp; Dohme)</w:t>
            </w:r>
          </w:p>
        </w:tc>
      </w:tr>
      <w:tr w:rsidR="0070272A" w14:paraId="52E5C4E5" w14:textId="77777777">
        <w:tc>
          <w:tcPr>
            <w:tcW w:w="308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02C8B40" w14:textId="62C3F437" w:rsidR="0070272A" w:rsidRDefault="004939FA" w:rsidP="004939FA">
            <w:pPr>
              <w:pStyle w:val="Tabletext"/>
              <w:rPr>
                <w:b/>
              </w:rPr>
            </w:pPr>
            <w:r>
              <w:rPr>
                <w:b/>
              </w:rPr>
              <w:t>M</w:t>
            </w:r>
            <w:r w:rsidR="00D66A24">
              <w:rPr>
                <w:b/>
              </w:rPr>
              <w:t>arketing authorisation</w:t>
            </w:r>
          </w:p>
        </w:tc>
        <w:tc>
          <w:tcPr>
            <w:tcW w:w="54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7E6F8DB" w14:textId="4B845427" w:rsidR="0070272A" w:rsidRDefault="004939FA" w:rsidP="004939FA">
            <w:pPr>
              <w:pStyle w:val="Tabletext"/>
            </w:pPr>
            <w:r>
              <w:t>Pembrolizumab has</w:t>
            </w:r>
            <w:r w:rsidR="00D66A24">
              <w:t xml:space="preserve"> a marketing authorisation</w:t>
            </w:r>
            <w:r w:rsidR="002B65B9" w:rsidRPr="002B65B9">
              <w:t xml:space="preserve"> for </w:t>
            </w:r>
            <w:r w:rsidR="000D13D4">
              <w:t>‘</w:t>
            </w:r>
            <w:r w:rsidR="002B65B9" w:rsidRPr="002B65B9">
              <w:t>the treatment of locally advanced or metastatic urothelial carcinoma in adults who have received prior platinum-containing chemotherapy</w:t>
            </w:r>
            <w:r w:rsidR="000D13D4">
              <w:t>’</w:t>
            </w:r>
            <w:r w:rsidR="00D66A24">
              <w:t>.</w:t>
            </w:r>
          </w:p>
        </w:tc>
      </w:tr>
      <w:tr w:rsidR="0070272A" w14:paraId="0C5A00A7" w14:textId="77777777">
        <w:tc>
          <w:tcPr>
            <w:tcW w:w="308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3BF6F24" w14:textId="77777777" w:rsidR="0070272A" w:rsidRDefault="00D66A24">
            <w:pPr>
              <w:pStyle w:val="Tabletext"/>
              <w:rPr>
                <w:b/>
              </w:rPr>
            </w:pPr>
            <w:r>
              <w:rPr>
                <w:b/>
              </w:rPr>
              <w:t>Recommended dose and schedule</w:t>
            </w:r>
          </w:p>
        </w:tc>
        <w:tc>
          <w:tcPr>
            <w:tcW w:w="54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2178BC5" w14:textId="11F05C41" w:rsidR="0070272A" w:rsidRDefault="00D66A24" w:rsidP="007259A6">
            <w:pPr>
              <w:pStyle w:val="Tabletext"/>
            </w:pPr>
            <w:r>
              <w:t xml:space="preserve">200 mg </w:t>
            </w:r>
            <w:r w:rsidR="007259A6">
              <w:t xml:space="preserve">by intravenous infusion </w:t>
            </w:r>
            <w:r>
              <w:t>every 3 weeks</w:t>
            </w:r>
            <w:r w:rsidR="003C36D6">
              <w:t>, or 400</w:t>
            </w:r>
            <w:r w:rsidR="00CB36FE">
              <w:t> </w:t>
            </w:r>
            <w:r w:rsidR="003C36D6">
              <w:t>mg by intravenous infusion every 6 weeks,</w:t>
            </w:r>
            <w:r>
              <w:t xml:space="preserve"> until disease progression or unacceptable toxicity.</w:t>
            </w:r>
          </w:p>
        </w:tc>
      </w:tr>
      <w:tr w:rsidR="0070272A" w14:paraId="7454F0F9" w14:textId="77777777">
        <w:tc>
          <w:tcPr>
            <w:tcW w:w="308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3D7B259" w14:textId="77777777" w:rsidR="0070272A" w:rsidRDefault="00D66A24">
            <w:pPr>
              <w:pStyle w:val="Tabletext"/>
              <w:rPr>
                <w:b/>
              </w:rPr>
            </w:pPr>
            <w:bookmarkStart w:id="0" w:name="_Hlk23498227"/>
            <w:r>
              <w:rPr>
                <w:b/>
              </w:rPr>
              <w:t>Price</w:t>
            </w:r>
          </w:p>
        </w:tc>
        <w:tc>
          <w:tcPr>
            <w:tcW w:w="544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4E1FC90" w14:textId="77777777" w:rsidR="0070272A" w:rsidRDefault="00D66A24">
            <w:pPr>
              <w:pStyle w:val="Tabletext"/>
            </w:pPr>
            <w:r>
              <w:t>£2,630 per 100 mg vial (excluding VAT; company submission).</w:t>
            </w:r>
          </w:p>
          <w:p w14:paraId="722AD795" w14:textId="0118746B" w:rsidR="00C6342D" w:rsidRPr="00F616C6" w:rsidRDefault="008D096E" w:rsidP="00EB7EFA">
            <w:pPr>
              <w:pStyle w:val="Tabletext"/>
            </w:pPr>
            <w:r w:rsidRPr="00C6342D">
              <w:t>T</w:t>
            </w:r>
            <w:r w:rsidR="00F6794B" w:rsidRPr="00C6342D">
              <w:t xml:space="preserve">he company has a commercial </w:t>
            </w:r>
            <w:r w:rsidR="00C6342D" w:rsidRPr="00C6342D">
              <w:t>arrangement</w:t>
            </w:r>
            <w:r w:rsidR="00F6794B" w:rsidRPr="00C6342D">
              <w:t xml:space="preserve"> </w:t>
            </w:r>
            <w:r w:rsidR="00C6342D" w:rsidRPr="00C6342D">
              <w:t xml:space="preserve">(simple discount patient access scheme), which would have </w:t>
            </w:r>
            <w:r w:rsidR="00C6342D" w:rsidRPr="009C4A1E">
              <w:t xml:space="preserve">applied </w:t>
            </w:r>
            <w:r w:rsidR="00C6342D" w:rsidRPr="00F616C6">
              <w:t>if the technology had been recommended for routine commissioning</w:t>
            </w:r>
            <w:r w:rsidR="00F6794B" w:rsidRPr="00F616C6">
              <w:t>. This makes pembrolizumab available at a reduced cost. The financial terms of the agreement are commercial in confidence.</w:t>
            </w:r>
          </w:p>
          <w:p w14:paraId="5CA30072" w14:textId="731271F6" w:rsidR="00C6342D" w:rsidRDefault="00C6342D" w:rsidP="00EB7EFA">
            <w:pPr>
              <w:pStyle w:val="Tabletext"/>
            </w:pPr>
            <w:r w:rsidRPr="00277984">
              <w:t>While available in the</w:t>
            </w:r>
            <w:r w:rsidRPr="00E04329">
              <w:t xml:space="preserve"> Cancer Drugs Fund</w:t>
            </w:r>
            <w:r w:rsidR="00B115E4">
              <w:t xml:space="preserve"> (see </w:t>
            </w:r>
            <w:hyperlink r:id="rId11" w:history="1">
              <w:r w:rsidR="00A4289E">
                <w:rPr>
                  <w:rStyle w:val="Hyperlink"/>
                </w:rPr>
                <w:t>technology</w:t>
              </w:r>
              <w:r w:rsidR="00A4289E">
                <w:rPr>
                  <w:rStyle w:val="Hyperlink"/>
                </w:rPr>
                <w:t xml:space="preserve"> </w:t>
              </w:r>
              <w:r w:rsidR="00A4289E">
                <w:rPr>
                  <w:rStyle w:val="Hyperlink"/>
                </w:rPr>
                <w:t xml:space="preserve">appraisal </w:t>
              </w:r>
              <w:r w:rsidR="00B115E4" w:rsidRPr="00B115E4">
                <w:rPr>
                  <w:rStyle w:val="Hyperlink"/>
                </w:rPr>
                <w:t>519</w:t>
              </w:r>
            </w:hyperlink>
            <w:r w:rsidR="00B115E4">
              <w:t>)</w:t>
            </w:r>
            <w:r w:rsidRPr="00B115E4">
              <w:t>, pembrolizumab has a</w:t>
            </w:r>
            <w:r>
              <w:t xml:space="preserve"> commercial arrangement (managed access agreement including a </w:t>
            </w:r>
            <w:r w:rsidR="00B115E4">
              <w:t>commercial access agreement).</w:t>
            </w:r>
          </w:p>
        </w:tc>
      </w:tr>
    </w:tbl>
    <w:bookmarkEnd w:id="0"/>
    <w:p w14:paraId="79AD7F4F" w14:textId="77777777" w:rsidR="0070272A" w:rsidRDefault="00D66A24">
      <w:pPr>
        <w:pStyle w:val="Numberedheading1"/>
        <w:numPr>
          <w:ilvl w:val="0"/>
          <w:numId w:val="4"/>
        </w:numPr>
      </w:pPr>
      <w:r>
        <w:t>Committee discussion</w:t>
      </w:r>
    </w:p>
    <w:p w14:paraId="2C475B05" w14:textId="45302611" w:rsidR="00BA7528" w:rsidRDefault="00D66A24">
      <w:pPr>
        <w:pStyle w:val="NICEnormal"/>
      </w:pPr>
      <w:r>
        <w:t>The appraisal committee (</w:t>
      </w:r>
      <w:hyperlink w:anchor="_Appraisal_committee_members" w:history="1">
        <w:r w:rsidR="0072306B" w:rsidRPr="0072306B">
          <w:rPr>
            <w:rStyle w:val="Hyperlink"/>
          </w:rPr>
          <w:t>section 5</w:t>
        </w:r>
      </w:hyperlink>
      <w:r>
        <w:t>) considered evidence submitted by Merck Sharp &amp; Dohme and a review of this submission by the evidence review group (ERG)</w:t>
      </w:r>
      <w:r w:rsidR="00BA7528">
        <w:t>, and the technical report developed through engagement with stakeholders</w:t>
      </w:r>
      <w:r>
        <w:t xml:space="preserve">. See the </w:t>
      </w:r>
      <w:hyperlink r:id="rId12">
        <w:r>
          <w:rPr>
            <w:rStyle w:val="InternetLink"/>
          </w:rPr>
          <w:t>committee papers</w:t>
        </w:r>
      </w:hyperlink>
      <w:r>
        <w:t xml:space="preserve"> for full details of the evidence.</w:t>
      </w:r>
    </w:p>
    <w:p w14:paraId="56BA60F6" w14:textId="30C72CBD" w:rsidR="00BA7528" w:rsidRDefault="00BA7528">
      <w:pPr>
        <w:pStyle w:val="NICEnormal"/>
      </w:pPr>
      <w:r w:rsidRPr="00BA7528">
        <w:lastRenderedPageBreak/>
        <w:t>The committee</w:t>
      </w:r>
      <w:r>
        <w:t xml:space="preserve"> </w:t>
      </w:r>
      <w:r w:rsidRPr="00BA7528">
        <w:t xml:space="preserve">recognised that there were remaining areas of uncertainty </w:t>
      </w:r>
      <w:r w:rsidR="00220043">
        <w:t>in</w:t>
      </w:r>
      <w:r w:rsidRPr="00BA7528">
        <w:t xml:space="preserve"> the analyses presented (see technical report, table 2, page </w:t>
      </w:r>
      <w:r>
        <w:t>37</w:t>
      </w:r>
      <w:r w:rsidRPr="00BA7528">
        <w:t>), and took these into account in its decision making. It discussed issues</w:t>
      </w:r>
      <w:r>
        <w:t xml:space="preserve"> 1</w:t>
      </w:r>
      <w:r w:rsidR="00220043">
        <w:t xml:space="preserve"> to </w:t>
      </w:r>
      <w:r>
        <w:t>5 from the technical report</w:t>
      </w:r>
      <w:r w:rsidRPr="00BA7528">
        <w:t xml:space="preserve">, which were </w:t>
      </w:r>
      <w:r w:rsidR="00877AFC">
        <w:t>not resolved</w:t>
      </w:r>
      <w:r w:rsidR="00877AFC" w:rsidRPr="00BA7528">
        <w:t xml:space="preserve"> </w:t>
      </w:r>
      <w:r w:rsidRPr="00BA7528">
        <w:t>after technical engagement</w:t>
      </w:r>
    </w:p>
    <w:p w14:paraId="0254B892" w14:textId="00C7DDC5" w:rsidR="00E966AC" w:rsidRDefault="00A4289E" w:rsidP="00E93564">
      <w:pPr>
        <w:pStyle w:val="Bulletleft1"/>
        <w:numPr>
          <w:ilvl w:val="0"/>
          <w:numId w:val="17"/>
        </w:numPr>
      </w:pPr>
      <w:r>
        <w:t>c</w:t>
      </w:r>
      <w:r w:rsidR="00E966AC" w:rsidRPr="00E966AC">
        <w:t>hoice of extrapolation for progression-free survival</w:t>
      </w:r>
      <w:commentRangeStart w:id="1"/>
      <w:commentRangeEnd w:id="1"/>
    </w:p>
    <w:p w14:paraId="6AD36317" w14:textId="0E938A36" w:rsidR="00E966AC" w:rsidRDefault="00A4289E" w:rsidP="00E93564">
      <w:pPr>
        <w:pStyle w:val="Bulletleft1"/>
        <w:numPr>
          <w:ilvl w:val="0"/>
          <w:numId w:val="17"/>
        </w:numPr>
      </w:pPr>
      <w:r>
        <w:t>t</w:t>
      </w:r>
      <w:r w:rsidR="00E966AC" w:rsidRPr="00E966AC">
        <w:t>reatment switching</w:t>
      </w:r>
    </w:p>
    <w:p w14:paraId="4BE641E4" w14:textId="346BE5E3" w:rsidR="00E966AC" w:rsidRDefault="00A4289E" w:rsidP="00E93564">
      <w:pPr>
        <w:pStyle w:val="Bulletleft1"/>
        <w:numPr>
          <w:ilvl w:val="0"/>
          <w:numId w:val="17"/>
        </w:numPr>
      </w:pPr>
      <w:r>
        <w:t>c</w:t>
      </w:r>
      <w:r w:rsidR="00E966AC" w:rsidRPr="00E966AC">
        <w:t>hoice of extrapolation curve and cut</w:t>
      </w:r>
      <w:r w:rsidR="00681A9C">
        <w:rPr>
          <w:rFonts w:cs="Arial"/>
        </w:rPr>
        <w:t>-</w:t>
      </w:r>
      <w:r w:rsidR="00E966AC" w:rsidRPr="00E966AC">
        <w:t>off point for overall survival</w:t>
      </w:r>
    </w:p>
    <w:p w14:paraId="7259853A" w14:textId="20A6A82F" w:rsidR="00E966AC" w:rsidRDefault="00A4289E" w:rsidP="00E93564">
      <w:pPr>
        <w:pStyle w:val="Bulletleft1"/>
        <w:numPr>
          <w:ilvl w:val="0"/>
          <w:numId w:val="17"/>
        </w:numPr>
      </w:pPr>
      <w:r>
        <w:t>t</w:t>
      </w:r>
      <w:r w:rsidR="00E966AC" w:rsidRPr="00E966AC">
        <w:t>reatment effect duration</w:t>
      </w:r>
    </w:p>
    <w:p w14:paraId="782DBFDF" w14:textId="348ECC3F" w:rsidR="00E966AC" w:rsidRDefault="00E966AC" w:rsidP="00E93564">
      <w:pPr>
        <w:pStyle w:val="Bulletleft1last"/>
        <w:numPr>
          <w:ilvl w:val="0"/>
          <w:numId w:val="17"/>
        </w:numPr>
      </w:pPr>
      <w:r w:rsidRPr="00E966AC">
        <w:t>PD-L1 expression subgroups</w:t>
      </w:r>
      <w:r w:rsidR="00A4289E">
        <w:t>.</w:t>
      </w:r>
    </w:p>
    <w:p w14:paraId="0131C47C" w14:textId="77777777" w:rsidR="0070272A" w:rsidRDefault="00D66A24">
      <w:pPr>
        <w:pStyle w:val="Heading2"/>
      </w:pPr>
      <w:r>
        <w:t>The condition</w:t>
      </w:r>
    </w:p>
    <w:p w14:paraId="6D4B6D03" w14:textId="160FBA0D" w:rsidR="0070272A" w:rsidRDefault="00D66A24" w:rsidP="00DC76A8">
      <w:pPr>
        <w:pStyle w:val="Heading3"/>
      </w:pPr>
      <w:r>
        <w:t>Locally advanced or metastatic urothelial carcinoma substantially decreases quality of life</w:t>
      </w:r>
    </w:p>
    <w:p w14:paraId="01A1ED21" w14:textId="3F945306" w:rsidR="0070272A" w:rsidRDefault="00D66A24">
      <w:pPr>
        <w:pStyle w:val="Numberedlevel2text"/>
        <w:numPr>
          <w:ilvl w:val="1"/>
          <w:numId w:val="4"/>
        </w:numPr>
      </w:pPr>
      <w:r>
        <w:rPr>
          <w:lang w:val="en-GB"/>
        </w:rPr>
        <w:t>U</w:t>
      </w:r>
      <w:r>
        <w:t>rothelial carcinoma</w:t>
      </w:r>
      <w:r>
        <w:rPr>
          <w:lang w:val="en-GB"/>
        </w:rPr>
        <w:t xml:space="preserve"> causes a number of symptoms, </w:t>
      </w:r>
      <w:r>
        <w:t>includ</w:t>
      </w:r>
      <w:r>
        <w:rPr>
          <w:lang w:val="en-GB"/>
        </w:rPr>
        <w:t>ing</w:t>
      </w:r>
      <w:r>
        <w:t xml:space="preserve"> haematuria (blood in </w:t>
      </w:r>
      <w:r>
        <w:rPr>
          <w:lang w:val="en-GB"/>
        </w:rPr>
        <w:t xml:space="preserve">the </w:t>
      </w:r>
      <w:r>
        <w:t xml:space="preserve">urine) and increased frequency, urgency and pain associated with urination. </w:t>
      </w:r>
      <w:r>
        <w:rPr>
          <w:lang w:val="en-GB"/>
        </w:rPr>
        <w:t>Surgical treatments such as urostomy can have a substantial impact on quality of life and restrict daily activities. The patient experts explained that chemotherapy is associated with unpleasant side effects such as fatigue, nausea and vomiting and p</w:t>
      </w:r>
      <w:r w:rsidR="000E0E46">
        <w:rPr>
          <w:lang w:val="en-GB"/>
        </w:rPr>
        <w:t>uts</w:t>
      </w:r>
      <w:r>
        <w:rPr>
          <w:lang w:val="en-GB"/>
        </w:rPr>
        <w:t xml:space="preserve"> people at a greater risk of infection. The committee was aware that many people with locally advanced or metastatic urothelial carcinoma are older and may have comorbidities, which can affect treatment decisions. </w:t>
      </w:r>
      <w:r w:rsidR="00A20AE8">
        <w:rPr>
          <w:lang w:val="en-GB"/>
        </w:rPr>
        <w:t>It</w:t>
      </w:r>
      <w:r>
        <w:rPr>
          <w:lang w:val="en-GB"/>
        </w:rPr>
        <w:t xml:space="preserve"> recognised that locally advanced or metastatic urothelial carcinoma has a significant impact on quality of life.</w:t>
      </w:r>
    </w:p>
    <w:p w14:paraId="3C12AC55" w14:textId="17211A1E" w:rsidR="0070272A" w:rsidRDefault="00D66A24">
      <w:pPr>
        <w:pStyle w:val="Heading2"/>
      </w:pPr>
      <w:r>
        <w:lastRenderedPageBreak/>
        <w:t>Current treatments</w:t>
      </w:r>
      <w:r w:rsidR="008C08FE">
        <w:t xml:space="preserve"> and comparators</w:t>
      </w:r>
    </w:p>
    <w:p w14:paraId="336A0C34" w14:textId="64EF36B4" w:rsidR="0070272A" w:rsidRDefault="00F9617D" w:rsidP="00DC76A8">
      <w:pPr>
        <w:pStyle w:val="Heading3"/>
      </w:pPr>
      <w:r>
        <w:t>Paclitaxel, docetaxel and best supportive care are the relevant comparators for this appraisal</w:t>
      </w:r>
    </w:p>
    <w:p w14:paraId="067375E6" w14:textId="35649656" w:rsidR="000D394D" w:rsidRDefault="00A77229" w:rsidP="00A77229">
      <w:pPr>
        <w:pStyle w:val="Numberedlevel2text"/>
        <w:numPr>
          <w:ilvl w:val="1"/>
          <w:numId w:val="4"/>
        </w:numPr>
      </w:pPr>
      <w:bookmarkStart w:id="2" w:name="_Ref22908420"/>
      <w:bookmarkStart w:id="3" w:name="_Ref22721076"/>
      <w:r w:rsidRPr="00D6148E">
        <w:t>The</w:t>
      </w:r>
      <w:r w:rsidRPr="00A77229">
        <w:rPr>
          <w:lang w:val="en-US"/>
        </w:rPr>
        <w:t xml:space="preserve"> c</w:t>
      </w:r>
      <w:r w:rsidRPr="00D6148E">
        <w:t xml:space="preserve">ommittee was aware that the treatment pathway for locally advanced or metastatic urothelial carcinoma had </w:t>
      </w:r>
      <w:r w:rsidRPr="00A77229">
        <w:rPr>
          <w:lang w:val="en-US"/>
        </w:rPr>
        <w:t xml:space="preserve">changed since the publication of </w:t>
      </w:r>
      <w:hyperlink r:id="rId13" w:history="1">
        <w:r w:rsidR="00D72ABA" w:rsidRPr="00D72ABA">
          <w:rPr>
            <w:rStyle w:val="Hyperlink"/>
            <w:lang w:val="en-US"/>
          </w:rPr>
          <w:t>the origin</w:t>
        </w:r>
        <w:r w:rsidR="00D72ABA" w:rsidRPr="00D72ABA">
          <w:rPr>
            <w:rStyle w:val="Hyperlink"/>
            <w:lang w:val="en-US"/>
          </w:rPr>
          <w:t>a</w:t>
        </w:r>
        <w:r w:rsidR="00D72ABA" w:rsidRPr="00D72ABA">
          <w:rPr>
            <w:rStyle w:val="Hyperlink"/>
            <w:lang w:val="en-US"/>
          </w:rPr>
          <w:t>l appraisal of pembrolizumab</w:t>
        </w:r>
      </w:hyperlink>
      <w:r w:rsidRPr="00A77229">
        <w:rPr>
          <w:lang w:val="en-US"/>
        </w:rPr>
        <w:t>.</w:t>
      </w:r>
      <w:r w:rsidRPr="00D6148E">
        <w:t xml:space="preserve"> </w:t>
      </w:r>
      <w:r w:rsidRPr="00A77229">
        <w:rPr>
          <w:lang w:val="en-US"/>
        </w:rPr>
        <w:t>This is</w:t>
      </w:r>
      <w:r w:rsidRPr="00D6148E">
        <w:t xml:space="preserve"> because of NICE’s technology appraisal guidance on </w:t>
      </w:r>
      <w:hyperlink r:id="rId14" w:history="1">
        <w:r w:rsidRPr="00074817">
          <w:rPr>
            <w:rStyle w:val="Hyperlink"/>
          </w:rPr>
          <w:t>atezolizumab for treating locally advanced or metastatic urothelial carcinoma after platinum-containing chemotherapy</w:t>
        </w:r>
      </w:hyperlink>
      <w:r w:rsidRPr="00D6148E">
        <w:t xml:space="preserve">. </w:t>
      </w:r>
      <w:r w:rsidRPr="00A77229">
        <w:rPr>
          <w:lang w:val="en-US"/>
        </w:rPr>
        <w:t>A</w:t>
      </w:r>
      <w:r w:rsidRPr="00D6148E">
        <w:t>tezolizumab was not established clinical practice in the NHS when the final scope for the original appraisal of pembrolizumab was issued</w:t>
      </w:r>
      <w:r w:rsidRPr="00A77229">
        <w:rPr>
          <w:lang w:val="en-US"/>
        </w:rPr>
        <w:t>.</w:t>
      </w:r>
      <w:r w:rsidRPr="00D6148E">
        <w:t xml:space="preserve"> </w:t>
      </w:r>
      <w:r w:rsidRPr="00A77229">
        <w:rPr>
          <w:lang w:val="en-US"/>
        </w:rPr>
        <w:t>In a</w:t>
      </w:r>
      <w:r w:rsidRPr="00E946B1">
        <w:rPr>
          <w:lang w:val="en-US"/>
        </w:rPr>
        <w:t xml:space="preserve"> </w:t>
      </w:r>
      <w:r w:rsidRPr="00D6148E">
        <w:t>review</w:t>
      </w:r>
      <w:r w:rsidRPr="00A77229">
        <w:rPr>
          <w:lang w:val="en-US"/>
        </w:rPr>
        <w:t xml:space="preserve"> of</w:t>
      </w:r>
      <w:r w:rsidRPr="00D6148E">
        <w:t xml:space="preserve"> a drug funded by the Cancer Drugs Fund</w:t>
      </w:r>
      <w:r w:rsidRPr="00A77229">
        <w:rPr>
          <w:lang w:val="en-US"/>
        </w:rPr>
        <w:t xml:space="preserve">, </w:t>
      </w:r>
      <w:r w:rsidRPr="00D6148E">
        <w:t xml:space="preserve">no changes </w:t>
      </w:r>
      <w:r w:rsidRPr="00A77229">
        <w:rPr>
          <w:lang w:val="en-US"/>
        </w:rPr>
        <w:t>to</w:t>
      </w:r>
      <w:r w:rsidRPr="00D6148E">
        <w:t xml:space="preserve"> the final scope of the original appraisal</w:t>
      </w:r>
      <w:r w:rsidRPr="00A77229">
        <w:rPr>
          <w:lang w:val="en-US"/>
        </w:rPr>
        <w:t xml:space="preserve"> are </w:t>
      </w:r>
      <w:r w:rsidR="0050744B">
        <w:rPr>
          <w:lang w:val="en-US"/>
        </w:rPr>
        <w:t>allowed</w:t>
      </w:r>
      <w:r w:rsidRPr="00A77229">
        <w:rPr>
          <w:lang w:val="en-US"/>
        </w:rPr>
        <w:t>,</w:t>
      </w:r>
      <w:r w:rsidRPr="00E946B1">
        <w:rPr>
          <w:lang w:val="en-US"/>
        </w:rPr>
        <w:t xml:space="preserve"> so</w:t>
      </w:r>
      <w:r w:rsidRPr="00D6148E" w:rsidDel="006A56F6">
        <w:t xml:space="preserve"> </w:t>
      </w:r>
      <w:r w:rsidRPr="00A77229">
        <w:rPr>
          <w:lang w:val="en-US"/>
        </w:rPr>
        <w:t>atezolizumab</w:t>
      </w:r>
      <w:r w:rsidRPr="00D6148E">
        <w:t xml:space="preserve"> </w:t>
      </w:r>
      <w:r w:rsidRPr="00A77229">
        <w:rPr>
          <w:lang w:val="en-US"/>
        </w:rPr>
        <w:t>could not be</w:t>
      </w:r>
      <w:r w:rsidRPr="00D6148E">
        <w:t xml:space="preserve"> included</w:t>
      </w:r>
      <w:r w:rsidRPr="00A77229">
        <w:rPr>
          <w:lang w:val="en-US"/>
        </w:rPr>
        <w:t xml:space="preserve"> as a comparator</w:t>
      </w:r>
      <w:r w:rsidR="00F11912">
        <w:rPr>
          <w:lang w:val="en-US"/>
        </w:rPr>
        <w:t xml:space="preserve"> (see section</w:t>
      </w:r>
      <w:r w:rsidR="0050744B">
        <w:rPr>
          <w:lang w:val="en-US"/>
        </w:rPr>
        <w:t> </w:t>
      </w:r>
      <w:r w:rsidR="00F11912">
        <w:rPr>
          <w:lang w:val="en-US"/>
        </w:rPr>
        <w:t>6.2</w:t>
      </w:r>
      <w:r w:rsidR="009B19D0">
        <w:rPr>
          <w:lang w:val="en-US"/>
        </w:rPr>
        <w:t>5</w:t>
      </w:r>
      <w:r w:rsidR="00F11912">
        <w:rPr>
          <w:lang w:val="en-US"/>
        </w:rPr>
        <w:t xml:space="preserve"> of the </w:t>
      </w:r>
      <w:hyperlink r:id="rId15" w:history="1">
        <w:r w:rsidR="00F11912" w:rsidRPr="00F11912">
          <w:rPr>
            <w:rStyle w:val="Hyperlink"/>
            <w:lang w:val="en-US"/>
          </w:rPr>
          <w:t>guide to the processes of technology appraisal</w:t>
        </w:r>
      </w:hyperlink>
      <w:r w:rsidR="00F11912">
        <w:rPr>
          <w:lang w:val="en-US"/>
        </w:rPr>
        <w:t>)</w:t>
      </w:r>
      <w:r w:rsidRPr="00D6148E">
        <w:t>.</w:t>
      </w:r>
      <w:r>
        <w:rPr>
          <w:lang w:val="en-GB"/>
        </w:rPr>
        <w:t xml:space="preserve"> </w:t>
      </w:r>
      <w:r w:rsidR="006A56F6" w:rsidRPr="00A77229">
        <w:rPr>
          <w:lang w:val="en-US"/>
        </w:rPr>
        <w:t>At the time of</w:t>
      </w:r>
      <w:r w:rsidR="00970CB6" w:rsidRPr="00D6148E">
        <w:t xml:space="preserve"> the original appraisal of pembrolizumab</w:t>
      </w:r>
      <w:r w:rsidR="00DA78E8" w:rsidRPr="00A77229">
        <w:rPr>
          <w:lang w:val="en-US"/>
        </w:rPr>
        <w:t xml:space="preserve"> for this indication</w:t>
      </w:r>
      <w:commentRangeStart w:id="4"/>
      <w:commentRangeEnd w:id="4"/>
      <w:r w:rsidR="00C11A08" w:rsidRPr="00A77229">
        <w:rPr>
          <w:lang w:val="en-US"/>
        </w:rPr>
        <w:t>,</w:t>
      </w:r>
      <w:r w:rsidR="005D60E2">
        <w:t xml:space="preserve"> </w:t>
      </w:r>
      <w:r w:rsidR="00C11A08" w:rsidRPr="00A77229">
        <w:rPr>
          <w:lang w:val="en-US"/>
        </w:rPr>
        <w:t>first-line</w:t>
      </w:r>
      <w:r w:rsidR="00D66A24">
        <w:t xml:space="preserve"> treatment for locally advanced or metastatic disease </w:t>
      </w:r>
      <w:r w:rsidR="005D60E2">
        <w:t xml:space="preserve">was </w:t>
      </w:r>
      <w:r w:rsidR="00D66A24">
        <w:t xml:space="preserve">usually a </w:t>
      </w:r>
      <w:r w:rsidR="0046284A">
        <w:t>platinum</w:t>
      </w:r>
      <w:r w:rsidR="00D66A24">
        <w:t>-containing chemotherapy regimen</w:t>
      </w:r>
      <w:r w:rsidR="00BE40F5">
        <w:t xml:space="preserve">. </w:t>
      </w:r>
      <w:r w:rsidR="00467248">
        <w:t>For people who were</w:t>
      </w:r>
      <w:r w:rsidR="00D66A24">
        <w:t xml:space="preserve"> not well enough or </w:t>
      </w:r>
      <w:r w:rsidR="00FD5CD7">
        <w:t>cho</w:t>
      </w:r>
      <w:r w:rsidR="00FD5CD7">
        <w:rPr>
          <w:lang w:val="en-GB"/>
        </w:rPr>
        <w:t>se</w:t>
      </w:r>
      <w:r w:rsidR="00FD5CD7">
        <w:t xml:space="preserve"> </w:t>
      </w:r>
      <w:r w:rsidR="00D66A24">
        <w:t xml:space="preserve">not to have </w:t>
      </w:r>
      <w:r w:rsidR="00DA4FD5" w:rsidRPr="00A77229">
        <w:rPr>
          <w:lang w:val="en-US"/>
        </w:rPr>
        <w:t>this</w:t>
      </w:r>
      <w:r w:rsidR="00D66A24">
        <w:t xml:space="preserve">, best supportive care </w:t>
      </w:r>
      <w:r w:rsidR="00467248">
        <w:t xml:space="preserve">was </w:t>
      </w:r>
      <w:r w:rsidR="00D66A24">
        <w:t>offered</w:t>
      </w:r>
      <w:r w:rsidR="00467248">
        <w:t xml:space="preserve">. </w:t>
      </w:r>
      <w:r w:rsidR="0041673C" w:rsidRPr="00A77229">
        <w:rPr>
          <w:lang w:val="en-US"/>
        </w:rPr>
        <w:t>R</w:t>
      </w:r>
      <w:r w:rsidR="00930846">
        <w:t xml:space="preserve">e-treatment with a first-line chemotherapy was also included in the scope for the original appraisal of pembrolizumab. However, it was not established clinical practice </w:t>
      </w:r>
      <w:r w:rsidR="0041673C" w:rsidRPr="00A77229">
        <w:rPr>
          <w:lang w:val="en-US"/>
        </w:rPr>
        <w:t>the</w:t>
      </w:r>
      <w:r w:rsidR="00394B90" w:rsidRPr="00A77229">
        <w:rPr>
          <w:lang w:val="en-US"/>
        </w:rPr>
        <w:t>n,</w:t>
      </w:r>
      <w:r w:rsidR="00930846">
        <w:t xml:space="preserve"> because </w:t>
      </w:r>
      <w:r w:rsidR="00F9617D">
        <w:t>re</w:t>
      </w:r>
      <w:r w:rsidR="00FD5CD7">
        <w:rPr>
          <w:lang w:val="en-GB"/>
        </w:rPr>
        <w:t>-</w:t>
      </w:r>
      <w:r w:rsidR="00F9617D">
        <w:t>treatment was used before a second-line treatment option was available</w:t>
      </w:r>
      <w:r w:rsidR="00394B90" w:rsidRPr="00A77229">
        <w:rPr>
          <w:lang w:val="en-US"/>
        </w:rPr>
        <w:t>. Also,</w:t>
      </w:r>
      <w:r w:rsidR="00F9617D">
        <w:t xml:space="preserve"> </w:t>
      </w:r>
      <w:r w:rsidR="00930846">
        <w:t xml:space="preserve">most clinicians would have used </w:t>
      </w:r>
      <w:r w:rsidR="00F9617D">
        <w:t>a taxane</w:t>
      </w:r>
      <w:r w:rsidR="00DA35DB">
        <w:t xml:space="preserve"> (paclitaxel and docetaxel)</w:t>
      </w:r>
      <w:r w:rsidR="00FD5CD7">
        <w:rPr>
          <w:lang w:val="en-GB"/>
        </w:rPr>
        <w:t>.</w:t>
      </w:r>
      <w:r w:rsidR="00F9617D">
        <w:t xml:space="preserve"> The committee agreed that t</w:t>
      </w:r>
      <w:r w:rsidR="00D66A24">
        <w:t>reatment options for people with disease progression after platinum-</w:t>
      </w:r>
      <w:r w:rsidR="004F3DDC">
        <w:t xml:space="preserve">containing </w:t>
      </w:r>
      <w:r w:rsidR="00D66A24">
        <w:t xml:space="preserve">chemotherapy </w:t>
      </w:r>
      <w:r w:rsidR="00467248">
        <w:t xml:space="preserve">at that time </w:t>
      </w:r>
      <w:r w:rsidR="00D66A24">
        <w:t>include</w:t>
      </w:r>
      <w:r w:rsidR="00467248">
        <w:t>d</w:t>
      </w:r>
      <w:r w:rsidR="00D66A24">
        <w:t xml:space="preserve"> docetaxel, paclitaxel or best supportive care. </w:t>
      </w:r>
      <w:r w:rsidR="00F9617D">
        <w:t xml:space="preserve">The committee concluded </w:t>
      </w:r>
      <w:r w:rsidR="001745C6" w:rsidRPr="00A77229">
        <w:rPr>
          <w:lang w:val="en-US"/>
        </w:rPr>
        <w:t>for the original</w:t>
      </w:r>
      <w:r w:rsidR="006E7AF6">
        <w:rPr>
          <w:lang w:val="en-GB"/>
        </w:rPr>
        <w:t xml:space="preserve"> appraisal </w:t>
      </w:r>
      <w:r w:rsidR="004C3FA0">
        <w:t xml:space="preserve">that </w:t>
      </w:r>
      <w:r w:rsidR="00F9617D">
        <w:t xml:space="preserve">the most relevant comparators </w:t>
      </w:r>
      <w:r w:rsidR="00880B98" w:rsidRPr="00A77229">
        <w:rPr>
          <w:lang w:val="en-US"/>
        </w:rPr>
        <w:t>were</w:t>
      </w:r>
      <w:r w:rsidR="00F9617D">
        <w:t xml:space="preserve"> paclitaxel, docetaxel and best supportive care.</w:t>
      </w:r>
      <w:bookmarkEnd w:id="2"/>
      <w:bookmarkEnd w:id="3"/>
      <w:r>
        <w:rPr>
          <w:lang w:val="en-GB"/>
        </w:rPr>
        <w:t xml:space="preserve"> </w:t>
      </w:r>
    </w:p>
    <w:p w14:paraId="73C19239" w14:textId="2CB50F31" w:rsidR="0070272A" w:rsidRDefault="00D66A24" w:rsidP="001803B0">
      <w:pPr>
        <w:pStyle w:val="Heading3"/>
      </w:pPr>
      <w:r>
        <w:lastRenderedPageBreak/>
        <w:t>The KEYNOTE-045 post-hoc subgroup results are most appropriate for decision</w:t>
      </w:r>
      <w:r w:rsidR="008D1C2E">
        <w:t xml:space="preserve"> </w:t>
      </w:r>
      <w:r>
        <w:t>making</w:t>
      </w:r>
    </w:p>
    <w:p w14:paraId="479917AA" w14:textId="361C58D8" w:rsidR="0070272A" w:rsidRPr="001943F1" w:rsidRDefault="00D66A24" w:rsidP="0082739E">
      <w:pPr>
        <w:pStyle w:val="Numberedlevel2text"/>
        <w:numPr>
          <w:ilvl w:val="1"/>
          <w:numId w:val="4"/>
        </w:numPr>
        <w:rPr>
          <w:lang w:val="en-GB"/>
        </w:rPr>
      </w:pPr>
      <w:bookmarkStart w:id="5" w:name="_Ref22910279"/>
      <w:r>
        <w:rPr>
          <w:lang w:val="en-GB"/>
        </w:rPr>
        <w:t>The clinical effectiveness evidence for pembrolizumab</w:t>
      </w:r>
      <w:r w:rsidR="001B1B8C">
        <w:rPr>
          <w:lang w:val="en-GB"/>
        </w:rPr>
        <w:t xml:space="preserve"> came from</w:t>
      </w:r>
      <w:r w:rsidR="002449B6">
        <w:rPr>
          <w:lang w:val="en-GB"/>
        </w:rPr>
        <w:t xml:space="preserve"> </w:t>
      </w:r>
      <w:r>
        <w:rPr>
          <w:lang w:val="en-GB"/>
        </w:rPr>
        <w:t>KEYNOTE</w:t>
      </w:r>
      <w:r w:rsidR="00D80C5A">
        <w:rPr>
          <w:lang w:val="en-GB"/>
        </w:rPr>
        <w:noBreakHyphen/>
      </w:r>
      <w:r>
        <w:rPr>
          <w:lang w:val="en-GB"/>
        </w:rPr>
        <w:t>045</w:t>
      </w:r>
      <w:r w:rsidR="0082739E">
        <w:rPr>
          <w:lang w:val="en-GB"/>
        </w:rPr>
        <w:t>,</w:t>
      </w:r>
      <w:r w:rsidR="002449B6">
        <w:rPr>
          <w:lang w:val="en-GB"/>
        </w:rPr>
        <w:t xml:space="preserve"> </w:t>
      </w:r>
      <w:r>
        <w:rPr>
          <w:lang w:val="en-GB"/>
        </w:rPr>
        <w:t>an open-label, randomised controlled trial</w:t>
      </w:r>
      <w:r w:rsidR="00D80C5A">
        <w:rPr>
          <w:lang w:val="en-GB"/>
        </w:rPr>
        <w:t>.</w:t>
      </w:r>
      <w:r w:rsidR="002449B6">
        <w:rPr>
          <w:lang w:val="en-GB"/>
        </w:rPr>
        <w:t xml:space="preserve"> </w:t>
      </w:r>
      <w:r w:rsidR="00D80C5A">
        <w:rPr>
          <w:lang w:val="en-GB"/>
        </w:rPr>
        <w:t>It</w:t>
      </w:r>
      <w:r>
        <w:rPr>
          <w:lang w:val="en-GB"/>
        </w:rPr>
        <w:t xml:space="preserve"> included people with disease progression or recurrence of urothelial cancer after </w:t>
      </w:r>
      <w:r w:rsidRPr="00D33533">
        <w:rPr>
          <w:bCs w:val="0"/>
          <w:iCs w:val="0"/>
        </w:rPr>
        <w:t>treatment with a platinum-containing regimen (cisplatin or carboplatin).</w:t>
      </w:r>
      <w:r w:rsidR="0016681C">
        <w:rPr>
          <w:lang w:val="en-GB"/>
        </w:rPr>
        <w:t xml:space="preserve"> </w:t>
      </w:r>
      <w:r>
        <w:rPr>
          <w:lang w:val="en-GB"/>
        </w:rPr>
        <w:t xml:space="preserve">The </w:t>
      </w:r>
      <w:r w:rsidR="001943F1">
        <w:rPr>
          <w:lang w:val="en-GB"/>
        </w:rPr>
        <w:t xml:space="preserve">comparator arm in the trial was </w:t>
      </w:r>
      <w:r>
        <w:t>the investigator's choice of paclitaxel, docetaxel, or vinflunine.</w:t>
      </w:r>
      <w:r w:rsidR="001943F1">
        <w:rPr>
          <w:lang w:val="en-GB"/>
        </w:rPr>
        <w:t xml:space="preserve"> </w:t>
      </w:r>
      <w:r w:rsidRPr="00D35F2E">
        <w:rPr>
          <w:lang w:val="en-GB"/>
        </w:rPr>
        <w:t>T</w:t>
      </w:r>
      <w:r w:rsidRPr="001B1238">
        <w:rPr>
          <w:lang w:val="en-GB"/>
        </w:rPr>
        <w:t>he company recognised that vinflunine is not used in clinical practice in the UK, and did a post-hoc subgroup analysis</w:t>
      </w:r>
      <w:r w:rsidR="00BD09D7">
        <w:rPr>
          <w:lang w:val="en-GB"/>
        </w:rPr>
        <w:t>. This</w:t>
      </w:r>
      <w:r w:rsidRPr="001B1238">
        <w:rPr>
          <w:lang w:val="en-GB"/>
        </w:rPr>
        <w:t xml:space="preserve"> </w:t>
      </w:r>
      <w:r w:rsidRPr="001943F1">
        <w:rPr>
          <w:lang w:val="en-GB"/>
        </w:rPr>
        <w:t>included:</w:t>
      </w:r>
      <w:bookmarkEnd w:id="5"/>
    </w:p>
    <w:p w14:paraId="572DAB26" w14:textId="77777777" w:rsidR="0070272A" w:rsidRDefault="00D66A24">
      <w:pPr>
        <w:pStyle w:val="Bulletindent1"/>
        <w:numPr>
          <w:ilvl w:val="0"/>
          <w:numId w:val="1"/>
        </w:numPr>
      </w:pPr>
      <w:r>
        <w:t xml:space="preserve">188 people randomised to </w:t>
      </w:r>
      <w:r>
        <w:rPr>
          <w:lang w:val="en-GB"/>
        </w:rPr>
        <w:t>ha</w:t>
      </w:r>
      <w:r>
        <w:t>ve pembrolizumab</w:t>
      </w:r>
    </w:p>
    <w:p w14:paraId="0E0BBB35" w14:textId="06317129" w:rsidR="0070272A" w:rsidRDefault="00D66A24">
      <w:pPr>
        <w:pStyle w:val="Bulletindent1last"/>
        <w:numPr>
          <w:ilvl w:val="0"/>
          <w:numId w:val="1"/>
        </w:numPr>
      </w:pPr>
      <w:r>
        <w:t>182 people randomised to have the investigator's choice of paclitaxel or docetaxel</w:t>
      </w:r>
      <w:r w:rsidR="007E624A">
        <w:t xml:space="preserve"> (referred to as the </w:t>
      </w:r>
      <w:r w:rsidR="00E56EFB">
        <w:t xml:space="preserve">‘UK standard of care </w:t>
      </w:r>
      <w:r w:rsidR="00376547">
        <w:t>[</w:t>
      </w:r>
      <w:r w:rsidR="007E624A">
        <w:t>UK SoC</w:t>
      </w:r>
      <w:r w:rsidR="00376547">
        <w:t>]</w:t>
      </w:r>
      <w:r w:rsidR="00F16E7A">
        <w:t>’</w:t>
      </w:r>
      <w:r w:rsidR="007E624A">
        <w:t xml:space="preserve"> control arm)</w:t>
      </w:r>
      <w:r>
        <w:t>.</w:t>
      </w:r>
    </w:p>
    <w:p w14:paraId="332FA362" w14:textId="6210487B" w:rsidR="00E24DDC" w:rsidRPr="0082739E" w:rsidRDefault="00D66A24" w:rsidP="00E24DDC">
      <w:pPr>
        <w:pStyle w:val="Numberedlevel2text"/>
        <w:ind w:left="1134"/>
        <w:rPr>
          <w:color w:val="auto"/>
        </w:rPr>
      </w:pPr>
      <w:r>
        <w:t xml:space="preserve">The committee concluded that the trial was good quality and the results </w:t>
      </w:r>
      <w:r w:rsidR="002C4C71">
        <w:rPr>
          <w:lang w:val="en-US"/>
        </w:rPr>
        <w:t xml:space="preserve">were </w:t>
      </w:r>
      <w:r>
        <w:t>informative for decision</w:t>
      </w:r>
      <w:r w:rsidR="002C4C71">
        <w:rPr>
          <w:lang w:val="en-US"/>
        </w:rPr>
        <w:t xml:space="preserve"> </w:t>
      </w:r>
      <w:r>
        <w:t xml:space="preserve">making. </w:t>
      </w:r>
      <w:r w:rsidR="0043284F">
        <w:rPr>
          <w:lang w:val="en-GB"/>
        </w:rPr>
        <w:t>It</w:t>
      </w:r>
      <w:r>
        <w:t xml:space="preserve"> w</w:t>
      </w:r>
      <w:r>
        <w:rPr>
          <w:lang w:val="en-GB"/>
        </w:rPr>
        <w:t>as</w:t>
      </w:r>
      <w:r>
        <w:t xml:space="preserve"> aware that us</w:t>
      </w:r>
      <w:r>
        <w:rPr>
          <w:lang w:val="en-GB"/>
        </w:rPr>
        <w:t>ing</w:t>
      </w:r>
      <w:r>
        <w:t xml:space="preserve"> post-hoc subgroup analyses introduces the risk of bias, and that excluding </w:t>
      </w:r>
      <w:r w:rsidR="0043284F">
        <w:rPr>
          <w:lang w:val="en-GB"/>
        </w:rPr>
        <w:t xml:space="preserve">the </w:t>
      </w:r>
      <w:r>
        <w:t>vinflunine data reduces the statistical power of the trial</w:t>
      </w:r>
      <w:r>
        <w:rPr>
          <w:lang w:val="en-GB"/>
        </w:rPr>
        <w:t>. B</w:t>
      </w:r>
      <w:r>
        <w:t xml:space="preserve">ut </w:t>
      </w:r>
      <w:r w:rsidR="00831A31">
        <w:rPr>
          <w:lang w:val="en-GB"/>
        </w:rPr>
        <w:t xml:space="preserve">the committee </w:t>
      </w:r>
      <w:r>
        <w:rPr>
          <w:lang w:val="en-GB"/>
        </w:rPr>
        <w:t>concluded</w:t>
      </w:r>
      <w:r>
        <w:t xml:space="preserve"> that the post-hoc subgroup best reflects</w:t>
      </w:r>
      <w:r w:rsidR="00A32B39">
        <w:rPr>
          <w:lang w:val="en-US"/>
        </w:rPr>
        <w:t xml:space="preserve"> UK</w:t>
      </w:r>
      <w:r>
        <w:t xml:space="preserve"> clinical practice and is the most appropriate evidence</w:t>
      </w:r>
      <w:r>
        <w:rPr>
          <w:lang w:val="en-GB"/>
        </w:rPr>
        <w:t xml:space="preserve"> </w:t>
      </w:r>
      <w:r w:rsidR="00A32B39">
        <w:rPr>
          <w:lang w:val="en-GB"/>
        </w:rPr>
        <w:t>for</w:t>
      </w:r>
      <w:r>
        <w:t xml:space="preserve"> decision</w:t>
      </w:r>
      <w:r w:rsidR="00A32B39">
        <w:rPr>
          <w:lang w:val="en-US"/>
        </w:rPr>
        <w:t xml:space="preserve"> </w:t>
      </w:r>
      <w:r w:rsidRPr="0082739E">
        <w:rPr>
          <w:color w:val="auto"/>
        </w:rPr>
        <w:t>making.</w:t>
      </w:r>
    </w:p>
    <w:p w14:paraId="36DDC343" w14:textId="574E6239" w:rsidR="0070272A" w:rsidRDefault="00C97620" w:rsidP="001803B0">
      <w:pPr>
        <w:pStyle w:val="Heading3"/>
      </w:pPr>
      <w:r>
        <w:t>T</w:t>
      </w:r>
      <w:r w:rsidR="00D66A24">
        <w:t xml:space="preserve">he 2-stage method </w:t>
      </w:r>
      <w:r>
        <w:t xml:space="preserve">for subsequent immunotherapy in KEYNOTE-045 </w:t>
      </w:r>
      <w:r w:rsidR="00F16E7A">
        <w:t>is</w:t>
      </w:r>
      <w:r w:rsidR="007402BB">
        <w:t xml:space="preserve"> appropriate in the original appraisal</w:t>
      </w:r>
    </w:p>
    <w:p w14:paraId="42186085" w14:textId="5C8107C1" w:rsidR="00B13551" w:rsidRPr="00C26411" w:rsidRDefault="00392950" w:rsidP="0082739E">
      <w:pPr>
        <w:pStyle w:val="Numberedlevel2text"/>
        <w:numPr>
          <w:ilvl w:val="1"/>
          <w:numId w:val="4"/>
        </w:numPr>
      </w:pPr>
      <w:bookmarkStart w:id="6" w:name="_Ref22907642"/>
      <w:r>
        <w:rPr>
          <w:lang w:val="en-GB"/>
        </w:rPr>
        <w:t>If their</w:t>
      </w:r>
      <w:r w:rsidR="00D66A24" w:rsidRPr="003651C9">
        <w:rPr>
          <w:lang w:val="en-GB"/>
        </w:rPr>
        <w:t xml:space="preserve"> disease progress</w:t>
      </w:r>
      <w:r>
        <w:rPr>
          <w:lang w:val="en-GB"/>
        </w:rPr>
        <w:t>ed</w:t>
      </w:r>
      <w:r w:rsidR="00D66A24" w:rsidRPr="003651C9">
        <w:rPr>
          <w:lang w:val="en-GB"/>
        </w:rPr>
        <w:t>, people in the trial could have subsequent anti-PD</w:t>
      </w:r>
      <w:r>
        <w:rPr>
          <w:lang w:val="en-GB"/>
        </w:rPr>
        <w:noBreakHyphen/>
      </w:r>
      <w:r w:rsidR="00D66A24" w:rsidRPr="003651C9">
        <w:rPr>
          <w:lang w:val="en-GB"/>
        </w:rPr>
        <w:t>L1</w:t>
      </w:r>
      <w:r w:rsidR="00024A1D" w:rsidRPr="007B704D">
        <w:rPr>
          <w:lang w:val="en-GB"/>
        </w:rPr>
        <w:t xml:space="preserve"> or </w:t>
      </w:r>
      <w:r w:rsidR="00D66A24" w:rsidRPr="00F42BBE">
        <w:rPr>
          <w:lang w:val="en-GB"/>
        </w:rPr>
        <w:t>PD</w:t>
      </w:r>
      <w:r>
        <w:rPr>
          <w:lang w:val="en-GB"/>
        </w:rPr>
        <w:noBreakHyphen/>
      </w:r>
      <w:r w:rsidR="00D66A24" w:rsidRPr="00F42BBE">
        <w:rPr>
          <w:lang w:val="en-GB"/>
        </w:rPr>
        <w:t>1 treatment</w:t>
      </w:r>
      <w:r>
        <w:rPr>
          <w:lang w:val="en-GB"/>
        </w:rPr>
        <w:t>. This</w:t>
      </w:r>
      <w:r w:rsidR="00D66A24" w:rsidRPr="00F42BBE">
        <w:rPr>
          <w:lang w:val="en-GB"/>
        </w:rPr>
        <w:t xml:space="preserve"> includ</w:t>
      </w:r>
      <w:r>
        <w:rPr>
          <w:lang w:val="en-GB"/>
        </w:rPr>
        <w:t>ed</w:t>
      </w:r>
      <w:r w:rsidR="00D66A24" w:rsidRPr="00F42BBE">
        <w:rPr>
          <w:lang w:val="en-GB"/>
        </w:rPr>
        <w:t xml:space="preserve"> atezolizumab, avelumab, </w:t>
      </w:r>
      <w:r w:rsidR="00D66A24" w:rsidRPr="0021309E">
        <w:rPr>
          <w:lang w:val="en-GB"/>
        </w:rPr>
        <w:t xml:space="preserve">durvalumab, nivolumab, and pembrolizumab. </w:t>
      </w:r>
      <w:r w:rsidR="0082739E">
        <w:rPr>
          <w:lang w:val="en-GB"/>
        </w:rPr>
        <w:t>T</w:t>
      </w:r>
      <w:r w:rsidR="00D66A24" w:rsidRPr="003651C9">
        <w:rPr>
          <w:lang w:val="en-GB"/>
        </w:rPr>
        <w:t>he company adjust</w:t>
      </w:r>
      <w:r w:rsidR="008C4213" w:rsidRPr="003651C9">
        <w:rPr>
          <w:lang w:val="en-GB"/>
        </w:rPr>
        <w:t xml:space="preserve">ed </w:t>
      </w:r>
      <w:r w:rsidR="00D66A24" w:rsidRPr="003651C9">
        <w:rPr>
          <w:lang w:val="en-GB"/>
        </w:rPr>
        <w:t xml:space="preserve">overall survival </w:t>
      </w:r>
      <w:r w:rsidR="002A16E5">
        <w:rPr>
          <w:lang w:val="en-GB"/>
        </w:rPr>
        <w:t xml:space="preserve">in the UK SoC arm </w:t>
      </w:r>
      <w:r w:rsidR="00D66A24" w:rsidRPr="003651C9">
        <w:rPr>
          <w:lang w:val="en-GB"/>
        </w:rPr>
        <w:t xml:space="preserve">to account for these treatments using </w:t>
      </w:r>
      <w:r w:rsidR="0095512F" w:rsidRPr="003651C9">
        <w:rPr>
          <w:lang w:val="en-GB"/>
        </w:rPr>
        <w:t xml:space="preserve">the </w:t>
      </w:r>
      <w:r w:rsidR="00841D7B" w:rsidRPr="003651C9">
        <w:rPr>
          <w:lang w:val="en-GB"/>
        </w:rPr>
        <w:t>2</w:t>
      </w:r>
      <w:r w:rsidR="00BD24AD">
        <w:rPr>
          <w:lang w:val="en-GB"/>
        </w:rPr>
        <w:noBreakHyphen/>
      </w:r>
      <w:r w:rsidR="00841D7B" w:rsidRPr="003651C9">
        <w:rPr>
          <w:lang w:val="en-GB"/>
        </w:rPr>
        <w:t>stage</w:t>
      </w:r>
      <w:r w:rsidR="0095512F" w:rsidRPr="003651C9">
        <w:rPr>
          <w:lang w:val="en-GB"/>
        </w:rPr>
        <w:t xml:space="preserve"> method </w:t>
      </w:r>
      <w:r w:rsidR="00BD24AD">
        <w:rPr>
          <w:lang w:val="en-GB"/>
        </w:rPr>
        <w:t>to</w:t>
      </w:r>
      <w:r w:rsidR="0095512F" w:rsidRPr="003651C9">
        <w:rPr>
          <w:lang w:val="en-GB"/>
        </w:rPr>
        <w:t xml:space="preserve"> adjust for treatment switching</w:t>
      </w:r>
      <w:r w:rsidR="00D66A24" w:rsidRPr="003651C9">
        <w:rPr>
          <w:lang w:val="en-GB"/>
        </w:rPr>
        <w:t xml:space="preserve">. </w:t>
      </w:r>
      <w:r w:rsidR="002A16E5" w:rsidRPr="0082739E">
        <w:rPr>
          <w:lang w:val="en-GB"/>
        </w:rPr>
        <w:t>The 2</w:t>
      </w:r>
      <w:r w:rsidR="002A16E5">
        <w:rPr>
          <w:lang w:val="en-GB"/>
        </w:rPr>
        <w:noBreakHyphen/>
      </w:r>
      <w:r w:rsidR="002A16E5" w:rsidRPr="0082739E">
        <w:rPr>
          <w:lang w:val="en-GB"/>
        </w:rPr>
        <w:t>stage method used an acceleration factor</w:t>
      </w:r>
      <w:r w:rsidR="002A16E5">
        <w:rPr>
          <w:lang w:val="en-GB"/>
        </w:rPr>
        <w:t xml:space="preserve"> </w:t>
      </w:r>
      <w:r w:rsidR="002A16E5" w:rsidRPr="003651C9">
        <w:rPr>
          <w:lang w:val="en-GB"/>
        </w:rPr>
        <w:t xml:space="preserve">(a ratio of the survivor function for the pembrolizumab and </w:t>
      </w:r>
      <w:r w:rsidR="002A16E5" w:rsidRPr="007B704D">
        <w:rPr>
          <w:lang w:val="en-GB"/>
        </w:rPr>
        <w:t>UK</w:t>
      </w:r>
      <w:r w:rsidR="002A16E5" w:rsidRPr="00D95D86">
        <w:rPr>
          <w:lang w:val="en-GB"/>
        </w:rPr>
        <w:t xml:space="preserve"> </w:t>
      </w:r>
      <w:r w:rsidR="002A16E5" w:rsidRPr="00F42BBE">
        <w:rPr>
          <w:lang w:val="en-GB"/>
        </w:rPr>
        <w:t>SoC</w:t>
      </w:r>
      <w:r w:rsidR="002A16E5" w:rsidRPr="00E52DD7">
        <w:rPr>
          <w:lang w:val="en-GB"/>
        </w:rPr>
        <w:t xml:space="preserve"> treatment arms)</w:t>
      </w:r>
      <w:r w:rsidR="002A16E5">
        <w:rPr>
          <w:lang w:val="en-GB"/>
        </w:rPr>
        <w:t>. This was</w:t>
      </w:r>
      <w:r w:rsidR="002A16E5" w:rsidRPr="0082739E">
        <w:rPr>
          <w:lang w:val="en-GB"/>
        </w:rPr>
        <w:t xml:space="preserve"> to shrink the </w:t>
      </w:r>
      <w:r w:rsidR="002A16E5" w:rsidRPr="0082739E">
        <w:rPr>
          <w:lang w:val="en-GB"/>
        </w:rPr>
        <w:lastRenderedPageBreak/>
        <w:t xml:space="preserve">survival time of </w:t>
      </w:r>
      <w:r w:rsidR="002A16E5" w:rsidRPr="003651C9">
        <w:rPr>
          <w:lang w:val="en-GB"/>
        </w:rPr>
        <w:t xml:space="preserve">patients who had </w:t>
      </w:r>
      <w:r w:rsidR="002A16E5" w:rsidRPr="0082739E">
        <w:rPr>
          <w:lang w:val="en-GB"/>
        </w:rPr>
        <w:t xml:space="preserve">UK </w:t>
      </w:r>
      <w:r w:rsidR="002A16E5">
        <w:rPr>
          <w:lang w:val="en-GB"/>
        </w:rPr>
        <w:t>SoC,</w:t>
      </w:r>
      <w:r w:rsidR="002A16E5" w:rsidRPr="003651C9">
        <w:rPr>
          <w:lang w:val="en-GB"/>
        </w:rPr>
        <w:t xml:space="preserve"> </w:t>
      </w:r>
      <w:r w:rsidR="002A16E5" w:rsidRPr="007B704D">
        <w:rPr>
          <w:lang w:val="en-GB"/>
        </w:rPr>
        <w:t xml:space="preserve">were </w:t>
      </w:r>
      <w:r w:rsidR="002A16E5" w:rsidRPr="0082739E">
        <w:rPr>
          <w:lang w:val="en-GB"/>
        </w:rPr>
        <w:t>eligible for subsequent therapy</w:t>
      </w:r>
      <w:r w:rsidR="002A16E5">
        <w:rPr>
          <w:lang w:val="en-GB"/>
        </w:rPr>
        <w:t>,</w:t>
      </w:r>
      <w:r w:rsidR="002A16E5" w:rsidRPr="0082739E">
        <w:rPr>
          <w:lang w:val="en-GB"/>
        </w:rPr>
        <w:t xml:space="preserve"> and who </w:t>
      </w:r>
      <w:r w:rsidR="0050744B">
        <w:rPr>
          <w:lang w:val="en-GB"/>
        </w:rPr>
        <w:t>then</w:t>
      </w:r>
      <w:r w:rsidR="002A16E5" w:rsidRPr="0082739E">
        <w:rPr>
          <w:lang w:val="en-GB"/>
        </w:rPr>
        <w:t xml:space="preserve"> </w:t>
      </w:r>
      <w:r w:rsidR="0050744B">
        <w:rPr>
          <w:lang w:val="en-GB"/>
        </w:rPr>
        <w:t>had</w:t>
      </w:r>
      <w:r w:rsidR="002A16E5" w:rsidRPr="0082739E">
        <w:rPr>
          <w:lang w:val="en-GB"/>
        </w:rPr>
        <w:t xml:space="preserve"> anti-PD</w:t>
      </w:r>
      <w:r w:rsidR="002A16E5">
        <w:rPr>
          <w:lang w:val="en-GB"/>
        </w:rPr>
        <w:noBreakHyphen/>
      </w:r>
      <w:r w:rsidR="002A16E5" w:rsidRPr="0082739E">
        <w:rPr>
          <w:lang w:val="en-GB"/>
        </w:rPr>
        <w:t>L1</w:t>
      </w:r>
      <w:r w:rsidR="002A16E5">
        <w:rPr>
          <w:lang w:val="en-GB"/>
        </w:rPr>
        <w:t xml:space="preserve"> or </w:t>
      </w:r>
      <w:r w:rsidR="002A16E5" w:rsidRPr="0082739E">
        <w:rPr>
          <w:lang w:val="en-GB"/>
        </w:rPr>
        <w:t>PD</w:t>
      </w:r>
      <w:r w:rsidR="002A16E5">
        <w:rPr>
          <w:lang w:val="en-GB"/>
        </w:rPr>
        <w:noBreakHyphen/>
      </w:r>
      <w:r w:rsidR="002A16E5" w:rsidRPr="0082739E">
        <w:rPr>
          <w:lang w:val="en-GB"/>
        </w:rPr>
        <w:t>1 therapy.</w:t>
      </w:r>
      <w:r w:rsidR="002A16E5">
        <w:rPr>
          <w:lang w:val="en-GB"/>
        </w:rPr>
        <w:t xml:space="preserve"> </w:t>
      </w:r>
      <w:r w:rsidR="00D66A24" w:rsidRPr="003651C9">
        <w:rPr>
          <w:lang w:val="en-GB"/>
        </w:rPr>
        <w:t xml:space="preserve">The ERG believed that </w:t>
      </w:r>
      <w:r w:rsidR="008528AA" w:rsidRPr="00F42BBE">
        <w:rPr>
          <w:lang w:val="en-GB"/>
        </w:rPr>
        <w:t>the</w:t>
      </w:r>
      <w:r w:rsidR="00D66A24" w:rsidRPr="0021309E">
        <w:rPr>
          <w:lang w:val="en-GB"/>
        </w:rPr>
        <w:t xml:space="preserve"> 2</w:t>
      </w:r>
      <w:r w:rsidR="00C07C36">
        <w:rPr>
          <w:lang w:val="en-GB"/>
        </w:rPr>
        <w:noBreakHyphen/>
      </w:r>
      <w:r w:rsidR="00D66A24" w:rsidRPr="0021309E">
        <w:rPr>
          <w:lang w:val="en-GB"/>
        </w:rPr>
        <w:t xml:space="preserve">stage </w:t>
      </w:r>
      <w:r w:rsidR="00445417" w:rsidRPr="003651C9">
        <w:rPr>
          <w:lang w:val="en-GB"/>
        </w:rPr>
        <w:t xml:space="preserve">method </w:t>
      </w:r>
      <w:r w:rsidR="008528AA" w:rsidRPr="003651C9">
        <w:rPr>
          <w:lang w:val="en-GB"/>
        </w:rPr>
        <w:t xml:space="preserve">had </w:t>
      </w:r>
      <w:r w:rsidR="00D66A24" w:rsidRPr="003651C9">
        <w:rPr>
          <w:lang w:val="en-GB"/>
        </w:rPr>
        <w:t>disadvantages, but overall</w:t>
      </w:r>
      <w:r w:rsidR="00445417" w:rsidRPr="003651C9">
        <w:rPr>
          <w:lang w:val="en-GB"/>
        </w:rPr>
        <w:t xml:space="preserve"> </w:t>
      </w:r>
      <w:r w:rsidR="008528AA" w:rsidRPr="003651C9">
        <w:rPr>
          <w:lang w:val="en-GB"/>
        </w:rPr>
        <w:t xml:space="preserve">was </w:t>
      </w:r>
      <w:r w:rsidR="00D66A24" w:rsidRPr="003651C9">
        <w:rPr>
          <w:lang w:val="en-GB"/>
        </w:rPr>
        <w:t>the most appropriate</w:t>
      </w:r>
      <w:r w:rsidR="00C07C36">
        <w:rPr>
          <w:lang w:val="en-GB"/>
        </w:rPr>
        <w:t>.</w:t>
      </w:r>
      <w:r w:rsidR="0016681C">
        <w:rPr>
          <w:lang w:val="en-GB"/>
        </w:rPr>
        <w:t xml:space="preserve"> </w:t>
      </w:r>
      <w:r w:rsidR="00C07C36">
        <w:rPr>
          <w:lang w:val="en-GB"/>
        </w:rPr>
        <w:t>T</w:t>
      </w:r>
      <w:r w:rsidR="0016681C">
        <w:rPr>
          <w:lang w:val="en-GB"/>
        </w:rPr>
        <w:t>he</w:t>
      </w:r>
      <w:r w:rsidR="00D66A24" w:rsidRPr="003651C9">
        <w:rPr>
          <w:lang w:val="en-GB"/>
        </w:rPr>
        <w:t xml:space="preserve"> committee concluded that the company’s 2</w:t>
      </w:r>
      <w:r w:rsidR="00C07C36">
        <w:rPr>
          <w:lang w:val="en-GB"/>
        </w:rPr>
        <w:noBreakHyphen/>
      </w:r>
      <w:r w:rsidR="00D66A24" w:rsidRPr="003651C9">
        <w:rPr>
          <w:lang w:val="en-GB"/>
        </w:rPr>
        <w:t xml:space="preserve">stage </w:t>
      </w:r>
      <w:r w:rsidR="00445417" w:rsidRPr="003651C9">
        <w:rPr>
          <w:lang w:val="en-GB"/>
        </w:rPr>
        <w:t xml:space="preserve">method </w:t>
      </w:r>
      <w:r w:rsidR="00C07C36">
        <w:rPr>
          <w:lang w:val="en-GB"/>
        </w:rPr>
        <w:t>was</w:t>
      </w:r>
      <w:r w:rsidR="00D66A24" w:rsidRPr="003651C9">
        <w:rPr>
          <w:lang w:val="en-GB"/>
        </w:rPr>
        <w:t xml:space="preserve"> appropriate for decision</w:t>
      </w:r>
      <w:r w:rsidR="00F72FB5">
        <w:rPr>
          <w:lang w:val="en-GB"/>
        </w:rPr>
        <w:t xml:space="preserve"> </w:t>
      </w:r>
      <w:r w:rsidR="00D66A24" w:rsidRPr="003651C9">
        <w:rPr>
          <w:lang w:val="en-GB"/>
        </w:rPr>
        <w:t>making</w:t>
      </w:r>
      <w:r w:rsidR="008528AA" w:rsidRPr="003651C9">
        <w:rPr>
          <w:lang w:val="en-GB"/>
        </w:rPr>
        <w:t xml:space="preserve"> in</w:t>
      </w:r>
      <w:r w:rsidR="00F72FB5">
        <w:rPr>
          <w:lang w:val="en-GB"/>
        </w:rPr>
        <w:t xml:space="preserve"> the original</w:t>
      </w:r>
      <w:r w:rsidR="0016681C">
        <w:rPr>
          <w:lang w:val="en-GB"/>
        </w:rPr>
        <w:t xml:space="preserve"> appraisal</w:t>
      </w:r>
      <w:r w:rsidR="008528AA" w:rsidRPr="003651C9">
        <w:rPr>
          <w:lang w:val="en-GB"/>
        </w:rPr>
        <w:t>.</w:t>
      </w:r>
    </w:p>
    <w:p w14:paraId="10FEB43D" w14:textId="20989FB3" w:rsidR="007402BB" w:rsidRPr="007402BB" w:rsidRDefault="007402BB" w:rsidP="00C26411">
      <w:pPr>
        <w:pStyle w:val="Heading3"/>
      </w:pPr>
      <w:r>
        <w:t xml:space="preserve">New KEYNOTE-045 data shows that the </w:t>
      </w:r>
      <w:r w:rsidRPr="007402BB">
        <w:t>2-stage method may not be appropriate, and the unadjusted method should also be taken into account</w:t>
      </w:r>
    </w:p>
    <w:p w14:paraId="7498B5C8" w14:textId="6FD8B300" w:rsidR="0070272A" w:rsidRDefault="00E83481" w:rsidP="0082739E">
      <w:pPr>
        <w:pStyle w:val="Numberedlevel2text"/>
        <w:numPr>
          <w:ilvl w:val="1"/>
          <w:numId w:val="4"/>
        </w:numPr>
      </w:pPr>
      <w:r>
        <w:rPr>
          <w:lang w:val="en-GB"/>
        </w:rPr>
        <w:t>T</w:t>
      </w:r>
      <w:r w:rsidR="007E1B7F" w:rsidRPr="0082739E">
        <w:rPr>
          <w:lang w:val="en-GB"/>
        </w:rPr>
        <w:t xml:space="preserve">he November 2018 </w:t>
      </w:r>
      <w:r w:rsidR="0095512F" w:rsidRPr="003651C9">
        <w:rPr>
          <w:lang w:val="en-GB"/>
        </w:rPr>
        <w:t xml:space="preserve">data cut from </w:t>
      </w:r>
      <w:r w:rsidR="007E1B7F" w:rsidRPr="0082739E">
        <w:rPr>
          <w:lang w:val="en-GB"/>
        </w:rPr>
        <w:t>KEYNOTE</w:t>
      </w:r>
      <w:r>
        <w:rPr>
          <w:lang w:val="en-GB"/>
        </w:rPr>
        <w:noBreakHyphen/>
      </w:r>
      <w:r w:rsidR="007E1B7F" w:rsidRPr="0082739E">
        <w:rPr>
          <w:lang w:val="en-GB"/>
        </w:rPr>
        <w:t>045</w:t>
      </w:r>
      <w:r>
        <w:rPr>
          <w:lang w:val="en-GB"/>
        </w:rPr>
        <w:t xml:space="preserve"> showed that</w:t>
      </w:r>
      <w:r w:rsidR="007E1B7F" w:rsidRPr="0082739E">
        <w:rPr>
          <w:lang w:val="en-GB"/>
        </w:rPr>
        <w:t xml:space="preserve"> the acceleration factor</w:t>
      </w:r>
      <w:r w:rsidR="0095512F" w:rsidRPr="003651C9">
        <w:rPr>
          <w:lang w:val="en-GB"/>
        </w:rPr>
        <w:t xml:space="preserve"> </w:t>
      </w:r>
      <w:r w:rsidR="007E1B7F" w:rsidRPr="0082739E">
        <w:rPr>
          <w:lang w:val="en-GB"/>
        </w:rPr>
        <w:t>had a higher magnitude and applied to more people in the trial</w:t>
      </w:r>
      <w:r w:rsidR="00EC1042">
        <w:rPr>
          <w:lang w:val="en-GB"/>
        </w:rPr>
        <w:t>.</w:t>
      </w:r>
      <w:r w:rsidR="007E1B7F" w:rsidRPr="0082739E">
        <w:rPr>
          <w:lang w:val="en-GB"/>
        </w:rPr>
        <w:t xml:space="preserve"> </w:t>
      </w:r>
      <w:r w:rsidR="00EC1042">
        <w:rPr>
          <w:lang w:val="en-GB"/>
        </w:rPr>
        <w:t xml:space="preserve">This </w:t>
      </w:r>
      <w:r w:rsidR="007E1B7F" w:rsidRPr="0082739E">
        <w:rPr>
          <w:lang w:val="en-GB"/>
        </w:rPr>
        <w:t>mean</w:t>
      </w:r>
      <w:r w:rsidR="00EC1042">
        <w:rPr>
          <w:lang w:val="en-GB"/>
        </w:rPr>
        <w:t>t</w:t>
      </w:r>
      <w:r w:rsidR="007E1B7F" w:rsidRPr="0082739E">
        <w:rPr>
          <w:lang w:val="en-GB"/>
        </w:rPr>
        <w:t xml:space="preserve"> the 2</w:t>
      </w:r>
      <w:r w:rsidR="00EC1042">
        <w:rPr>
          <w:lang w:val="en-GB"/>
        </w:rPr>
        <w:noBreakHyphen/>
      </w:r>
      <w:r w:rsidR="007E1B7F" w:rsidRPr="0082739E">
        <w:rPr>
          <w:lang w:val="en-GB"/>
        </w:rPr>
        <w:t xml:space="preserve">stage adjustment had a greater influence on overall survival </w:t>
      </w:r>
      <w:r w:rsidR="005640D2">
        <w:rPr>
          <w:lang w:val="en-GB"/>
        </w:rPr>
        <w:t>than it did i</w:t>
      </w:r>
      <w:r w:rsidR="009C310C">
        <w:rPr>
          <w:lang w:val="en-GB"/>
        </w:rPr>
        <w:t>n</w:t>
      </w:r>
      <w:r w:rsidR="005640D2">
        <w:rPr>
          <w:lang w:val="en-GB"/>
        </w:rPr>
        <w:t xml:space="preserve"> the original </w:t>
      </w:r>
      <w:r w:rsidR="0095512F" w:rsidRPr="003651C9">
        <w:rPr>
          <w:lang w:val="en-GB"/>
        </w:rPr>
        <w:t>appraisal</w:t>
      </w:r>
      <w:r w:rsidR="007E1B7F" w:rsidRPr="0082739E">
        <w:rPr>
          <w:lang w:val="en-GB"/>
        </w:rPr>
        <w:t xml:space="preserve">. The acceleration factor was 5.37 (95% </w:t>
      </w:r>
      <w:r w:rsidR="004F50AA">
        <w:rPr>
          <w:lang w:val="en-GB"/>
        </w:rPr>
        <w:t>confidence interval [</w:t>
      </w:r>
      <w:r w:rsidR="007E1B7F" w:rsidRPr="0082739E">
        <w:rPr>
          <w:lang w:val="en-GB"/>
        </w:rPr>
        <w:t>CI</w:t>
      </w:r>
      <w:r w:rsidR="004F50AA">
        <w:rPr>
          <w:lang w:val="en-GB"/>
        </w:rPr>
        <w:t>]</w:t>
      </w:r>
      <w:r w:rsidR="007E1B7F" w:rsidRPr="0082739E">
        <w:rPr>
          <w:lang w:val="en-GB"/>
        </w:rPr>
        <w:t xml:space="preserve"> 3.23</w:t>
      </w:r>
      <w:r w:rsidR="00380EA6">
        <w:rPr>
          <w:lang w:val="en-GB"/>
        </w:rPr>
        <w:t xml:space="preserve"> to</w:t>
      </w:r>
      <w:r w:rsidR="007E1B7F" w:rsidRPr="0082739E">
        <w:rPr>
          <w:lang w:val="en-GB"/>
        </w:rPr>
        <w:t xml:space="preserve"> 10.09) (based on 25</w:t>
      </w:r>
      <w:r w:rsidR="00FE362C">
        <w:rPr>
          <w:lang w:val="en-GB"/>
        </w:rPr>
        <w:t> </w:t>
      </w:r>
      <w:r w:rsidR="007E1B7F" w:rsidRPr="0082739E">
        <w:rPr>
          <w:lang w:val="en-GB"/>
        </w:rPr>
        <w:t xml:space="preserve">patients) </w:t>
      </w:r>
      <w:r w:rsidR="00217AE6">
        <w:rPr>
          <w:lang w:val="en-GB"/>
        </w:rPr>
        <w:t>after the November 2018 data cut</w:t>
      </w:r>
      <w:r w:rsidR="007E1B7F" w:rsidRPr="0082739E">
        <w:rPr>
          <w:lang w:val="en-GB"/>
        </w:rPr>
        <w:t xml:space="preserve">, compared </w:t>
      </w:r>
      <w:r w:rsidR="004A4369">
        <w:rPr>
          <w:lang w:val="en-GB"/>
        </w:rPr>
        <w:t xml:space="preserve">with </w:t>
      </w:r>
      <w:r w:rsidR="007E1B7F" w:rsidRPr="0082739E">
        <w:rPr>
          <w:lang w:val="en-GB"/>
        </w:rPr>
        <w:t>3.86 (95% CI 1.79</w:t>
      </w:r>
      <w:r w:rsidR="001E45A3">
        <w:rPr>
          <w:lang w:val="en-GB"/>
        </w:rPr>
        <w:t xml:space="preserve"> </w:t>
      </w:r>
      <w:r w:rsidR="004815C9">
        <w:rPr>
          <w:lang w:val="en-GB"/>
        </w:rPr>
        <w:t>to</w:t>
      </w:r>
      <w:r w:rsidR="007E1B7F" w:rsidRPr="0082739E">
        <w:rPr>
          <w:lang w:val="en-GB"/>
        </w:rPr>
        <w:t xml:space="preserve"> 11.68) (based on 14</w:t>
      </w:r>
      <w:r w:rsidR="00217AE6">
        <w:rPr>
          <w:lang w:val="en-GB"/>
        </w:rPr>
        <w:t> </w:t>
      </w:r>
      <w:r w:rsidR="007E1B7F" w:rsidRPr="0082739E">
        <w:rPr>
          <w:lang w:val="en-GB"/>
        </w:rPr>
        <w:t xml:space="preserve">patients) </w:t>
      </w:r>
      <w:r w:rsidR="00C23903">
        <w:rPr>
          <w:lang w:val="en-GB"/>
        </w:rPr>
        <w:t>using previous data</w:t>
      </w:r>
      <w:r w:rsidR="007E1B7F" w:rsidRPr="0082739E">
        <w:rPr>
          <w:lang w:val="en-GB"/>
        </w:rPr>
        <w:t xml:space="preserve">. The ERG </w:t>
      </w:r>
      <w:r w:rsidR="003651C9" w:rsidRPr="003651C9">
        <w:rPr>
          <w:lang w:val="en-GB"/>
        </w:rPr>
        <w:t>considered</w:t>
      </w:r>
      <w:r w:rsidR="007E1B7F" w:rsidRPr="003651C9">
        <w:rPr>
          <w:lang w:val="en-GB"/>
        </w:rPr>
        <w:t xml:space="preserve"> that both the 2</w:t>
      </w:r>
      <w:r w:rsidR="00503862">
        <w:rPr>
          <w:lang w:val="en-GB"/>
        </w:rPr>
        <w:noBreakHyphen/>
      </w:r>
      <w:r w:rsidR="007E1B7F" w:rsidRPr="003651C9">
        <w:rPr>
          <w:lang w:val="en-GB"/>
        </w:rPr>
        <w:t>stage adjusted analyses and analyses without this adjustment for treatment switching should be carefully considered</w:t>
      </w:r>
      <w:r w:rsidR="001E74EA">
        <w:rPr>
          <w:lang w:val="en-GB"/>
        </w:rPr>
        <w:t>. It advised</w:t>
      </w:r>
      <w:r w:rsidR="007E1B7F" w:rsidRPr="003651C9">
        <w:rPr>
          <w:lang w:val="en-GB"/>
        </w:rPr>
        <w:t xml:space="preserve"> that the true overall survival benefit would be somewhere between the result of the </w:t>
      </w:r>
      <w:r w:rsidR="001E74EA">
        <w:rPr>
          <w:lang w:val="en-GB"/>
        </w:rPr>
        <w:t>2 </w:t>
      </w:r>
      <w:r w:rsidR="007E1B7F" w:rsidRPr="003651C9">
        <w:rPr>
          <w:lang w:val="en-GB"/>
        </w:rPr>
        <w:t xml:space="preserve">approaches. </w:t>
      </w:r>
      <w:r w:rsidR="00BC7930">
        <w:rPr>
          <w:lang w:val="en-GB"/>
        </w:rPr>
        <w:t>U</w:t>
      </w:r>
      <w:r w:rsidR="007E1B7F" w:rsidRPr="003651C9">
        <w:rPr>
          <w:lang w:val="en-GB"/>
        </w:rPr>
        <w:t xml:space="preserve">sing an approach without the adjustment might overestimate survival time in the UK SoC arm, </w:t>
      </w:r>
      <w:r w:rsidR="00B02F80">
        <w:rPr>
          <w:lang w:val="en-GB"/>
        </w:rPr>
        <w:t xml:space="preserve">but </w:t>
      </w:r>
      <w:r w:rsidR="007E1B7F" w:rsidRPr="003651C9">
        <w:rPr>
          <w:lang w:val="en-GB"/>
        </w:rPr>
        <w:t>the 2</w:t>
      </w:r>
      <w:r w:rsidR="00583025">
        <w:rPr>
          <w:lang w:val="en-GB"/>
        </w:rPr>
        <w:noBreakHyphen/>
      </w:r>
      <w:r w:rsidR="007E1B7F" w:rsidRPr="003651C9">
        <w:rPr>
          <w:lang w:val="en-GB"/>
        </w:rPr>
        <w:t xml:space="preserve">stage method might underestimate survival time in this arm too much. The wide confidence interval around the acceleration factor </w:t>
      </w:r>
      <w:r w:rsidR="00F7285B">
        <w:rPr>
          <w:lang w:val="en-GB"/>
        </w:rPr>
        <w:t>showed</w:t>
      </w:r>
      <w:r w:rsidR="007E1B7F" w:rsidRPr="003651C9">
        <w:rPr>
          <w:lang w:val="en-GB"/>
        </w:rPr>
        <w:t xml:space="preserve"> a high degree of uncertainty. The committee heard that, with the most up-to-date data from November 2018, 40</w:t>
      </w:r>
      <w:r w:rsidR="00CD090B">
        <w:rPr>
          <w:lang w:val="en-GB"/>
        </w:rPr>
        <w:t> </w:t>
      </w:r>
      <w:r w:rsidR="007E1B7F" w:rsidRPr="003651C9">
        <w:rPr>
          <w:lang w:val="en-GB"/>
        </w:rPr>
        <w:t>people on the UK SoC arm of the trial switched to an anti</w:t>
      </w:r>
      <w:r w:rsidR="00514899">
        <w:rPr>
          <w:lang w:val="en-GB"/>
        </w:rPr>
        <w:noBreakHyphen/>
      </w:r>
      <w:r w:rsidR="007E1B7F" w:rsidRPr="003651C9">
        <w:rPr>
          <w:lang w:val="en-GB"/>
        </w:rPr>
        <w:t>PD</w:t>
      </w:r>
      <w:r w:rsidR="00514899">
        <w:rPr>
          <w:lang w:val="en-GB"/>
        </w:rPr>
        <w:noBreakHyphen/>
      </w:r>
      <w:r w:rsidR="007E1B7F" w:rsidRPr="003651C9">
        <w:rPr>
          <w:lang w:val="en-GB"/>
        </w:rPr>
        <w:t>L1 or PD</w:t>
      </w:r>
      <w:r w:rsidR="00514899">
        <w:rPr>
          <w:lang w:val="en-GB"/>
        </w:rPr>
        <w:noBreakHyphen/>
      </w:r>
      <w:r w:rsidR="007E1B7F" w:rsidRPr="003651C9">
        <w:rPr>
          <w:lang w:val="en-GB"/>
        </w:rPr>
        <w:t xml:space="preserve">1 treatment. </w:t>
      </w:r>
      <w:r w:rsidR="0058491F" w:rsidRPr="003651C9">
        <w:rPr>
          <w:lang w:val="en-GB"/>
        </w:rPr>
        <w:t>The acceleration factor was calculated from the 25</w:t>
      </w:r>
      <w:r w:rsidR="0058491F">
        <w:rPr>
          <w:lang w:val="en-GB"/>
        </w:rPr>
        <w:t> </w:t>
      </w:r>
      <w:r w:rsidR="0058491F" w:rsidRPr="003651C9">
        <w:rPr>
          <w:lang w:val="en-GB"/>
        </w:rPr>
        <w:t xml:space="preserve">people </w:t>
      </w:r>
      <w:r w:rsidR="0058491F">
        <w:rPr>
          <w:lang w:val="en-GB"/>
        </w:rPr>
        <w:t xml:space="preserve">who </w:t>
      </w:r>
      <w:r w:rsidR="007E1B7F" w:rsidRPr="003651C9">
        <w:rPr>
          <w:lang w:val="en-GB"/>
        </w:rPr>
        <w:t xml:space="preserve">switched </w:t>
      </w:r>
      <w:r w:rsidR="0050744B">
        <w:rPr>
          <w:lang w:val="en-GB"/>
        </w:rPr>
        <w:t>when progression of their</w:t>
      </w:r>
      <w:r w:rsidR="007E1B7F" w:rsidRPr="003651C9">
        <w:rPr>
          <w:lang w:val="en-GB"/>
        </w:rPr>
        <w:t xml:space="preserve"> disease </w:t>
      </w:r>
      <w:r w:rsidR="0050744B">
        <w:rPr>
          <w:lang w:val="en-GB"/>
        </w:rPr>
        <w:t>was documented</w:t>
      </w:r>
      <w:r w:rsidR="0058491F">
        <w:rPr>
          <w:lang w:val="en-GB"/>
        </w:rPr>
        <w:t>.</w:t>
      </w:r>
      <w:r w:rsidR="007E1B7F" w:rsidRPr="003651C9">
        <w:rPr>
          <w:lang w:val="en-GB"/>
        </w:rPr>
        <w:t xml:space="preserve"> </w:t>
      </w:r>
      <w:r w:rsidR="0058491F">
        <w:rPr>
          <w:lang w:val="en-GB"/>
        </w:rPr>
        <w:t>T</w:t>
      </w:r>
      <w:r w:rsidR="0058491F" w:rsidRPr="003651C9">
        <w:rPr>
          <w:lang w:val="en-GB"/>
        </w:rPr>
        <w:t>he acceleration factor was not applied to the overall survival time of 15</w:t>
      </w:r>
      <w:r w:rsidR="0058491F">
        <w:rPr>
          <w:lang w:val="en-GB"/>
        </w:rPr>
        <w:t> </w:t>
      </w:r>
      <w:r w:rsidR="0058491F" w:rsidRPr="003651C9">
        <w:rPr>
          <w:lang w:val="en-GB"/>
        </w:rPr>
        <w:t>p</w:t>
      </w:r>
      <w:r w:rsidR="00611C55">
        <w:rPr>
          <w:lang w:val="en-GB"/>
        </w:rPr>
        <w:t>atients</w:t>
      </w:r>
      <w:r w:rsidR="0058491F" w:rsidRPr="003651C9">
        <w:rPr>
          <w:lang w:val="en-GB"/>
        </w:rPr>
        <w:t xml:space="preserve"> </w:t>
      </w:r>
      <w:r w:rsidR="0058491F">
        <w:rPr>
          <w:lang w:val="en-GB"/>
        </w:rPr>
        <w:t xml:space="preserve">who </w:t>
      </w:r>
      <w:r w:rsidR="007E1B7F" w:rsidRPr="003651C9">
        <w:rPr>
          <w:lang w:val="en-GB"/>
        </w:rPr>
        <w:t>switched at different times</w:t>
      </w:r>
      <w:r w:rsidR="00593AE7">
        <w:rPr>
          <w:lang w:val="en-GB"/>
        </w:rPr>
        <w:t xml:space="preserve">. It is not known how </w:t>
      </w:r>
      <w:r w:rsidR="009B3F5C">
        <w:rPr>
          <w:lang w:val="en-GB"/>
        </w:rPr>
        <w:t>including</w:t>
      </w:r>
      <w:r w:rsidR="00593AE7">
        <w:rPr>
          <w:lang w:val="en-GB"/>
        </w:rPr>
        <w:t xml:space="preserve"> these 15</w:t>
      </w:r>
      <w:r w:rsidR="009B3F5C">
        <w:rPr>
          <w:lang w:val="en-GB"/>
        </w:rPr>
        <w:t> </w:t>
      </w:r>
      <w:r w:rsidR="00593AE7">
        <w:rPr>
          <w:lang w:val="en-GB"/>
        </w:rPr>
        <w:t>patients in an adjustment would have affected the estimated incremental cost</w:t>
      </w:r>
      <w:r w:rsidR="00C261F9">
        <w:rPr>
          <w:lang w:val="en-GB"/>
        </w:rPr>
        <w:t>-</w:t>
      </w:r>
      <w:r w:rsidR="00593AE7">
        <w:rPr>
          <w:lang w:val="en-GB"/>
        </w:rPr>
        <w:t>effectiveness ratio (ICER)</w:t>
      </w:r>
      <w:r w:rsidR="007E1B7F" w:rsidRPr="003651C9">
        <w:rPr>
          <w:lang w:val="en-GB"/>
        </w:rPr>
        <w:t xml:space="preserve">. The ERG </w:t>
      </w:r>
      <w:r w:rsidR="003651C9" w:rsidRPr="003651C9">
        <w:rPr>
          <w:lang w:val="en-GB"/>
        </w:rPr>
        <w:t xml:space="preserve">stated </w:t>
      </w:r>
      <w:r w:rsidR="007E1B7F" w:rsidRPr="003651C9">
        <w:rPr>
          <w:lang w:val="en-GB"/>
        </w:rPr>
        <w:t xml:space="preserve">that </w:t>
      </w:r>
      <w:r w:rsidR="004B3177">
        <w:rPr>
          <w:lang w:val="en-GB"/>
        </w:rPr>
        <w:t>the company had not provided an</w:t>
      </w:r>
      <w:r w:rsidR="007E1B7F" w:rsidRPr="003651C9">
        <w:rPr>
          <w:lang w:val="en-GB"/>
        </w:rPr>
        <w:t xml:space="preserve"> established rule for switching</w:t>
      </w:r>
      <w:r w:rsidR="00082546">
        <w:rPr>
          <w:lang w:val="en-GB"/>
        </w:rPr>
        <w:t xml:space="preserve">. The </w:t>
      </w:r>
      <w:r w:rsidR="00082546">
        <w:rPr>
          <w:lang w:val="en-GB"/>
        </w:rPr>
        <w:lastRenderedPageBreak/>
        <w:t>ERG explained that</w:t>
      </w:r>
      <w:r w:rsidR="003651C9" w:rsidRPr="003651C9">
        <w:rPr>
          <w:lang w:val="en-GB"/>
        </w:rPr>
        <w:t xml:space="preserve"> </w:t>
      </w:r>
      <w:r w:rsidR="007E1B7F" w:rsidRPr="003651C9">
        <w:rPr>
          <w:lang w:val="en-GB"/>
        </w:rPr>
        <w:t>the adjustment method assumed that all people switching to anti</w:t>
      </w:r>
      <w:r w:rsidR="00264D2A">
        <w:rPr>
          <w:lang w:val="en-GB"/>
        </w:rPr>
        <w:noBreakHyphen/>
      </w:r>
      <w:r w:rsidR="007E1B7F" w:rsidRPr="003651C9">
        <w:rPr>
          <w:lang w:val="en-GB"/>
        </w:rPr>
        <w:t>PD</w:t>
      </w:r>
      <w:r w:rsidR="00264D2A">
        <w:rPr>
          <w:lang w:val="en-GB"/>
        </w:rPr>
        <w:noBreakHyphen/>
      </w:r>
      <w:r w:rsidR="007E1B7F" w:rsidRPr="003651C9">
        <w:rPr>
          <w:lang w:val="en-GB"/>
        </w:rPr>
        <w:t>L1 or PD</w:t>
      </w:r>
      <w:r w:rsidR="00264D2A">
        <w:rPr>
          <w:lang w:val="en-GB"/>
        </w:rPr>
        <w:noBreakHyphen/>
      </w:r>
      <w:r w:rsidR="007E1B7F" w:rsidRPr="003651C9">
        <w:rPr>
          <w:lang w:val="en-GB"/>
        </w:rPr>
        <w:t xml:space="preserve">1 </w:t>
      </w:r>
      <w:r w:rsidR="000A0A4B" w:rsidRPr="003651C9">
        <w:rPr>
          <w:lang w:val="en-GB"/>
        </w:rPr>
        <w:t>therapy</w:t>
      </w:r>
      <w:r w:rsidR="007E1B7F" w:rsidRPr="003651C9">
        <w:rPr>
          <w:lang w:val="en-GB"/>
        </w:rPr>
        <w:t xml:space="preserve"> </w:t>
      </w:r>
      <w:r w:rsidR="00264D2A">
        <w:rPr>
          <w:lang w:val="en-GB"/>
        </w:rPr>
        <w:t>had</w:t>
      </w:r>
      <w:r w:rsidR="00264D2A" w:rsidRPr="003651C9">
        <w:rPr>
          <w:lang w:val="en-GB"/>
        </w:rPr>
        <w:t xml:space="preserve"> </w:t>
      </w:r>
      <w:r w:rsidR="004B3177">
        <w:rPr>
          <w:lang w:val="en-GB"/>
        </w:rPr>
        <w:t xml:space="preserve">the </w:t>
      </w:r>
      <w:r w:rsidR="007E1B7F" w:rsidRPr="003651C9">
        <w:rPr>
          <w:lang w:val="en-GB"/>
        </w:rPr>
        <w:t>same overall survival benefit</w:t>
      </w:r>
      <w:r w:rsidR="00741B42">
        <w:rPr>
          <w:lang w:val="en-GB"/>
        </w:rPr>
        <w:t>. Also,</w:t>
      </w:r>
      <w:r w:rsidR="004B3177">
        <w:rPr>
          <w:lang w:val="en-GB"/>
        </w:rPr>
        <w:t xml:space="preserve"> </w:t>
      </w:r>
      <w:r w:rsidR="00BD3EE8">
        <w:rPr>
          <w:lang w:val="en-GB"/>
        </w:rPr>
        <w:t xml:space="preserve">with the adjustment, the </w:t>
      </w:r>
      <w:r w:rsidR="004B3177">
        <w:rPr>
          <w:lang w:val="en-GB"/>
        </w:rPr>
        <w:t>benefit would have been the same</w:t>
      </w:r>
      <w:r w:rsidR="00C26411">
        <w:rPr>
          <w:lang w:val="en-GB"/>
        </w:rPr>
        <w:t xml:space="preserve"> as</w:t>
      </w:r>
      <w:r w:rsidR="004B3177">
        <w:rPr>
          <w:lang w:val="en-GB"/>
        </w:rPr>
        <w:t xml:space="preserve"> </w:t>
      </w:r>
      <w:r w:rsidR="00741B42">
        <w:rPr>
          <w:lang w:val="en-GB"/>
        </w:rPr>
        <w:t>if</w:t>
      </w:r>
      <w:r w:rsidR="004B3177">
        <w:rPr>
          <w:lang w:val="en-GB"/>
        </w:rPr>
        <w:t xml:space="preserve"> patients </w:t>
      </w:r>
      <w:r w:rsidR="00741B42">
        <w:rPr>
          <w:lang w:val="en-GB"/>
        </w:rPr>
        <w:t xml:space="preserve">had </w:t>
      </w:r>
      <w:r w:rsidR="00C26411" w:rsidRPr="00C26411">
        <w:rPr>
          <w:lang w:val="en-GB"/>
        </w:rPr>
        <w:t>anti</w:t>
      </w:r>
      <w:r w:rsidR="002C0199">
        <w:rPr>
          <w:lang w:val="en-GB"/>
        </w:rPr>
        <w:t>-</w:t>
      </w:r>
      <w:r w:rsidR="00C26411" w:rsidRPr="00C26411">
        <w:rPr>
          <w:lang w:val="en-GB"/>
        </w:rPr>
        <w:t>PD</w:t>
      </w:r>
      <w:r w:rsidR="002C0199">
        <w:rPr>
          <w:lang w:val="en-GB"/>
        </w:rPr>
        <w:t>-</w:t>
      </w:r>
      <w:r w:rsidR="00C26411" w:rsidRPr="00C26411">
        <w:rPr>
          <w:lang w:val="en-GB"/>
        </w:rPr>
        <w:t>L1 or PD</w:t>
      </w:r>
      <w:r w:rsidR="002C0199">
        <w:rPr>
          <w:lang w:val="en-GB"/>
        </w:rPr>
        <w:t>-</w:t>
      </w:r>
      <w:r w:rsidR="00C26411" w:rsidRPr="00C26411">
        <w:rPr>
          <w:lang w:val="en-GB"/>
        </w:rPr>
        <w:t>1 therap</w:t>
      </w:r>
      <w:r w:rsidR="000A0A4B">
        <w:rPr>
          <w:lang w:val="en-GB"/>
        </w:rPr>
        <w:t>y</w:t>
      </w:r>
      <w:r w:rsidR="00C26411" w:rsidRPr="00C26411">
        <w:rPr>
          <w:lang w:val="en-GB"/>
        </w:rPr>
        <w:t xml:space="preserve"> </w:t>
      </w:r>
      <w:r w:rsidR="004B3177">
        <w:rPr>
          <w:lang w:val="en-GB"/>
        </w:rPr>
        <w:t>earlier in their disease pathway</w:t>
      </w:r>
      <w:r w:rsidR="004D2CE4">
        <w:rPr>
          <w:lang w:val="en-GB"/>
        </w:rPr>
        <w:t>.</w:t>
      </w:r>
      <w:r w:rsidR="007E1B7F" w:rsidRPr="003651C9">
        <w:rPr>
          <w:lang w:val="en-GB"/>
        </w:rPr>
        <w:t xml:space="preserve"> </w:t>
      </w:r>
      <w:r w:rsidR="004D2CE4">
        <w:rPr>
          <w:lang w:val="en-GB"/>
        </w:rPr>
        <w:t>T</w:t>
      </w:r>
      <w:r w:rsidR="007E1B7F" w:rsidRPr="003651C9">
        <w:rPr>
          <w:lang w:val="en-GB"/>
        </w:rPr>
        <w:t>he KEYNOTE</w:t>
      </w:r>
      <w:r w:rsidR="00741B42">
        <w:rPr>
          <w:lang w:val="en-GB"/>
        </w:rPr>
        <w:noBreakHyphen/>
      </w:r>
      <w:r w:rsidR="007E1B7F" w:rsidRPr="003651C9">
        <w:rPr>
          <w:lang w:val="en-GB"/>
        </w:rPr>
        <w:t>045 trial data d</w:t>
      </w:r>
      <w:r w:rsidR="003651C9" w:rsidRPr="003651C9">
        <w:rPr>
          <w:lang w:val="en-GB"/>
        </w:rPr>
        <w:t>id</w:t>
      </w:r>
      <w:r w:rsidR="0082739E">
        <w:rPr>
          <w:lang w:val="en-GB"/>
        </w:rPr>
        <w:t xml:space="preserve"> </w:t>
      </w:r>
      <w:r w:rsidR="007E1B7F" w:rsidRPr="003651C9">
        <w:rPr>
          <w:lang w:val="en-GB"/>
        </w:rPr>
        <w:t xml:space="preserve">not support this. The ERG </w:t>
      </w:r>
      <w:r w:rsidR="003651C9" w:rsidRPr="003651C9">
        <w:rPr>
          <w:lang w:val="en-GB"/>
        </w:rPr>
        <w:t xml:space="preserve">also considered </w:t>
      </w:r>
      <w:r w:rsidR="007E1B7F" w:rsidRPr="003651C9">
        <w:rPr>
          <w:lang w:val="en-GB"/>
        </w:rPr>
        <w:t xml:space="preserve">that there was potential for selection bias in relation to switching, </w:t>
      </w:r>
      <w:r w:rsidR="00DD71F2">
        <w:rPr>
          <w:lang w:val="en-GB"/>
        </w:rPr>
        <w:t xml:space="preserve">and </w:t>
      </w:r>
      <w:r w:rsidR="007E1B7F" w:rsidRPr="003651C9">
        <w:rPr>
          <w:lang w:val="en-GB"/>
        </w:rPr>
        <w:t>unmeasured prognostic factor</w:t>
      </w:r>
      <w:r w:rsidR="003651C9">
        <w:rPr>
          <w:lang w:val="en-GB"/>
        </w:rPr>
        <w:t>s</w:t>
      </w:r>
      <w:r w:rsidR="003651C9" w:rsidRPr="003651C9">
        <w:rPr>
          <w:lang w:val="en-GB"/>
        </w:rPr>
        <w:t xml:space="preserve"> </w:t>
      </w:r>
      <w:r w:rsidR="00DD71F2">
        <w:rPr>
          <w:lang w:val="en-GB"/>
        </w:rPr>
        <w:t xml:space="preserve">could </w:t>
      </w:r>
      <w:r w:rsidR="00653EDA">
        <w:rPr>
          <w:lang w:val="en-GB"/>
        </w:rPr>
        <w:t>affect</w:t>
      </w:r>
      <w:r w:rsidR="00DD71F2">
        <w:rPr>
          <w:lang w:val="en-GB"/>
        </w:rPr>
        <w:t xml:space="preserve"> the data</w:t>
      </w:r>
      <w:r w:rsidR="007E1B7F" w:rsidRPr="003651C9">
        <w:rPr>
          <w:lang w:val="en-GB"/>
        </w:rPr>
        <w:t>.</w:t>
      </w:r>
      <w:r w:rsidR="003651C9">
        <w:rPr>
          <w:lang w:val="en-GB"/>
        </w:rPr>
        <w:t xml:space="preserve"> </w:t>
      </w:r>
      <w:r w:rsidR="007E1B7F" w:rsidRPr="003651C9">
        <w:rPr>
          <w:lang w:val="en-GB"/>
        </w:rPr>
        <w:t xml:space="preserve">The committee </w:t>
      </w:r>
      <w:r w:rsidR="00653EDA">
        <w:rPr>
          <w:lang w:val="en-GB"/>
        </w:rPr>
        <w:t>was</w:t>
      </w:r>
      <w:r w:rsidR="007E1B7F" w:rsidRPr="003651C9">
        <w:rPr>
          <w:lang w:val="en-GB"/>
        </w:rPr>
        <w:t xml:space="preserve"> concern</w:t>
      </w:r>
      <w:r w:rsidR="00653EDA">
        <w:rPr>
          <w:lang w:val="en-GB"/>
        </w:rPr>
        <w:t>ed about</w:t>
      </w:r>
      <w:r w:rsidR="007E1B7F" w:rsidRPr="003651C9">
        <w:rPr>
          <w:lang w:val="en-GB"/>
        </w:rPr>
        <w:t xml:space="preserve"> the way the 2</w:t>
      </w:r>
      <w:r w:rsidR="00653EDA">
        <w:rPr>
          <w:lang w:val="en-GB"/>
        </w:rPr>
        <w:noBreakHyphen/>
      </w:r>
      <w:r w:rsidR="007E1B7F" w:rsidRPr="003651C9">
        <w:rPr>
          <w:lang w:val="en-GB"/>
        </w:rPr>
        <w:t xml:space="preserve">stage adjustment </w:t>
      </w:r>
      <w:r w:rsidR="00653EDA">
        <w:rPr>
          <w:lang w:val="en-GB"/>
        </w:rPr>
        <w:t>was</w:t>
      </w:r>
      <w:r w:rsidR="007E1B7F" w:rsidRPr="003651C9">
        <w:rPr>
          <w:lang w:val="en-GB"/>
        </w:rPr>
        <w:t xml:space="preserve"> implemented</w:t>
      </w:r>
      <w:r w:rsidR="003651C9">
        <w:rPr>
          <w:lang w:val="en-GB"/>
        </w:rPr>
        <w:t xml:space="preserve"> in the economic model</w:t>
      </w:r>
      <w:r w:rsidR="007E1B7F" w:rsidRPr="003651C9">
        <w:rPr>
          <w:lang w:val="en-GB"/>
        </w:rPr>
        <w:t xml:space="preserve">. </w:t>
      </w:r>
      <w:r w:rsidR="003651C9">
        <w:rPr>
          <w:lang w:val="en-GB"/>
        </w:rPr>
        <w:t xml:space="preserve">Although </w:t>
      </w:r>
      <w:r w:rsidR="007E1B7F" w:rsidRPr="003651C9">
        <w:rPr>
          <w:lang w:val="en-GB"/>
        </w:rPr>
        <w:t>the company</w:t>
      </w:r>
      <w:r w:rsidR="00E85AB9">
        <w:rPr>
          <w:lang w:val="en-GB"/>
        </w:rPr>
        <w:t xml:space="preserve"> stated</w:t>
      </w:r>
      <w:r w:rsidR="007E1B7F" w:rsidRPr="003651C9">
        <w:rPr>
          <w:lang w:val="en-GB"/>
        </w:rPr>
        <w:t xml:space="preserve"> that the same methodology </w:t>
      </w:r>
      <w:r w:rsidR="004032AF">
        <w:rPr>
          <w:lang w:val="en-GB"/>
        </w:rPr>
        <w:t>was</w:t>
      </w:r>
      <w:r w:rsidR="007E1B7F" w:rsidRPr="003651C9">
        <w:rPr>
          <w:lang w:val="en-GB"/>
        </w:rPr>
        <w:t xml:space="preserve"> used in other submissions for pembrolizumab, </w:t>
      </w:r>
      <w:r w:rsidR="004032AF">
        <w:rPr>
          <w:lang w:val="en-GB"/>
        </w:rPr>
        <w:t>the committee</w:t>
      </w:r>
      <w:r w:rsidR="003651C9">
        <w:rPr>
          <w:lang w:val="en-GB"/>
        </w:rPr>
        <w:t xml:space="preserve"> noted </w:t>
      </w:r>
      <w:r w:rsidR="007E1B7F" w:rsidRPr="003651C9">
        <w:rPr>
          <w:lang w:val="en-GB"/>
        </w:rPr>
        <w:t>that the model</w:t>
      </w:r>
      <w:r w:rsidR="003651C9">
        <w:rPr>
          <w:lang w:val="en-GB"/>
        </w:rPr>
        <w:t xml:space="preserve"> for this appraisal </w:t>
      </w:r>
      <w:r w:rsidR="007E1B7F" w:rsidRPr="003651C9">
        <w:rPr>
          <w:lang w:val="en-GB"/>
        </w:rPr>
        <w:t xml:space="preserve">appeared </w:t>
      </w:r>
      <w:r w:rsidR="003651C9">
        <w:rPr>
          <w:lang w:val="en-GB"/>
        </w:rPr>
        <w:t xml:space="preserve">to </w:t>
      </w:r>
      <w:r w:rsidR="00CF1CB0">
        <w:rPr>
          <w:lang w:val="en-GB"/>
        </w:rPr>
        <w:t xml:space="preserve">incorrectly </w:t>
      </w:r>
      <w:r w:rsidR="003651C9">
        <w:rPr>
          <w:lang w:val="en-GB"/>
        </w:rPr>
        <w:t xml:space="preserve">change </w:t>
      </w:r>
      <w:r w:rsidR="007E1B7F" w:rsidRPr="003651C9">
        <w:rPr>
          <w:lang w:val="en-GB"/>
        </w:rPr>
        <w:t xml:space="preserve">outcomes for the pembrolizumab arm when survival for the UK SoC arm was adjusted, </w:t>
      </w:r>
      <w:r w:rsidR="004032AF">
        <w:rPr>
          <w:lang w:val="en-GB"/>
        </w:rPr>
        <w:t>and</w:t>
      </w:r>
      <w:r w:rsidR="007E1B7F" w:rsidRPr="003651C9">
        <w:rPr>
          <w:lang w:val="en-GB"/>
        </w:rPr>
        <w:t xml:space="preserve"> these changes </w:t>
      </w:r>
      <w:r w:rsidR="003651C9">
        <w:rPr>
          <w:lang w:val="en-GB"/>
        </w:rPr>
        <w:t xml:space="preserve">favoured </w:t>
      </w:r>
      <w:r w:rsidR="007E1B7F" w:rsidRPr="003651C9">
        <w:rPr>
          <w:lang w:val="en-GB"/>
        </w:rPr>
        <w:t>pembrolizumab</w:t>
      </w:r>
      <w:r w:rsidR="00CF1CB0">
        <w:rPr>
          <w:lang w:val="en-GB"/>
        </w:rPr>
        <w:t xml:space="preserve">. </w:t>
      </w:r>
      <w:r w:rsidR="003416E1">
        <w:rPr>
          <w:lang w:val="en-GB"/>
        </w:rPr>
        <w:t>T</w:t>
      </w:r>
      <w:r w:rsidR="007E1B7F" w:rsidRPr="003651C9">
        <w:rPr>
          <w:lang w:val="en-GB"/>
        </w:rPr>
        <w:t xml:space="preserve">he committee </w:t>
      </w:r>
      <w:r w:rsidR="00690622">
        <w:rPr>
          <w:lang w:val="en-GB"/>
        </w:rPr>
        <w:t>concluded</w:t>
      </w:r>
      <w:r w:rsidR="00690622" w:rsidRPr="003651C9">
        <w:rPr>
          <w:lang w:val="en-GB"/>
        </w:rPr>
        <w:t xml:space="preserve"> </w:t>
      </w:r>
      <w:r w:rsidR="007E1B7F" w:rsidRPr="003651C9">
        <w:rPr>
          <w:lang w:val="en-GB"/>
        </w:rPr>
        <w:t xml:space="preserve">that, while the ICERs using the </w:t>
      </w:r>
      <w:r w:rsidR="008F0EF9">
        <w:rPr>
          <w:lang w:val="en-GB"/>
        </w:rPr>
        <w:t>2</w:t>
      </w:r>
      <w:r w:rsidR="003416E1">
        <w:rPr>
          <w:lang w:val="en-GB"/>
        </w:rPr>
        <w:noBreakHyphen/>
      </w:r>
      <w:r w:rsidR="008F0EF9">
        <w:rPr>
          <w:lang w:val="en-GB"/>
        </w:rPr>
        <w:t xml:space="preserve">stage </w:t>
      </w:r>
      <w:r w:rsidR="007E1B7F" w:rsidRPr="003651C9">
        <w:rPr>
          <w:lang w:val="en-GB"/>
        </w:rPr>
        <w:t xml:space="preserve">adjustment </w:t>
      </w:r>
      <w:r w:rsidR="008F0EF9">
        <w:rPr>
          <w:lang w:val="en-GB"/>
        </w:rPr>
        <w:t xml:space="preserve">for treatment switching </w:t>
      </w:r>
      <w:r w:rsidR="00CF1CB0">
        <w:rPr>
          <w:lang w:val="en-GB"/>
        </w:rPr>
        <w:t>were</w:t>
      </w:r>
      <w:r w:rsidR="00CF1CB0" w:rsidRPr="003651C9">
        <w:rPr>
          <w:lang w:val="en-GB"/>
        </w:rPr>
        <w:t xml:space="preserve"> </w:t>
      </w:r>
      <w:r w:rsidR="007E1B7F" w:rsidRPr="003651C9">
        <w:rPr>
          <w:lang w:val="en-GB"/>
        </w:rPr>
        <w:t xml:space="preserve">not robust </w:t>
      </w:r>
      <w:r w:rsidR="008F0EF9">
        <w:rPr>
          <w:lang w:val="en-GB"/>
        </w:rPr>
        <w:t>because of</w:t>
      </w:r>
      <w:r w:rsidR="007E1B7F" w:rsidRPr="003651C9">
        <w:rPr>
          <w:lang w:val="en-GB"/>
        </w:rPr>
        <w:t xml:space="preserve"> the apparent error in the model</w:t>
      </w:r>
      <w:r w:rsidR="00CF1CB0">
        <w:rPr>
          <w:lang w:val="en-GB"/>
        </w:rPr>
        <w:t xml:space="preserve"> and the other issues above</w:t>
      </w:r>
      <w:r w:rsidR="007E1B7F" w:rsidRPr="003651C9">
        <w:rPr>
          <w:lang w:val="en-GB"/>
        </w:rPr>
        <w:t xml:space="preserve">, the true overall survival benefit was probably </w:t>
      </w:r>
      <w:r w:rsidR="00CF1CB0">
        <w:rPr>
          <w:lang w:val="en-GB"/>
        </w:rPr>
        <w:t>between that</w:t>
      </w:r>
      <w:r w:rsidR="007E1B7F" w:rsidRPr="003651C9">
        <w:rPr>
          <w:lang w:val="en-GB"/>
        </w:rPr>
        <w:t xml:space="preserve"> seen with an adjustment for treatment switching</w:t>
      </w:r>
      <w:r w:rsidR="00CF1CB0">
        <w:rPr>
          <w:lang w:val="en-GB"/>
        </w:rPr>
        <w:t xml:space="preserve"> and </w:t>
      </w:r>
      <w:r w:rsidR="007E1B7F" w:rsidRPr="003651C9">
        <w:rPr>
          <w:lang w:val="en-GB"/>
        </w:rPr>
        <w:t>that without an</w:t>
      </w:r>
      <w:r w:rsidR="008F0EF9">
        <w:rPr>
          <w:lang w:val="en-GB"/>
        </w:rPr>
        <w:t xml:space="preserve"> </w:t>
      </w:r>
      <w:r w:rsidR="007E1B7F" w:rsidRPr="003651C9">
        <w:rPr>
          <w:lang w:val="en-GB"/>
        </w:rPr>
        <w:t>adjustment.</w:t>
      </w:r>
      <w:bookmarkEnd w:id="6"/>
    </w:p>
    <w:p w14:paraId="70DE04A3" w14:textId="72B031DD" w:rsidR="0070272A" w:rsidRDefault="00D66A24" w:rsidP="001803B0">
      <w:pPr>
        <w:pStyle w:val="Heading3"/>
      </w:pPr>
      <w:r>
        <w:t>Pembrolizumab is more clinically effective than docetaxel or paclitaxel</w:t>
      </w:r>
    </w:p>
    <w:p w14:paraId="3C3E3621" w14:textId="6854AE19" w:rsidR="006D68A3" w:rsidRPr="00D6148E" w:rsidRDefault="00A03535" w:rsidP="00D6148E">
      <w:pPr>
        <w:pStyle w:val="Numberedlevel2text"/>
        <w:numPr>
          <w:ilvl w:val="1"/>
          <w:numId w:val="4"/>
        </w:numPr>
        <w:rPr>
          <w:lang w:val="en-GB"/>
        </w:rPr>
      </w:pPr>
      <w:bookmarkStart w:id="7" w:name="_Ref22910029"/>
      <w:r>
        <w:rPr>
          <w:lang w:val="en-GB"/>
        </w:rPr>
        <w:t>In the latest data cut of K</w:t>
      </w:r>
      <w:r w:rsidR="009E5D5A">
        <w:rPr>
          <w:lang w:val="en-GB"/>
        </w:rPr>
        <w:t>EYNOTE</w:t>
      </w:r>
      <w:r w:rsidR="004D4084">
        <w:rPr>
          <w:lang w:val="en-GB"/>
        </w:rPr>
        <w:noBreakHyphen/>
      </w:r>
      <w:r>
        <w:rPr>
          <w:lang w:val="en-GB"/>
        </w:rPr>
        <w:t>045, t</w:t>
      </w:r>
      <w:r w:rsidR="00D90F51" w:rsidRPr="00D6148E">
        <w:rPr>
          <w:lang w:val="en-GB"/>
        </w:rPr>
        <w:t>he median overall survival for pembrolizumab was 10.1</w:t>
      </w:r>
      <w:r w:rsidR="00E95139">
        <w:rPr>
          <w:lang w:val="en-GB"/>
        </w:rPr>
        <w:t> </w:t>
      </w:r>
      <w:r w:rsidR="00D90F51" w:rsidRPr="00D6148E">
        <w:rPr>
          <w:lang w:val="en-GB"/>
        </w:rPr>
        <w:t>months (95% CI 7.6 to</w:t>
      </w:r>
      <w:r w:rsidR="00B2054F">
        <w:rPr>
          <w:lang w:val="en-GB"/>
        </w:rPr>
        <w:t xml:space="preserve"> </w:t>
      </w:r>
      <w:r w:rsidR="00D90F51" w:rsidRPr="00D6148E">
        <w:rPr>
          <w:lang w:val="en-GB"/>
        </w:rPr>
        <w:t xml:space="preserve">12.9) compared </w:t>
      </w:r>
      <w:r w:rsidR="0022481F" w:rsidRPr="00D6148E">
        <w:rPr>
          <w:lang w:val="en-GB"/>
        </w:rPr>
        <w:t xml:space="preserve">with </w:t>
      </w:r>
      <w:r w:rsidR="00D90F51" w:rsidRPr="00D6148E">
        <w:rPr>
          <w:lang w:val="en-GB"/>
        </w:rPr>
        <w:t>6.2</w:t>
      </w:r>
      <w:r w:rsidR="00E95139">
        <w:rPr>
          <w:lang w:val="en-GB"/>
        </w:rPr>
        <w:t> </w:t>
      </w:r>
      <w:r w:rsidR="00D90F51" w:rsidRPr="00D6148E">
        <w:rPr>
          <w:lang w:val="en-GB"/>
        </w:rPr>
        <w:t xml:space="preserve">months (95% CI 5.2 to 7.4) for the UK SoC arm </w:t>
      </w:r>
      <w:r w:rsidR="00547730" w:rsidRPr="00D6148E">
        <w:rPr>
          <w:lang w:val="en-GB"/>
        </w:rPr>
        <w:t xml:space="preserve">with </w:t>
      </w:r>
      <w:r w:rsidR="00D90F51" w:rsidRPr="00D6148E">
        <w:rPr>
          <w:lang w:val="en-GB"/>
        </w:rPr>
        <w:t>a hazard ratio of 0.64 (95% CI 0.49 to 0.81)</w:t>
      </w:r>
      <w:r w:rsidR="00547730" w:rsidRPr="00D6148E">
        <w:rPr>
          <w:lang w:val="en-GB"/>
        </w:rPr>
        <w:t xml:space="preserve">. This suggests </w:t>
      </w:r>
      <w:r w:rsidR="00D90F51" w:rsidRPr="00D6148E">
        <w:rPr>
          <w:lang w:val="en-GB"/>
        </w:rPr>
        <w:t xml:space="preserve">that pembrolizumab is more clinically effective than docetaxel or paclitaxel in terms of overall survival. However, the median progression-free survival for pembrolizumab </w:t>
      </w:r>
      <w:r w:rsidR="00547730" w:rsidRPr="00D6148E">
        <w:rPr>
          <w:lang w:val="en-GB"/>
        </w:rPr>
        <w:t xml:space="preserve">was </w:t>
      </w:r>
      <w:r w:rsidR="00D90F51" w:rsidRPr="00D6148E">
        <w:rPr>
          <w:lang w:val="en-GB"/>
        </w:rPr>
        <w:t>2.1</w:t>
      </w:r>
      <w:r w:rsidR="00902432">
        <w:rPr>
          <w:lang w:val="en-GB"/>
        </w:rPr>
        <w:t> </w:t>
      </w:r>
      <w:r w:rsidR="00D90F51" w:rsidRPr="00D6148E">
        <w:rPr>
          <w:lang w:val="en-GB"/>
        </w:rPr>
        <w:t xml:space="preserve">months (95% CI 2.0 to 2.2) compared </w:t>
      </w:r>
      <w:r w:rsidR="00547730" w:rsidRPr="00D6148E">
        <w:rPr>
          <w:lang w:val="en-GB"/>
        </w:rPr>
        <w:t>with</w:t>
      </w:r>
      <w:r w:rsidR="00D90F51" w:rsidRPr="00D6148E">
        <w:rPr>
          <w:lang w:val="en-GB"/>
        </w:rPr>
        <w:t xml:space="preserve"> 3.3</w:t>
      </w:r>
      <w:r w:rsidR="00902432">
        <w:rPr>
          <w:lang w:val="en-GB"/>
        </w:rPr>
        <w:t> </w:t>
      </w:r>
      <w:r w:rsidR="00D90F51" w:rsidRPr="00D6148E">
        <w:rPr>
          <w:lang w:val="en-GB"/>
        </w:rPr>
        <w:t>months (95% CI 2.3 to 3.5) in the UK SoC arm, with a hazard ratio of 0.95 (95% CI 0.76 to 1.19)</w:t>
      </w:r>
      <w:r w:rsidR="00547730" w:rsidRPr="00D6148E">
        <w:rPr>
          <w:lang w:val="en-GB"/>
        </w:rPr>
        <w:t>.</w:t>
      </w:r>
      <w:r w:rsidR="00AD1845" w:rsidRPr="00D6148E">
        <w:rPr>
          <w:lang w:val="en-GB"/>
        </w:rPr>
        <w:t xml:space="preserve"> </w:t>
      </w:r>
      <w:r w:rsidR="00547730" w:rsidRPr="00D6148E">
        <w:rPr>
          <w:lang w:val="en-GB"/>
        </w:rPr>
        <w:t xml:space="preserve">The committee agreed that pembrolizumab improves overall survival but does not appear to </w:t>
      </w:r>
      <w:r w:rsidR="00C448F5">
        <w:rPr>
          <w:lang w:val="en-GB"/>
        </w:rPr>
        <w:t xml:space="preserve">improve </w:t>
      </w:r>
      <w:r w:rsidR="00547730" w:rsidRPr="00D6148E">
        <w:rPr>
          <w:lang w:val="en-GB"/>
        </w:rPr>
        <w:t xml:space="preserve">progression-free survival. </w:t>
      </w:r>
      <w:r w:rsidR="00C448F5">
        <w:rPr>
          <w:lang w:val="en-GB"/>
        </w:rPr>
        <w:t>H</w:t>
      </w:r>
      <w:r w:rsidR="00547730" w:rsidRPr="00D6148E">
        <w:rPr>
          <w:lang w:val="en-GB"/>
        </w:rPr>
        <w:t xml:space="preserve">owever, because of the significant improvements in overall survival, pembrolizumab is more </w:t>
      </w:r>
      <w:r w:rsidR="00547730" w:rsidRPr="00D6148E">
        <w:rPr>
          <w:lang w:val="en-GB"/>
        </w:rPr>
        <w:lastRenderedPageBreak/>
        <w:t>clinically effective than docetaxel or paclitaxel</w:t>
      </w:r>
      <w:r w:rsidR="00D90F51" w:rsidRPr="00D6148E">
        <w:rPr>
          <w:lang w:val="en-GB"/>
        </w:rPr>
        <w:t>.</w:t>
      </w:r>
      <w:bookmarkEnd w:id="7"/>
      <w:r>
        <w:rPr>
          <w:lang w:val="en-GB"/>
        </w:rPr>
        <w:t xml:space="preserve"> The additional clinical data collected</w:t>
      </w:r>
      <w:r w:rsidR="00593AE7">
        <w:rPr>
          <w:lang w:val="en-GB"/>
        </w:rPr>
        <w:t xml:space="preserve"> by Public Health England as part of the Systemic Anti-Cancer Therapy dataset</w:t>
      </w:r>
      <w:r>
        <w:rPr>
          <w:lang w:val="en-GB"/>
        </w:rPr>
        <w:t xml:space="preserve"> </w:t>
      </w:r>
      <w:r w:rsidR="00593AE7">
        <w:rPr>
          <w:lang w:val="en-GB"/>
        </w:rPr>
        <w:t>while pembrolizumab was</w:t>
      </w:r>
      <w:r>
        <w:rPr>
          <w:lang w:val="en-GB"/>
        </w:rPr>
        <w:t xml:space="preserve"> in the C</w:t>
      </w:r>
      <w:r w:rsidR="006E7AF6">
        <w:rPr>
          <w:lang w:val="en-GB"/>
        </w:rPr>
        <w:t>ancer Drugs Fund</w:t>
      </w:r>
      <w:r>
        <w:rPr>
          <w:lang w:val="en-GB"/>
        </w:rPr>
        <w:t xml:space="preserve"> did not contribute to this review.</w:t>
      </w:r>
    </w:p>
    <w:p w14:paraId="0950D5D0" w14:textId="36A9ACAD" w:rsidR="0070272A" w:rsidRDefault="00F47099" w:rsidP="001803B0">
      <w:pPr>
        <w:pStyle w:val="Heading3"/>
      </w:pPr>
      <w:r>
        <w:t>PD-L1 positive subgroups are not clinically distinct</w:t>
      </w:r>
    </w:p>
    <w:p w14:paraId="7D273339" w14:textId="634B3B01" w:rsidR="0070272A" w:rsidRDefault="00D66A24" w:rsidP="0082739E">
      <w:pPr>
        <w:pStyle w:val="Bulletindent1"/>
        <w:numPr>
          <w:ilvl w:val="1"/>
          <w:numId w:val="4"/>
        </w:numPr>
        <w:tabs>
          <w:tab w:val="clear" w:pos="1418"/>
        </w:tabs>
      </w:pPr>
      <w:r w:rsidRPr="00AD1845">
        <w:rPr>
          <w:lang w:val="en-GB"/>
        </w:rPr>
        <w:t>The company defined PD</w:t>
      </w:r>
      <w:r w:rsidR="00AA7F98">
        <w:rPr>
          <w:lang w:val="en-GB"/>
        </w:rPr>
        <w:noBreakHyphen/>
      </w:r>
      <w:r w:rsidRPr="00AD1845">
        <w:rPr>
          <w:lang w:val="en-GB"/>
        </w:rPr>
        <w:t>L1 expression in KEYNOTE</w:t>
      </w:r>
      <w:r w:rsidR="00AA7F98">
        <w:rPr>
          <w:lang w:val="en-GB"/>
        </w:rPr>
        <w:noBreakHyphen/>
      </w:r>
      <w:r w:rsidRPr="00AD1845">
        <w:rPr>
          <w:lang w:val="en-GB"/>
        </w:rPr>
        <w:t>045 by combined proportion</w:t>
      </w:r>
      <w:r w:rsidRPr="00675E8E">
        <w:rPr>
          <w:lang w:val="en-GB"/>
        </w:rPr>
        <w:t xml:space="preserve"> score, which includes PD</w:t>
      </w:r>
      <w:r w:rsidR="00AA7F98">
        <w:rPr>
          <w:lang w:val="en-GB"/>
        </w:rPr>
        <w:noBreakHyphen/>
      </w:r>
      <w:r w:rsidRPr="00675E8E">
        <w:rPr>
          <w:lang w:val="en-GB"/>
        </w:rPr>
        <w:t xml:space="preserve">L1 expression in both the solid tumour and the infiltrating immune cells. </w:t>
      </w:r>
      <w:r w:rsidR="00B50272" w:rsidRPr="00AD1845">
        <w:rPr>
          <w:lang w:val="en-GB"/>
        </w:rPr>
        <w:t xml:space="preserve">The company did not present </w:t>
      </w:r>
      <w:r w:rsidR="00B50272" w:rsidRPr="001B6768">
        <w:rPr>
          <w:lang w:val="en-GB"/>
        </w:rPr>
        <w:t xml:space="preserve">clinical effectiveness data for </w:t>
      </w:r>
      <w:r w:rsidR="00547730" w:rsidRPr="001B6768">
        <w:rPr>
          <w:lang w:val="en-GB"/>
        </w:rPr>
        <w:t>the PD</w:t>
      </w:r>
      <w:r w:rsidR="00FE78AB">
        <w:rPr>
          <w:lang w:val="en-GB"/>
        </w:rPr>
        <w:noBreakHyphen/>
      </w:r>
      <w:r w:rsidR="00547730" w:rsidRPr="001B6768">
        <w:rPr>
          <w:lang w:val="en-GB"/>
        </w:rPr>
        <w:t>L1 pos</w:t>
      </w:r>
      <w:r w:rsidR="00547730" w:rsidRPr="00875CDA">
        <w:rPr>
          <w:lang w:val="en-GB"/>
        </w:rPr>
        <w:t xml:space="preserve">itive </w:t>
      </w:r>
      <w:r w:rsidR="00B50272" w:rsidRPr="00675E8E">
        <w:rPr>
          <w:lang w:val="en-GB"/>
        </w:rPr>
        <w:t xml:space="preserve">subgroups </w:t>
      </w:r>
      <w:r w:rsidR="00547730" w:rsidRPr="00675E8E">
        <w:rPr>
          <w:lang w:val="en-GB"/>
        </w:rPr>
        <w:t xml:space="preserve">using data from </w:t>
      </w:r>
      <w:r w:rsidR="00B50272" w:rsidRPr="00D210A4">
        <w:rPr>
          <w:lang w:val="en-GB"/>
        </w:rPr>
        <w:t>the November 2018 cut</w:t>
      </w:r>
      <w:r w:rsidR="00681A9C">
        <w:rPr>
          <w:rFonts w:cs="Arial"/>
        </w:rPr>
        <w:t>-</w:t>
      </w:r>
      <w:r w:rsidR="00547730" w:rsidRPr="001D3288">
        <w:rPr>
          <w:lang w:val="en-GB"/>
        </w:rPr>
        <w:t>off</w:t>
      </w:r>
      <w:r w:rsidR="00B8501E" w:rsidRPr="00710DD9">
        <w:rPr>
          <w:lang w:val="en-GB"/>
        </w:rPr>
        <w:t>.</w:t>
      </w:r>
      <w:r w:rsidR="00B8501E" w:rsidRPr="007E1B7F">
        <w:rPr>
          <w:lang w:val="en-GB"/>
        </w:rPr>
        <w:t xml:space="preserve"> </w:t>
      </w:r>
      <w:r w:rsidR="001B6768">
        <w:rPr>
          <w:lang w:val="en-GB"/>
        </w:rPr>
        <w:t xml:space="preserve">The committee agreed there was inherent uncertainty when </w:t>
      </w:r>
      <w:r w:rsidR="001B6768" w:rsidRPr="001B6768">
        <w:rPr>
          <w:lang w:val="en-GB"/>
        </w:rPr>
        <w:t xml:space="preserve">considering estimates of effectiveness based on </w:t>
      </w:r>
      <w:r w:rsidR="001B6768">
        <w:rPr>
          <w:lang w:val="en-GB"/>
        </w:rPr>
        <w:t xml:space="preserve">any </w:t>
      </w:r>
      <w:r w:rsidR="001B6768" w:rsidRPr="001B6768">
        <w:rPr>
          <w:lang w:val="en-GB"/>
        </w:rPr>
        <w:t xml:space="preserve">subgroup data. </w:t>
      </w:r>
      <w:r w:rsidR="00B8501E" w:rsidRPr="001B6768">
        <w:rPr>
          <w:lang w:val="en-GB"/>
        </w:rPr>
        <w:t>The clinical expert</w:t>
      </w:r>
      <w:r w:rsidR="00A01590">
        <w:rPr>
          <w:lang w:val="en-GB"/>
        </w:rPr>
        <w:t xml:space="preserve"> </w:t>
      </w:r>
      <w:r w:rsidR="00B8501E" w:rsidRPr="001B6768">
        <w:rPr>
          <w:lang w:val="en-GB"/>
        </w:rPr>
        <w:t xml:space="preserve">explained </w:t>
      </w:r>
      <w:r w:rsidR="00257B6B" w:rsidRPr="001B6768">
        <w:rPr>
          <w:lang w:val="en-GB"/>
        </w:rPr>
        <w:t>that PD</w:t>
      </w:r>
      <w:r w:rsidR="00FE78AB">
        <w:rPr>
          <w:lang w:val="en-GB"/>
        </w:rPr>
        <w:noBreakHyphen/>
      </w:r>
      <w:r w:rsidR="00B8501E" w:rsidRPr="001B6768">
        <w:rPr>
          <w:lang w:val="en-GB"/>
        </w:rPr>
        <w:t xml:space="preserve">L1 is not a predictive biomarker </w:t>
      </w:r>
      <w:r w:rsidR="00257B6B" w:rsidRPr="001B6768">
        <w:rPr>
          <w:lang w:val="en-GB"/>
        </w:rPr>
        <w:t xml:space="preserve">for pembrolizumab after platinum-containing chemotherapy, </w:t>
      </w:r>
      <w:r w:rsidR="00061523">
        <w:rPr>
          <w:lang w:val="en-GB"/>
        </w:rPr>
        <w:t>but</w:t>
      </w:r>
      <w:r w:rsidR="00257B6B" w:rsidRPr="001B6768">
        <w:rPr>
          <w:lang w:val="en-GB"/>
        </w:rPr>
        <w:t xml:space="preserve"> it is </w:t>
      </w:r>
      <w:r w:rsidR="00886D66">
        <w:rPr>
          <w:lang w:val="en-GB"/>
        </w:rPr>
        <w:t xml:space="preserve">more relevant </w:t>
      </w:r>
      <w:r w:rsidR="00257B6B" w:rsidRPr="001B6768">
        <w:rPr>
          <w:lang w:val="en-GB"/>
        </w:rPr>
        <w:t xml:space="preserve">for pembrolizumab for people </w:t>
      </w:r>
      <w:r w:rsidR="00061523">
        <w:rPr>
          <w:lang w:val="en-GB"/>
        </w:rPr>
        <w:t>when</w:t>
      </w:r>
      <w:r w:rsidR="00257B6B" w:rsidRPr="001B6768">
        <w:rPr>
          <w:lang w:val="en-GB"/>
        </w:rPr>
        <w:t xml:space="preserve"> cisplatin is unsuitable. This is reflected </w:t>
      </w:r>
      <w:r w:rsidR="00257B6B" w:rsidRPr="00875CDA">
        <w:rPr>
          <w:lang w:val="en-GB"/>
        </w:rPr>
        <w:t xml:space="preserve">in the marketing </w:t>
      </w:r>
      <w:r w:rsidR="00B8501E" w:rsidRPr="00675E8E">
        <w:rPr>
          <w:lang w:val="en-GB"/>
        </w:rPr>
        <w:t>authorisation for pembrolizumab in the first</w:t>
      </w:r>
      <w:r w:rsidR="001266F7">
        <w:rPr>
          <w:lang w:val="en-GB"/>
        </w:rPr>
        <w:t>-</w:t>
      </w:r>
      <w:r w:rsidR="00B8501E" w:rsidRPr="00675E8E">
        <w:rPr>
          <w:lang w:val="en-GB"/>
        </w:rPr>
        <w:t xml:space="preserve">line indication for people </w:t>
      </w:r>
      <w:r w:rsidR="001266F7">
        <w:rPr>
          <w:lang w:val="en-GB"/>
        </w:rPr>
        <w:t>when</w:t>
      </w:r>
      <w:r w:rsidR="00B8501E" w:rsidRPr="00675E8E">
        <w:rPr>
          <w:lang w:val="en-GB"/>
        </w:rPr>
        <w:t xml:space="preserve"> cisplatin is unsuitable</w:t>
      </w:r>
      <w:r w:rsidR="00A01590">
        <w:rPr>
          <w:lang w:val="en-GB"/>
        </w:rPr>
        <w:t>,</w:t>
      </w:r>
      <w:r w:rsidR="00B8501E" w:rsidRPr="00675E8E">
        <w:rPr>
          <w:lang w:val="en-GB"/>
        </w:rPr>
        <w:t xml:space="preserve"> </w:t>
      </w:r>
      <w:r w:rsidR="001266F7">
        <w:rPr>
          <w:lang w:val="en-GB"/>
        </w:rPr>
        <w:t>because</w:t>
      </w:r>
      <w:r w:rsidR="00257B6B" w:rsidRPr="00675E8E">
        <w:rPr>
          <w:lang w:val="en-GB"/>
        </w:rPr>
        <w:t xml:space="preserve"> it specifies </w:t>
      </w:r>
      <w:r w:rsidR="00B8501E" w:rsidRPr="00675E8E">
        <w:rPr>
          <w:lang w:val="en-GB"/>
        </w:rPr>
        <w:t>PD</w:t>
      </w:r>
      <w:r w:rsidR="001266F7">
        <w:rPr>
          <w:lang w:val="en-GB"/>
        </w:rPr>
        <w:noBreakHyphen/>
      </w:r>
      <w:r w:rsidR="00B8501E" w:rsidRPr="00675E8E">
        <w:rPr>
          <w:lang w:val="en-GB"/>
        </w:rPr>
        <w:t xml:space="preserve">L1 expression through </w:t>
      </w:r>
      <w:r w:rsidR="004B3433">
        <w:rPr>
          <w:lang w:val="en-GB"/>
        </w:rPr>
        <w:t>combined proportion score</w:t>
      </w:r>
      <w:r w:rsidR="004B3433" w:rsidRPr="00675E8E">
        <w:rPr>
          <w:lang w:val="en-GB"/>
        </w:rPr>
        <w:t xml:space="preserve"> </w:t>
      </w:r>
      <w:r w:rsidR="00B8501E" w:rsidRPr="00675E8E">
        <w:rPr>
          <w:lang w:val="en-GB"/>
        </w:rPr>
        <w:t>level</w:t>
      </w:r>
      <w:r w:rsidR="00257B6B" w:rsidRPr="00675E8E">
        <w:rPr>
          <w:lang w:val="en-GB"/>
        </w:rPr>
        <w:t xml:space="preserve">. The clinical expert </w:t>
      </w:r>
      <w:r w:rsidR="00EE14E1">
        <w:rPr>
          <w:lang w:val="en-GB"/>
        </w:rPr>
        <w:t>advised</w:t>
      </w:r>
      <w:r w:rsidR="00257B6B" w:rsidRPr="00675E8E">
        <w:rPr>
          <w:lang w:val="en-GB"/>
        </w:rPr>
        <w:t xml:space="preserve"> that</w:t>
      </w:r>
      <w:r w:rsidR="00A01590">
        <w:rPr>
          <w:lang w:val="en-GB"/>
        </w:rPr>
        <w:t xml:space="preserve"> diagnostic</w:t>
      </w:r>
      <w:r w:rsidR="00257B6B" w:rsidRPr="00675E8E">
        <w:rPr>
          <w:lang w:val="en-GB"/>
        </w:rPr>
        <w:t xml:space="preserve"> </w:t>
      </w:r>
      <w:r w:rsidR="004F5B78" w:rsidRPr="00675E8E">
        <w:rPr>
          <w:lang w:val="en-GB"/>
        </w:rPr>
        <w:t>tissue sample</w:t>
      </w:r>
      <w:r w:rsidR="00A01590">
        <w:rPr>
          <w:lang w:val="en-GB"/>
        </w:rPr>
        <w:t>s</w:t>
      </w:r>
      <w:r w:rsidR="004F5B78" w:rsidRPr="00675E8E">
        <w:rPr>
          <w:lang w:val="en-GB"/>
        </w:rPr>
        <w:t xml:space="preserve"> for </w:t>
      </w:r>
      <w:r w:rsidR="00A01590">
        <w:rPr>
          <w:lang w:val="en-GB"/>
        </w:rPr>
        <w:t>combined proportion score</w:t>
      </w:r>
      <w:r w:rsidR="00A01590" w:rsidRPr="00675E8E">
        <w:rPr>
          <w:lang w:val="en-GB"/>
        </w:rPr>
        <w:t xml:space="preserve"> </w:t>
      </w:r>
      <w:r w:rsidR="004F5B78" w:rsidRPr="00675E8E">
        <w:rPr>
          <w:lang w:val="en-GB"/>
        </w:rPr>
        <w:t xml:space="preserve">testing </w:t>
      </w:r>
      <w:r w:rsidR="00A01590">
        <w:rPr>
          <w:lang w:val="en-GB"/>
        </w:rPr>
        <w:t xml:space="preserve">are taken </w:t>
      </w:r>
      <w:r w:rsidR="00482701">
        <w:rPr>
          <w:lang w:val="en-GB"/>
        </w:rPr>
        <w:t>before</w:t>
      </w:r>
      <w:r w:rsidR="00A01590">
        <w:rPr>
          <w:lang w:val="en-GB"/>
        </w:rPr>
        <w:t xml:space="preserve"> first-line treatment, and combined proportion score may change after</w:t>
      </w:r>
      <w:r w:rsidR="004F5B78" w:rsidRPr="00AD1845">
        <w:rPr>
          <w:lang w:val="en-GB"/>
        </w:rPr>
        <w:t xml:space="preserve"> platinum</w:t>
      </w:r>
      <w:r w:rsidR="0082739E">
        <w:rPr>
          <w:lang w:val="en-GB"/>
        </w:rPr>
        <w:t>-</w:t>
      </w:r>
      <w:r w:rsidR="004F5B78" w:rsidRPr="00AD1845">
        <w:rPr>
          <w:lang w:val="en-GB"/>
        </w:rPr>
        <w:t xml:space="preserve">based chemotherapy. </w:t>
      </w:r>
      <w:r w:rsidR="00E572C3">
        <w:rPr>
          <w:lang w:val="en-GB"/>
        </w:rPr>
        <w:t xml:space="preserve">This means </w:t>
      </w:r>
      <w:r w:rsidR="00A01590">
        <w:rPr>
          <w:lang w:val="en-GB"/>
        </w:rPr>
        <w:t>combined proportion score</w:t>
      </w:r>
      <w:r w:rsidR="00A01590" w:rsidRPr="001B6768">
        <w:rPr>
          <w:lang w:val="en-GB"/>
        </w:rPr>
        <w:t xml:space="preserve"> </w:t>
      </w:r>
      <w:r w:rsidR="00B8501E" w:rsidRPr="001B6768">
        <w:rPr>
          <w:lang w:val="en-GB"/>
        </w:rPr>
        <w:t>and PD</w:t>
      </w:r>
      <w:r w:rsidR="00E572C3">
        <w:rPr>
          <w:lang w:val="en-GB"/>
        </w:rPr>
        <w:noBreakHyphen/>
      </w:r>
      <w:r w:rsidR="00B8501E" w:rsidRPr="001B6768">
        <w:rPr>
          <w:lang w:val="en-GB"/>
        </w:rPr>
        <w:t>L1 expression are not predictive biomarkers in this post-chemotherapy population.</w:t>
      </w:r>
      <w:r w:rsidR="004F5B78" w:rsidRPr="001B6768">
        <w:rPr>
          <w:lang w:val="en-GB"/>
        </w:rPr>
        <w:t xml:space="preserve"> The committee </w:t>
      </w:r>
      <w:r w:rsidR="00AD1845" w:rsidRPr="001B6768">
        <w:rPr>
          <w:lang w:val="en-GB"/>
        </w:rPr>
        <w:t xml:space="preserve">agreed </w:t>
      </w:r>
      <w:r w:rsidR="00B8501E" w:rsidRPr="00AD1845">
        <w:rPr>
          <w:lang w:val="en-GB"/>
        </w:rPr>
        <w:t>that PD</w:t>
      </w:r>
      <w:r w:rsidR="00E572C3">
        <w:rPr>
          <w:lang w:val="en-GB"/>
        </w:rPr>
        <w:noBreakHyphen/>
      </w:r>
      <w:r w:rsidR="00B8501E" w:rsidRPr="00AD1845">
        <w:rPr>
          <w:lang w:val="en-GB"/>
        </w:rPr>
        <w:t xml:space="preserve">L1 </w:t>
      </w:r>
      <w:r w:rsidR="00AD1845">
        <w:rPr>
          <w:lang w:val="en-GB"/>
        </w:rPr>
        <w:t xml:space="preserve">positive </w:t>
      </w:r>
      <w:r w:rsidR="00B8501E" w:rsidRPr="00AD1845">
        <w:rPr>
          <w:lang w:val="en-GB"/>
        </w:rPr>
        <w:t xml:space="preserve">subgroups were not clinically </w:t>
      </w:r>
      <w:r w:rsidR="00AD1845">
        <w:rPr>
          <w:lang w:val="en-GB"/>
        </w:rPr>
        <w:t xml:space="preserve">distinct subgroups </w:t>
      </w:r>
      <w:r w:rsidR="00B8501E" w:rsidRPr="00AD1845">
        <w:rPr>
          <w:lang w:val="en-GB"/>
        </w:rPr>
        <w:t>for this indication</w:t>
      </w:r>
      <w:r w:rsidR="00E572C3">
        <w:rPr>
          <w:lang w:val="en-GB"/>
        </w:rPr>
        <w:t>. It</w:t>
      </w:r>
      <w:r w:rsidR="00B8501E" w:rsidRPr="00AD1845">
        <w:rPr>
          <w:lang w:val="en-GB"/>
        </w:rPr>
        <w:t xml:space="preserve"> </w:t>
      </w:r>
      <w:r w:rsidR="00AD1845" w:rsidRPr="00AD1845">
        <w:rPr>
          <w:lang w:val="en-GB"/>
        </w:rPr>
        <w:t xml:space="preserve">concluded to </w:t>
      </w:r>
      <w:r w:rsidR="00A01590">
        <w:rPr>
          <w:lang w:val="en-GB"/>
        </w:rPr>
        <w:t xml:space="preserve">not </w:t>
      </w:r>
      <w:r w:rsidR="00AD1845" w:rsidRPr="00AD1845">
        <w:rPr>
          <w:lang w:val="en-GB"/>
        </w:rPr>
        <w:t xml:space="preserve">consider </w:t>
      </w:r>
      <w:r w:rsidR="001B6768">
        <w:rPr>
          <w:lang w:val="en-GB"/>
        </w:rPr>
        <w:t>PD</w:t>
      </w:r>
      <w:r w:rsidR="00E572C3">
        <w:rPr>
          <w:lang w:val="en-GB"/>
        </w:rPr>
        <w:noBreakHyphen/>
      </w:r>
      <w:r w:rsidR="001B6768">
        <w:rPr>
          <w:lang w:val="en-GB"/>
        </w:rPr>
        <w:t xml:space="preserve">L1 subgroups </w:t>
      </w:r>
      <w:r w:rsidR="00AD1845" w:rsidRPr="00AD1845">
        <w:rPr>
          <w:lang w:val="en-GB"/>
        </w:rPr>
        <w:t>in its decision</w:t>
      </w:r>
      <w:r w:rsidR="00E572C3">
        <w:rPr>
          <w:lang w:val="en-GB"/>
        </w:rPr>
        <w:t xml:space="preserve"> </w:t>
      </w:r>
      <w:r w:rsidR="00AD1845" w:rsidRPr="00AD1845">
        <w:rPr>
          <w:lang w:val="en-GB"/>
        </w:rPr>
        <w:t>making</w:t>
      </w:r>
      <w:r w:rsidR="00B50272" w:rsidRPr="001B6768">
        <w:rPr>
          <w:lang w:val="en-GB"/>
        </w:rPr>
        <w:t>.</w:t>
      </w:r>
    </w:p>
    <w:p w14:paraId="63E5076B" w14:textId="6D868F39" w:rsidR="0070272A" w:rsidRDefault="00F47099">
      <w:pPr>
        <w:pStyle w:val="Heading2"/>
      </w:pPr>
      <w:r>
        <w:t>Comparison with best supportive care</w:t>
      </w:r>
    </w:p>
    <w:p w14:paraId="645A7B7F" w14:textId="48CBEF3A" w:rsidR="0070272A" w:rsidRDefault="00EF74C5" w:rsidP="007A3D3D">
      <w:pPr>
        <w:pStyle w:val="Heading3"/>
      </w:pPr>
      <w:r>
        <w:t>No evidence</w:t>
      </w:r>
      <w:r w:rsidR="007A04A0">
        <w:t xml:space="preserve"> is</w:t>
      </w:r>
      <w:r>
        <w:t xml:space="preserve"> available</w:t>
      </w:r>
      <w:r w:rsidR="00875CDA">
        <w:t xml:space="preserve"> </w:t>
      </w:r>
      <w:r w:rsidR="00D66A24">
        <w:t>compari</w:t>
      </w:r>
      <w:r w:rsidR="00875CDA">
        <w:t xml:space="preserve">ng </w:t>
      </w:r>
      <w:r w:rsidR="00D66A24">
        <w:t>pembrolizumab with best supportive care</w:t>
      </w:r>
    </w:p>
    <w:p w14:paraId="7E4098FD" w14:textId="2C9DBA81" w:rsidR="0070272A" w:rsidRDefault="00F47099">
      <w:pPr>
        <w:pStyle w:val="Numberedlevel2text"/>
        <w:numPr>
          <w:ilvl w:val="1"/>
          <w:numId w:val="4"/>
        </w:numPr>
      </w:pPr>
      <w:bookmarkStart w:id="8" w:name="_Ref482016828"/>
      <w:r w:rsidRPr="00F47099">
        <w:rPr>
          <w:lang w:val="en-GB"/>
        </w:rPr>
        <w:t xml:space="preserve">The committee </w:t>
      </w:r>
      <w:r>
        <w:rPr>
          <w:lang w:val="en-GB"/>
        </w:rPr>
        <w:t>considered best supportive care as a relevant comparator</w:t>
      </w:r>
      <w:r w:rsidR="004B3433">
        <w:rPr>
          <w:lang w:val="en-GB"/>
        </w:rPr>
        <w:t>,</w:t>
      </w:r>
      <w:r>
        <w:rPr>
          <w:lang w:val="en-GB"/>
        </w:rPr>
        <w:t xml:space="preserve"> </w:t>
      </w:r>
      <w:r w:rsidR="00263BD7">
        <w:rPr>
          <w:lang w:val="en-GB"/>
        </w:rPr>
        <w:t>because</w:t>
      </w:r>
      <w:r>
        <w:rPr>
          <w:lang w:val="en-GB"/>
        </w:rPr>
        <w:t xml:space="preserve"> </w:t>
      </w:r>
      <w:r w:rsidR="003A2270">
        <w:rPr>
          <w:lang w:val="en-GB"/>
        </w:rPr>
        <w:t xml:space="preserve">a </w:t>
      </w:r>
      <w:r w:rsidR="00263BD7">
        <w:rPr>
          <w:lang w:val="en-GB"/>
        </w:rPr>
        <w:t>few</w:t>
      </w:r>
      <w:r w:rsidRPr="00F47099">
        <w:rPr>
          <w:lang w:val="en-GB"/>
        </w:rPr>
        <w:t xml:space="preserve"> people would have best supportive care if an active </w:t>
      </w:r>
      <w:r w:rsidRPr="00F47099">
        <w:rPr>
          <w:lang w:val="en-GB"/>
        </w:rPr>
        <w:lastRenderedPageBreak/>
        <w:t xml:space="preserve">treatment </w:t>
      </w:r>
      <w:r w:rsidR="005913E6">
        <w:rPr>
          <w:lang w:val="en-GB"/>
        </w:rPr>
        <w:t>was</w:t>
      </w:r>
      <w:r w:rsidR="005913E6" w:rsidRPr="00F47099">
        <w:rPr>
          <w:lang w:val="en-GB"/>
        </w:rPr>
        <w:t xml:space="preserve"> </w:t>
      </w:r>
      <w:r w:rsidRPr="00F47099">
        <w:rPr>
          <w:lang w:val="en-GB"/>
        </w:rPr>
        <w:t xml:space="preserve">not tolerated or they chose </w:t>
      </w:r>
      <w:r w:rsidR="00C259AB">
        <w:rPr>
          <w:lang w:val="en-GB"/>
        </w:rPr>
        <w:t xml:space="preserve">not </w:t>
      </w:r>
      <w:r w:rsidRPr="00F47099">
        <w:rPr>
          <w:lang w:val="en-GB"/>
        </w:rPr>
        <w:t>to have it</w:t>
      </w:r>
      <w:r w:rsidR="00C26411">
        <w:rPr>
          <w:lang w:val="en-GB"/>
        </w:rPr>
        <w:t xml:space="preserve"> </w:t>
      </w:r>
      <w:r w:rsidRPr="00F47099">
        <w:rPr>
          <w:lang w:val="en-GB"/>
        </w:rPr>
        <w:t>(see section</w:t>
      </w:r>
      <w:r w:rsidR="00B829EE">
        <w:rPr>
          <w:lang w:val="en-GB"/>
        </w:rPr>
        <w:t xml:space="preserve"> </w:t>
      </w:r>
      <w:r w:rsidR="00B829EE">
        <w:rPr>
          <w:lang w:val="en-GB"/>
        </w:rPr>
        <w:fldChar w:fldCharType="begin"/>
      </w:r>
      <w:r w:rsidR="00B829EE">
        <w:rPr>
          <w:lang w:val="en-GB"/>
        </w:rPr>
        <w:instrText xml:space="preserve"> REF _Ref22908420 \r \h </w:instrText>
      </w:r>
      <w:r w:rsidR="00B829EE">
        <w:rPr>
          <w:lang w:val="en-GB"/>
        </w:rPr>
      </w:r>
      <w:r w:rsidR="00B829EE">
        <w:rPr>
          <w:lang w:val="en-GB"/>
        </w:rPr>
        <w:fldChar w:fldCharType="separate"/>
      </w:r>
      <w:r w:rsidR="00F616C6">
        <w:rPr>
          <w:lang w:val="en-GB"/>
        </w:rPr>
        <w:t>3.2</w:t>
      </w:r>
      <w:r w:rsidR="00B829EE">
        <w:rPr>
          <w:lang w:val="en-GB"/>
        </w:rPr>
        <w:fldChar w:fldCharType="end"/>
      </w:r>
      <w:r w:rsidRPr="00F47099">
        <w:rPr>
          <w:lang w:val="en-GB"/>
        </w:rPr>
        <w:t>)</w:t>
      </w:r>
      <w:r>
        <w:rPr>
          <w:lang w:val="en-GB"/>
        </w:rPr>
        <w:t>. The</w:t>
      </w:r>
      <w:bookmarkEnd w:id="8"/>
      <w:r w:rsidR="00BB0D75">
        <w:rPr>
          <w:lang w:val="en-GB"/>
        </w:rPr>
        <w:t xml:space="preserve">re </w:t>
      </w:r>
      <w:r w:rsidR="00D66A24">
        <w:rPr>
          <w:lang w:val="en-GB"/>
        </w:rPr>
        <w:t xml:space="preserve">was no direct trial evidence </w:t>
      </w:r>
      <w:r w:rsidR="005E2C29">
        <w:rPr>
          <w:lang w:val="en-GB"/>
        </w:rPr>
        <w:t>comparing</w:t>
      </w:r>
      <w:r w:rsidR="00D66A24">
        <w:rPr>
          <w:lang w:val="en-GB"/>
        </w:rPr>
        <w:t xml:space="preserve"> pembrolizumab with best supportive care</w:t>
      </w:r>
      <w:r>
        <w:rPr>
          <w:lang w:val="en-GB"/>
        </w:rPr>
        <w:t xml:space="preserve">. </w:t>
      </w:r>
      <w:r w:rsidR="00BB0D75">
        <w:rPr>
          <w:lang w:val="en-GB"/>
        </w:rPr>
        <w:t>For the original appraisal</w:t>
      </w:r>
      <w:r w:rsidR="00B829EE">
        <w:rPr>
          <w:lang w:val="en-GB"/>
        </w:rPr>
        <w:t>,</w:t>
      </w:r>
      <w:r w:rsidR="00554EE6">
        <w:rPr>
          <w:lang w:val="en-GB"/>
        </w:rPr>
        <w:t xml:space="preserve"> the company provided an indirect comparison of pembrolizumab with best supportive care, but </w:t>
      </w:r>
      <w:r w:rsidR="0099548A">
        <w:rPr>
          <w:lang w:val="en-GB"/>
        </w:rPr>
        <w:t xml:space="preserve">the </w:t>
      </w:r>
      <w:r w:rsidR="00554EE6">
        <w:rPr>
          <w:lang w:val="en-GB"/>
        </w:rPr>
        <w:t>committee concluded that th</w:t>
      </w:r>
      <w:r w:rsidR="00915CAF">
        <w:rPr>
          <w:lang w:val="en-GB"/>
        </w:rPr>
        <w:t>is</w:t>
      </w:r>
      <w:r w:rsidR="00554EE6">
        <w:rPr>
          <w:lang w:val="en-GB"/>
        </w:rPr>
        <w:t xml:space="preserve"> was not useful for decision</w:t>
      </w:r>
      <w:r w:rsidR="00915CAF">
        <w:rPr>
          <w:lang w:val="en-GB"/>
        </w:rPr>
        <w:t xml:space="preserve"> </w:t>
      </w:r>
      <w:r w:rsidR="00554EE6">
        <w:rPr>
          <w:lang w:val="en-GB"/>
        </w:rPr>
        <w:t>making</w:t>
      </w:r>
      <w:r w:rsidR="0082739E">
        <w:rPr>
          <w:lang w:val="en-GB"/>
        </w:rPr>
        <w:t>.</w:t>
      </w:r>
      <w:r w:rsidR="00554EE6">
        <w:rPr>
          <w:lang w:val="en-GB"/>
        </w:rPr>
        <w:t xml:space="preserve"> </w:t>
      </w:r>
      <w:r w:rsidR="00915CAF">
        <w:rPr>
          <w:lang w:val="en-GB"/>
        </w:rPr>
        <w:t>T</w:t>
      </w:r>
      <w:r w:rsidR="00554EE6">
        <w:rPr>
          <w:lang w:val="en-GB"/>
        </w:rPr>
        <w:t xml:space="preserve">he company had not presented any </w:t>
      </w:r>
      <w:r w:rsidR="00CD34D3">
        <w:rPr>
          <w:lang w:val="en-GB"/>
        </w:rPr>
        <w:t xml:space="preserve">new </w:t>
      </w:r>
      <w:r w:rsidR="000067B0">
        <w:rPr>
          <w:lang w:val="en-GB"/>
        </w:rPr>
        <w:t>clinical or cost</w:t>
      </w:r>
      <w:r w:rsidR="00C261F9">
        <w:rPr>
          <w:lang w:val="en-GB"/>
        </w:rPr>
        <w:t>-</w:t>
      </w:r>
      <w:r w:rsidR="000067B0">
        <w:rPr>
          <w:lang w:val="en-GB"/>
        </w:rPr>
        <w:t xml:space="preserve">effectiveness evidence </w:t>
      </w:r>
      <w:r w:rsidR="00915CAF">
        <w:rPr>
          <w:lang w:val="en-GB"/>
        </w:rPr>
        <w:t>comparing</w:t>
      </w:r>
      <w:r w:rsidR="00554EE6">
        <w:rPr>
          <w:lang w:val="en-GB"/>
        </w:rPr>
        <w:t xml:space="preserve"> pembrolizumab with best supportive care</w:t>
      </w:r>
      <w:r w:rsidR="00915CAF">
        <w:rPr>
          <w:lang w:val="en-GB"/>
        </w:rPr>
        <w:t>. T</w:t>
      </w:r>
      <w:r w:rsidR="00554EE6">
        <w:rPr>
          <w:lang w:val="en-GB"/>
        </w:rPr>
        <w:t>herefore</w:t>
      </w:r>
      <w:r w:rsidR="004D1637">
        <w:rPr>
          <w:lang w:val="en-GB"/>
        </w:rPr>
        <w:t>,</w:t>
      </w:r>
      <w:r w:rsidR="00915CAF">
        <w:rPr>
          <w:lang w:val="en-GB"/>
        </w:rPr>
        <w:t xml:space="preserve"> the committee</w:t>
      </w:r>
      <w:r w:rsidR="00554EE6">
        <w:rPr>
          <w:lang w:val="en-GB"/>
        </w:rPr>
        <w:t xml:space="preserve"> concluded </w:t>
      </w:r>
      <w:r w:rsidR="00D279F5">
        <w:rPr>
          <w:lang w:val="en-GB"/>
        </w:rPr>
        <w:t>it was</w:t>
      </w:r>
      <w:r w:rsidR="00D66A24">
        <w:rPr>
          <w:lang w:val="en-GB"/>
        </w:rPr>
        <w:t xml:space="preserve"> unable to make a recommendation</w:t>
      </w:r>
      <w:r w:rsidR="004E39C5">
        <w:rPr>
          <w:lang w:val="en-GB"/>
        </w:rPr>
        <w:t xml:space="preserve"> on this,</w:t>
      </w:r>
      <w:r w:rsidR="00D66A24">
        <w:rPr>
          <w:lang w:val="en-GB"/>
        </w:rPr>
        <w:t xml:space="preserve"> </w:t>
      </w:r>
      <w:r w:rsidR="00B575C6">
        <w:rPr>
          <w:lang w:val="en-GB"/>
        </w:rPr>
        <w:t xml:space="preserve">and </w:t>
      </w:r>
      <w:r w:rsidR="000067B0">
        <w:rPr>
          <w:lang w:val="en-GB"/>
        </w:rPr>
        <w:t>agreed not to consider it further.</w:t>
      </w:r>
      <w:r w:rsidR="00283E7A">
        <w:rPr>
          <w:lang w:val="en-GB"/>
        </w:rPr>
        <w:t xml:space="preserve"> </w:t>
      </w:r>
    </w:p>
    <w:p w14:paraId="0F3A2AA8" w14:textId="4929B457" w:rsidR="0070272A" w:rsidRDefault="00D66A24" w:rsidP="007A3D3D">
      <w:pPr>
        <w:pStyle w:val="Heading2"/>
        <w:tabs>
          <w:tab w:val="left" w:pos="5145"/>
        </w:tabs>
      </w:pPr>
      <w:r>
        <w:t>Adverse events</w:t>
      </w:r>
    </w:p>
    <w:p w14:paraId="4583358A" w14:textId="77777777" w:rsidR="0070272A" w:rsidRDefault="00D66A24" w:rsidP="007A3D3D">
      <w:pPr>
        <w:pStyle w:val="Heading3"/>
      </w:pPr>
      <w:r>
        <w:t>Pembrolizumab is well tolerated in clinical practice</w:t>
      </w:r>
    </w:p>
    <w:p w14:paraId="55A9C60C" w14:textId="2911DF6E" w:rsidR="0070272A" w:rsidRDefault="001A38E6">
      <w:pPr>
        <w:pStyle w:val="Numberedlevel2text"/>
        <w:numPr>
          <w:ilvl w:val="1"/>
          <w:numId w:val="4"/>
        </w:numPr>
      </w:pPr>
      <w:bookmarkStart w:id="9" w:name="_Ref484781081"/>
      <w:r>
        <w:rPr>
          <w:lang w:val="en-GB"/>
        </w:rPr>
        <w:t>P</w:t>
      </w:r>
      <w:r w:rsidR="00F421BC" w:rsidRPr="00F421BC">
        <w:rPr>
          <w:lang w:val="en-GB"/>
        </w:rPr>
        <w:t>embrolizumab is associated with some rare but unpleasant</w:t>
      </w:r>
      <w:r>
        <w:rPr>
          <w:lang w:val="en-GB"/>
        </w:rPr>
        <w:t>,</w:t>
      </w:r>
      <w:r w:rsidR="00F421BC" w:rsidRPr="00F421BC">
        <w:rPr>
          <w:lang w:val="en-GB"/>
        </w:rPr>
        <w:t xml:space="preserve"> and potentially serious</w:t>
      </w:r>
      <w:r>
        <w:rPr>
          <w:lang w:val="en-GB"/>
        </w:rPr>
        <w:t>,</w:t>
      </w:r>
      <w:r w:rsidR="00F421BC" w:rsidRPr="00F421BC">
        <w:rPr>
          <w:lang w:val="en-GB"/>
        </w:rPr>
        <w:t xml:space="preserve"> adverse events that are specific to immunotherapy</w:t>
      </w:r>
      <w:r w:rsidR="00F421BC">
        <w:rPr>
          <w:lang w:val="en-GB"/>
        </w:rPr>
        <w:t xml:space="preserve">. </w:t>
      </w:r>
      <w:r w:rsidR="00D66A24">
        <w:rPr>
          <w:lang w:val="en-GB"/>
        </w:rPr>
        <w:t>The c</w:t>
      </w:r>
      <w:r w:rsidR="00EF74C5">
        <w:rPr>
          <w:lang w:val="en-GB"/>
        </w:rPr>
        <w:t xml:space="preserve">ommittee understood that pembrolizumab was well tolerated and that patients considered </w:t>
      </w:r>
      <w:r w:rsidR="00F421BC">
        <w:rPr>
          <w:lang w:val="en-GB"/>
        </w:rPr>
        <w:t xml:space="preserve">it to have </w:t>
      </w:r>
      <w:r w:rsidR="00D66A24">
        <w:rPr>
          <w:lang w:val="en-GB"/>
        </w:rPr>
        <w:t xml:space="preserve">fewer severe adverse events than chemotherapy. </w:t>
      </w:r>
      <w:r w:rsidR="00694D8F">
        <w:rPr>
          <w:lang w:val="en-GB"/>
        </w:rPr>
        <w:t>T</w:t>
      </w:r>
      <w:r w:rsidR="00F421BC">
        <w:rPr>
          <w:lang w:val="en-GB"/>
        </w:rPr>
        <w:t>he patient experts</w:t>
      </w:r>
      <w:r w:rsidR="00694D8F">
        <w:rPr>
          <w:lang w:val="en-GB"/>
        </w:rPr>
        <w:t xml:space="preserve"> explained</w:t>
      </w:r>
      <w:r w:rsidR="00F421BC">
        <w:rPr>
          <w:lang w:val="en-GB"/>
        </w:rPr>
        <w:t xml:space="preserve"> </w:t>
      </w:r>
      <w:bookmarkEnd w:id="9"/>
      <w:r w:rsidR="0029130F">
        <w:rPr>
          <w:lang w:val="en-GB"/>
        </w:rPr>
        <w:t>that</w:t>
      </w:r>
      <w:r w:rsidR="00B829EE">
        <w:rPr>
          <w:lang w:val="en-GB"/>
        </w:rPr>
        <w:t>,</w:t>
      </w:r>
      <w:r w:rsidR="0029130F">
        <w:rPr>
          <w:lang w:val="en-GB"/>
        </w:rPr>
        <w:t xml:space="preserve"> </w:t>
      </w:r>
      <w:r w:rsidR="00B00AE9">
        <w:rPr>
          <w:lang w:val="en-GB"/>
        </w:rPr>
        <w:t xml:space="preserve">although </w:t>
      </w:r>
      <w:r w:rsidR="0029130F">
        <w:rPr>
          <w:lang w:val="en-GB"/>
        </w:rPr>
        <w:t xml:space="preserve">pembrolizumab </w:t>
      </w:r>
      <w:r w:rsidR="00CA34AB">
        <w:rPr>
          <w:lang w:val="en-GB"/>
        </w:rPr>
        <w:t xml:space="preserve">does </w:t>
      </w:r>
      <w:r w:rsidR="0029130F">
        <w:rPr>
          <w:lang w:val="en-GB"/>
        </w:rPr>
        <w:t>ha</w:t>
      </w:r>
      <w:r w:rsidR="00CA34AB">
        <w:rPr>
          <w:lang w:val="en-GB"/>
        </w:rPr>
        <w:t>ve</w:t>
      </w:r>
      <w:r w:rsidR="0029130F" w:rsidRPr="0029130F">
        <w:rPr>
          <w:lang w:val="en-GB"/>
        </w:rPr>
        <w:t xml:space="preserve"> side effects</w:t>
      </w:r>
      <w:r w:rsidR="00B829EE">
        <w:rPr>
          <w:lang w:val="en-GB"/>
        </w:rPr>
        <w:t>,</w:t>
      </w:r>
      <w:r w:rsidR="0029130F">
        <w:rPr>
          <w:lang w:val="en-GB"/>
        </w:rPr>
        <w:t xml:space="preserve"> </w:t>
      </w:r>
      <w:r w:rsidR="0029130F" w:rsidRPr="0029130F">
        <w:rPr>
          <w:lang w:val="en-GB"/>
        </w:rPr>
        <w:t>these are typically less than for chemotherapy</w:t>
      </w:r>
      <w:r w:rsidR="0029130F">
        <w:rPr>
          <w:lang w:val="en-GB"/>
        </w:rPr>
        <w:t xml:space="preserve"> in the indication</w:t>
      </w:r>
      <w:r w:rsidR="007C4447">
        <w:rPr>
          <w:lang w:val="en-GB"/>
        </w:rPr>
        <w:t>. They</w:t>
      </w:r>
      <w:r w:rsidR="00CA34AB">
        <w:rPr>
          <w:lang w:val="en-GB"/>
        </w:rPr>
        <w:t xml:space="preserve"> </w:t>
      </w:r>
      <w:r w:rsidR="00B00AE9">
        <w:rPr>
          <w:lang w:val="en-GB"/>
        </w:rPr>
        <w:t>suggested</w:t>
      </w:r>
      <w:r w:rsidR="00CA34AB">
        <w:rPr>
          <w:lang w:val="en-GB"/>
        </w:rPr>
        <w:t xml:space="preserve"> </w:t>
      </w:r>
      <w:r w:rsidR="00CA34AB" w:rsidRPr="00CA34AB">
        <w:rPr>
          <w:lang w:val="en-GB"/>
        </w:rPr>
        <w:t xml:space="preserve">that </w:t>
      </w:r>
      <w:r w:rsidR="00CA34AB">
        <w:rPr>
          <w:lang w:val="en-GB"/>
        </w:rPr>
        <w:t>p</w:t>
      </w:r>
      <w:r w:rsidR="00CA34AB" w:rsidRPr="00CA34AB">
        <w:rPr>
          <w:lang w:val="en-GB"/>
        </w:rPr>
        <w:t>embrolizumab d</w:t>
      </w:r>
      <w:r w:rsidR="00CA34AB">
        <w:rPr>
          <w:lang w:val="en-GB"/>
        </w:rPr>
        <w:t>id</w:t>
      </w:r>
      <w:r w:rsidR="00CA34AB" w:rsidRPr="00CA34AB">
        <w:rPr>
          <w:lang w:val="en-GB"/>
        </w:rPr>
        <w:t xml:space="preserve"> not interfere with everyday activities</w:t>
      </w:r>
      <w:r w:rsidR="00F00B56">
        <w:rPr>
          <w:lang w:val="en-GB"/>
        </w:rPr>
        <w:t xml:space="preserve"> as much</w:t>
      </w:r>
      <w:r w:rsidR="00CA34AB" w:rsidRPr="00CA34AB">
        <w:rPr>
          <w:lang w:val="en-GB"/>
        </w:rPr>
        <w:t>.</w:t>
      </w:r>
      <w:r w:rsidR="00B00AE9">
        <w:rPr>
          <w:lang w:val="en-GB"/>
        </w:rPr>
        <w:t xml:space="preserve"> The committee concluded that pembrolizumab was well tolerated</w:t>
      </w:r>
      <w:r w:rsidR="001B6768">
        <w:rPr>
          <w:lang w:val="en-GB"/>
        </w:rPr>
        <w:t>.</w:t>
      </w:r>
      <w:r w:rsidR="00B00AE9">
        <w:rPr>
          <w:lang w:val="en-GB"/>
        </w:rPr>
        <w:t xml:space="preserve"> </w:t>
      </w:r>
    </w:p>
    <w:p w14:paraId="6D1FAF2C" w14:textId="77777777" w:rsidR="0070272A" w:rsidRDefault="00D66A24">
      <w:pPr>
        <w:pStyle w:val="Heading2"/>
      </w:pPr>
      <w:r>
        <w:t>Assumptions used in the economic model</w:t>
      </w:r>
    </w:p>
    <w:p w14:paraId="73900BA4" w14:textId="77200821" w:rsidR="0070272A" w:rsidRDefault="00D66A24" w:rsidP="007A3D3D">
      <w:pPr>
        <w:pStyle w:val="Heading3"/>
      </w:pPr>
      <w:r>
        <w:t xml:space="preserve">A </w:t>
      </w:r>
      <w:r w:rsidR="00841D7B">
        <w:t>2-year</w:t>
      </w:r>
      <w:r>
        <w:t xml:space="preserve"> stopping rule for pembrolizumab is appropriate</w:t>
      </w:r>
    </w:p>
    <w:p w14:paraId="781B78B4" w14:textId="692A7FE9" w:rsidR="0070272A" w:rsidRDefault="009B4409">
      <w:pPr>
        <w:pStyle w:val="Numberedlevel2text"/>
        <w:numPr>
          <w:ilvl w:val="1"/>
          <w:numId w:val="4"/>
        </w:numPr>
      </w:pPr>
      <w:bookmarkStart w:id="10" w:name="_Ref22908777"/>
      <w:r>
        <w:rPr>
          <w:lang w:val="en-GB"/>
        </w:rPr>
        <w:t>I</w:t>
      </w:r>
      <w:r w:rsidR="00D66A24">
        <w:t>n the KEYNOTE</w:t>
      </w:r>
      <w:r w:rsidR="00D66A24">
        <w:rPr>
          <w:lang w:val="en-GB"/>
        </w:rPr>
        <w:t>-045</w:t>
      </w:r>
      <w:r w:rsidR="00D66A24">
        <w:t xml:space="preserve"> </w:t>
      </w:r>
      <w:r w:rsidR="00D66A24">
        <w:rPr>
          <w:lang w:val="en-GB"/>
        </w:rPr>
        <w:t>protocol</w:t>
      </w:r>
      <w:r w:rsidR="00E77BC1">
        <w:rPr>
          <w:lang w:val="en-GB"/>
        </w:rPr>
        <w:t>,</w:t>
      </w:r>
      <w:r w:rsidR="00D66A24">
        <w:t xml:space="preserve"> the maximum pembrolizumab treatment duration was 2 years</w:t>
      </w:r>
      <w:r w:rsidR="00C81941">
        <w:rPr>
          <w:lang w:val="en-GB"/>
        </w:rPr>
        <w:t xml:space="preserve"> from the first dose</w:t>
      </w:r>
      <w:r w:rsidR="00D66A24">
        <w:t xml:space="preserve">, </w:t>
      </w:r>
      <w:r w:rsidR="00DE3CB9">
        <w:rPr>
          <w:lang w:val="en-US"/>
        </w:rPr>
        <w:t>when</w:t>
      </w:r>
      <w:r w:rsidR="00D66A24">
        <w:t xml:space="preserve"> treatment must be stopped. This </w:t>
      </w:r>
      <w:r w:rsidR="00E260F2">
        <w:rPr>
          <w:lang w:val="en-GB"/>
        </w:rPr>
        <w:t>wa</w:t>
      </w:r>
      <w:r w:rsidR="00D66A24">
        <w:t xml:space="preserve">s not </w:t>
      </w:r>
      <w:r w:rsidR="00316FE9">
        <w:rPr>
          <w:lang w:val="en-GB"/>
        </w:rPr>
        <w:t xml:space="preserve">reflected </w:t>
      </w:r>
      <w:r w:rsidR="00D66A24">
        <w:t>in the summary of product characteristics</w:t>
      </w:r>
      <w:r w:rsidR="00B829EE">
        <w:rPr>
          <w:lang w:val="en-GB"/>
        </w:rPr>
        <w:t>,</w:t>
      </w:r>
      <w:r w:rsidR="00D66A24">
        <w:rPr>
          <w:lang w:val="en-GB"/>
        </w:rPr>
        <w:t xml:space="preserve"> which states that treatment should continue until disease progression or unacceptable toxicity</w:t>
      </w:r>
      <w:r w:rsidR="00D66A24">
        <w:t xml:space="preserve">. </w:t>
      </w:r>
      <w:r w:rsidR="00D24551">
        <w:rPr>
          <w:lang w:val="en-US"/>
        </w:rPr>
        <w:t>F</w:t>
      </w:r>
      <w:r w:rsidR="00D66A24">
        <w:t xml:space="preserve">or pembrolizumab </w:t>
      </w:r>
      <w:r w:rsidR="00C0105B">
        <w:rPr>
          <w:lang w:val="en-GB"/>
        </w:rPr>
        <w:t>for</w:t>
      </w:r>
      <w:r w:rsidR="00C0105B">
        <w:t xml:space="preserve"> </w:t>
      </w:r>
      <w:r w:rsidR="00D66A24">
        <w:t xml:space="preserve">other indications, </w:t>
      </w:r>
      <w:r w:rsidR="00316FE9">
        <w:rPr>
          <w:lang w:val="en-GB"/>
        </w:rPr>
        <w:t xml:space="preserve">and for both </w:t>
      </w:r>
      <w:hyperlink r:id="rId16" w:history="1">
        <w:r w:rsidR="00316FE9" w:rsidRPr="00D24551">
          <w:rPr>
            <w:rStyle w:val="Hyperlink"/>
            <w:lang w:val="en-GB"/>
          </w:rPr>
          <w:t>atezolizumab</w:t>
        </w:r>
      </w:hyperlink>
      <w:r w:rsidR="00316FE9">
        <w:rPr>
          <w:lang w:val="en-GB"/>
        </w:rPr>
        <w:t xml:space="preserve"> and </w:t>
      </w:r>
      <w:hyperlink r:id="rId17" w:history="1">
        <w:r w:rsidR="00316FE9" w:rsidRPr="00D24551">
          <w:rPr>
            <w:rStyle w:val="Hyperlink"/>
            <w:lang w:val="en-GB"/>
          </w:rPr>
          <w:t>nivolumab</w:t>
        </w:r>
      </w:hyperlink>
      <w:r w:rsidR="00316FE9">
        <w:rPr>
          <w:lang w:val="en-GB"/>
        </w:rPr>
        <w:t xml:space="preserve"> for treating locally advanced </w:t>
      </w:r>
      <w:r w:rsidR="00316FE9">
        <w:rPr>
          <w:lang w:val="en-GB"/>
        </w:rPr>
        <w:lastRenderedPageBreak/>
        <w:t>unresectable or metastatic urothelial cancer after platinum-containing chemotherapy,</w:t>
      </w:r>
      <w:r w:rsidR="00B829EE">
        <w:rPr>
          <w:lang w:val="en-GB"/>
        </w:rPr>
        <w:t xml:space="preserve"> a 2</w:t>
      </w:r>
      <w:r w:rsidR="00D24551">
        <w:rPr>
          <w:lang w:val="en-GB"/>
        </w:rPr>
        <w:noBreakHyphen/>
      </w:r>
      <w:r w:rsidR="00B829EE">
        <w:rPr>
          <w:lang w:val="en-GB"/>
        </w:rPr>
        <w:t>year stopping rule applied</w:t>
      </w:r>
      <w:r w:rsidR="00D66A24">
        <w:t xml:space="preserve">. The committee </w:t>
      </w:r>
      <w:r w:rsidR="000F4D29">
        <w:rPr>
          <w:lang w:val="en-GB"/>
        </w:rPr>
        <w:t>noted that the 2</w:t>
      </w:r>
      <w:r w:rsidR="00D24551">
        <w:rPr>
          <w:lang w:val="en-GB"/>
        </w:rPr>
        <w:noBreakHyphen/>
      </w:r>
      <w:r w:rsidR="000F4D29">
        <w:rPr>
          <w:lang w:val="en-GB"/>
        </w:rPr>
        <w:t xml:space="preserve">year stopping rule was included in </w:t>
      </w:r>
      <w:r w:rsidR="00316FE9">
        <w:rPr>
          <w:lang w:val="en-GB"/>
        </w:rPr>
        <w:t xml:space="preserve">company’s </w:t>
      </w:r>
      <w:r w:rsidR="000F4D29">
        <w:rPr>
          <w:lang w:val="en-GB"/>
        </w:rPr>
        <w:t xml:space="preserve">economic </w:t>
      </w:r>
      <w:r w:rsidR="00316FE9">
        <w:rPr>
          <w:lang w:val="en-GB"/>
        </w:rPr>
        <w:t>model</w:t>
      </w:r>
      <w:r w:rsidR="00E77BC1">
        <w:rPr>
          <w:lang w:val="en-GB"/>
        </w:rPr>
        <w:t>,</w:t>
      </w:r>
      <w:r w:rsidR="00316FE9">
        <w:rPr>
          <w:lang w:val="en-GB"/>
        </w:rPr>
        <w:t xml:space="preserve"> and concluded that it was appropriate</w:t>
      </w:r>
      <w:r w:rsidR="00D4157B">
        <w:rPr>
          <w:lang w:val="en-GB"/>
        </w:rPr>
        <w:t>.</w:t>
      </w:r>
      <w:bookmarkEnd w:id="10"/>
    </w:p>
    <w:p w14:paraId="2F95701E" w14:textId="44F5D478" w:rsidR="0049717C" w:rsidRPr="0049717C" w:rsidRDefault="0049717C" w:rsidP="007A3D3D">
      <w:pPr>
        <w:pStyle w:val="Heading3"/>
      </w:pPr>
      <w:r>
        <w:t xml:space="preserve">A Weibull curve is </w:t>
      </w:r>
      <w:r w:rsidR="00A66B85">
        <w:t xml:space="preserve">the </w:t>
      </w:r>
      <w:r>
        <w:t>most appropriate to model progression-free survival</w:t>
      </w:r>
      <w:r w:rsidR="00D210A4">
        <w:t xml:space="preserve"> in both treatment arms</w:t>
      </w:r>
    </w:p>
    <w:p w14:paraId="717CF5D3" w14:textId="2CCA4416" w:rsidR="00AD69D1" w:rsidRPr="00D6148E" w:rsidRDefault="00F416E2" w:rsidP="00D6148E">
      <w:pPr>
        <w:pStyle w:val="Numberedlevel2text"/>
        <w:numPr>
          <w:ilvl w:val="1"/>
          <w:numId w:val="4"/>
        </w:numPr>
        <w:rPr>
          <w:lang w:val="en-GB"/>
        </w:rPr>
      </w:pPr>
      <w:bookmarkStart w:id="11" w:name="_Ref496859896"/>
      <w:bookmarkStart w:id="12" w:name="_Ref22756081"/>
      <w:r>
        <w:rPr>
          <w:lang w:val="en-GB"/>
        </w:rPr>
        <w:t>In the</w:t>
      </w:r>
      <w:r w:rsidR="008E1975" w:rsidRPr="00D210A4">
        <w:rPr>
          <w:lang w:val="en-GB"/>
        </w:rPr>
        <w:t xml:space="preserve"> </w:t>
      </w:r>
      <w:r>
        <w:rPr>
          <w:lang w:val="en-GB"/>
        </w:rPr>
        <w:t>original</w:t>
      </w:r>
      <w:r w:rsidR="008E1975" w:rsidRPr="001D3288">
        <w:rPr>
          <w:lang w:val="en-GB"/>
        </w:rPr>
        <w:t xml:space="preserve"> appraisal, </w:t>
      </w:r>
      <w:r>
        <w:rPr>
          <w:lang w:val="en-GB"/>
        </w:rPr>
        <w:t>the committee</w:t>
      </w:r>
      <w:r w:rsidR="008E1975" w:rsidRPr="00DC237C">
        <w:rPr>
          <w:lang w:val="en-GB"/>
        </w:rPr>
        <w:t xml:space="preserve"> </w:t>
      </w:r>
      <w:r w:rsidR="00A61089" w:rsidRPr="00D210A4">
        <w:rPr>
          <w:bCs w:val="0"/>
          <w:iCs w:val="0"/>
        </w:rPr>
        <w:t xml:space="preserve">concluded that the Weibull </w:t>
      </w:r>
      <w:r w:rsidR="00FF01A1">
        <w:rPr>
          <w:bCs w:val="0"/>
          <w:iCs w:val="0"/>
        </w:rPr>
        <w:t>curve</w:t>
      </w:r>
      <w:r w:rsidR="00FF01A1">
        <w:rPr>
          <w:bCs w:val="0"/>
          <w:iCs w:val="0"/>
          <w:lang w:val="en-GB"/>
        </w:rPr>
        <w:t xml:space="preserve"> for progression-free survival </w:t>
      </w:r>
      <w:r w:rsidR="00EF1093" w:rsidRPr="00D210A4">
        <w:rPr>
          <w:bCs w:val="0"/>
          <w:iCs w:val="0"/>
        </w:rPr>
        <w:t>was appropriate</w:t>
      </w:r>
      <w:r w:rsidR="00A61089" w:rsidRPr="00D210A4">
        <w:rPr>
          <w:bCs w:val="0"/>
          <w:iCs w:val="0"/>
        </w:rPr>
        <w:t>.</w:t>
      </w:r>
      <w:bookmarkEnd w:id="11"/>
      <w:bookmarkEnd w:id="12"/>
      <w:r w:rsidR="008E1975" w:rsidRPr="00D210A4">
        <w:rPr>
          <w:lang w:val="en-GB"/>
        </w:rPr>
        <w:t xml:space="preserve"> The committee noted that for th</w:t>
      </w:r>
      <w:r w:rsidR="009710C3">
        <w:rPr>
          <w:lang w:val="en-GB"/>
        </w:rPr>
        <w:t>e review,</w:t>
      </w:r>
      <w:r w:rsidR="008E1975" w:rsidRPr="00D210A4">
        <w:rPr>
          <w:lang w:val="en-GB"/>
        </w:rPr>
        <w:t xml:space="preserve"> the </w:t>
      </w:r>
      <w:r w:rsidR="008E1975" w:rsidRPr="00D210A4">
        <w:rPr>
          <w:bCs w:val="0"/>
          <w:iCs w:val="0"/>
        </w:rPr>
        <w:t xml:space="preserve">company </w:t>
      </w:r>
      <w:r w:rsidR="009710C3">
        <w:rPr>
          <w:bCs w:val="0"/>
          <w:iCs w:val="0"/>
          <w:lang w:val="en-US"/>
        </w:rPr>
        <w:t xml:space="preserve">still </w:t>
      </w:r>
      <w:r w:rsidR="008E1975" w:rsidRPr="00D210A4">
        <w:rPr>
          <w:bCs w:val="0"/>
          <w:iCs w:val="0"/>
        </w:rPr>
        <w:t>extrapolated progression-free survival from 21</w:t>
      </w:r>
      <w:r w:rsidR="00D210A4" w:rsidRPr="00D210A4">
        <w:rPr>
          <w:bCs w:val="0"/>
          <w:iCs w:val="0"/>
        </w:rPr>
        <w:t> </w:t>
      </w:r>
      <w:r w:rsidR="008E1975" w:rsidRPr="00D210A4">
        <w:rPr>
          <w:bCs w:val="0"/>
          <w:iCs w:val="0"/>
        </w:rPr>
        <w:t>weeks</w:t>
      </w:r>
      <w:r w:rsidR="008D1B90">
        <w:rPr>
          <w:bCs w:val="0"/>
          <w:iCs w:val="0"/>
          <w:lang w:val="en-US"/>
        </w:rPr>
        <w:t>,</w:t>
      </w:r>
      <w:r w:rsidR="008E1975" w:rsidRPr="00D210A4">
        <w:rPr>
          <w:bCs w:val="0"/>
          <w:iCs w:val="0"/>
        </w:rPr>
        <w:t xml:space="preserve"> </w:t>
      </w:r>
      <w:r w:rsidR="00D210A4" w:rsidRPr="00D210A4">
        <w:rPr>
          <w:bCs w:val="0"/>
          <w:iCs w:val="0"/>
        </w:rPr>
        <w:t xml:space="preserve">but </w:t>
      </w:r>
      <w:r w:rsidR="008E1975" w:rsidRPr="00D210A4">
        <w:rPr>
          <w:bCs w:val="0"/>
          <w:iCs w:val="0"/>
        </w:rPr>
        <w:t>preferred a log-normal curve for the pembrolizumab arm</w:t>
      </w:r>
      <w:r w:rsidR="008D1B90">
        <w:rPr>
          <w:bCs w:val="0"/>
          <w:iCs w:val="0"/>
          <w:lang w:val="en-US"/>
        </w:rPr>
        <w:t>. This was</w:t>
      </w:r>
      <w:r w:rsidR="008E1975" w:rsidRPr="00D210A4">
        <w:rPr>
          <w:bCs w:val="0"/>
          <w:iCs w:val="0"/>
        </w:rPr>
        <w:t xml:space="preserve"> based on statistical and visual fit to the KEYNOTE</w:t>
      </w:r>
      <w:r w:rsidR="00627CB7">
        <w:rPr>
          <w:bCs w:val="0"/>
          <w:iCs w:val="0"/>
        </w:rPr>
        <w:noBreakHyphen/>
      </w:r>
      <w:r w:rsidR="008E1975" w:rsidRPr="00D210A4">
        <w:rPr>
          <w:bCs w:val="0"/>
          <w:iCs w:val="0"/>
        </w:rPr>
        <w:t>045 data, and the</w:t>
      </w:r>
      <w:r w:rsidR="00CB1A96">
        <w:rPr>
          <w:bCs w:val="0"/>
          <w:iCs w:val="0"/>
          <w:lang w:val="en-US"/>
        </w:rPr>
        <w:t>n was used</w:t>
      </w:r>
      <w:r w:rsidR="008E1975" w:rsidRPr="00D210A4">
        <w:rPr>
          <w:bCs w:val="0"/>
          <w:iCs w:val="0"/>
        </w:rPr>
        <w:t xml:space="preserve"> for the </w:t>
      </w:r>
      <w:r w:rsidR="008E1975" w:rsidRPr="00D210A4">
        <w:rPr>
          <w:lang w:val="en-GB"/>
        </w:rPr>
        <w:t>UK SoC arm to be consistent.</w:t>
      </w:r>
      <w:r w:rsidR="00D210A4" w:rsidRPr="00D210A4">
        <w:rPr>
          <w:bCs w:val="0"/>
          <w:iCs w:val="0"/>
        </w:rPr>
        <w:t xml:space="preserve"> </w:t>
      </w:r>
      <w:r w:rsidR="005462AA">
        <w:rPr>
          <w:bCs w:val="0"/>
          <w:iCs w:val="0"/>
          <w:lang w:val="en-US"/>
        </w:rPr>
        <w:t>T</w:t>
      </w:r>
      <w:r w:rsidR="00D210A4" w:rsidRPr="00D210A4">
        <w:rPr>
          <w:bCs w:val="0"/>
          <w:iCs w:val="0"/>
        </w:rPr>
        <w:t>he ERG considered it appropriate to extrapolate from 21 weeks</w:t>
      </w:r>
      <w:r w:rsidR="00ED2ABC">
        <w:rPr>
          <w:bCs w:val="0"/>
          <w:iCs w:val="0"/>
          <w:lang w:val="en-US"/>
        </w:rPr>
        <w:t>,</w:t>
      </w:r>
      <w:r w:rsidR="00D210A4" w:rsidRPr="00D210A4">
        <w:rPr>
          <w:bCs w:val="0"/>
          <w:iCs w:val="0"/>
        </w:rPr>
        <w:t xml:space="preserve"> but </w:t>
      </w:r>
      <w:r w:rsidR="00ED2ABC">
        <w:rPr>
          <w:bCs w:val="0"/>
          <w:iCs w:val="0"/>
          <w:lang w:val="en-US"/>
        </w:rPr>
        <w:t>only</w:t>
      </w:r>
      <w:r w:rsidR="004D1637">
        <w:rPr>
          <w:bCs w:val="0"/>
          <w:iCs w:val="0"/>
          <w:lang w:val="en-US"/>
        </w:rPr>
        <w:t xml:space="preserve"> </w:t>
      </w:r>
      <w:r w:rsidR="00D210A4">
        <w:rPr>
          <w:lang w:val="en-GB"/>
        </w:rPr>
        <w:t xml:space="preserve">considered </w:t>
      </w:r>
      <w:bookmarkStart w:id="13" w:name="_Ref22910371"/>
      <w:r w:rsidR="00AD69D1" w:rsidRPr="00D6148E">
        <w:rPr>
          <w:lang w:val="en-GB"/>
        </w:rPr>
        <w:t xml:space="preserve">the Weibull curve </w:t>
      </w:r>
      <w:r w:rsidR="00D210A4" w:rsidRPr="00D6148E">
        <w:rPr>
          <w:lang w:val="en-GB"/>
        </w:rPr>
        <w:t xml:space="preserve">to </w:t>
      </w:r>
      <w:r w:rsidR="00AD69D1" w:rsidRPr="00D6148E">
        <w:rPr>
          <w:lang w:val="en-GB"/>
        </w:rPr>
        <w:t xml:space="preserve">consistently </w:t>
      </w:r>
      <w:r w:rsidR="00ED2ABC">
        <w:rPr>
          <w:lang w:val="en-GB"/>
        </w:rPr>
        <w:t xml:space="preserve">be </w:t>
      </w:r>
      <w:r w:rsidR="00AD69D1" w:rsidRPr="00D6148E">
        <w:rPr>
          <w:lang w:val="en-GB"/>
        </w:rPr>
        <w:t xml:space="preserve">among the best fitting </w:t>
      </w:r>
      <w:r w:rsidR="00D210A4" w:rsidRPr="00D6148E">
        <w:rPr>
          <w:lang w:val="en-GB"/>
        </w:rPr>
        <w:t xml:space="preserve">curves </w:t>
      </w:r>
      <w:r w:rsidR="00ED2ABC">
        <w:rPr>
          <w:lang w:val="en-GB"/>
        </w:rPr>
        <w:t>for</w:t>
      </w:r>
      <w:r w:rsidR="00ED2ABC" w:rsidRPr="00D6148E">
        <w:rPr>
          <w:lang w:val="en-GB"/>
        </w:rPr>
        <w:t xml:space="preserve"> </w:t>
      </w:r>
      <w:r w:rsidR="00AD69D1" w:rsidRPr="00D6148E">
        <w:rPr>
          <w:lang w:val="en-GB"/>
        </w:rPr>
        <w:t xml:space="preserve">both </w:t>
      </w:r>
      <w:r w:rsidR="00D210A4" w:rsidRPr="00D6148E">
        <w:rPr>
          <w:lang w:val="en-GB"/>
        </w:rPr>
        <w:t>the pembrolizumab and the UK S</w:t>
      </w:r>
      <w:r w:rsidR="00A77229">
        <w:rPr>
          <w:lang w:val="en-GB"/>
        </w:rPr>
        <w:t>o</w:t>
      </w:r>
      <w:r w:rsidR="00D210A4" w:rsidRPr="00D6148E">
        <w:rPr>
          <w:lang w:val="en-GB"/>
        </w:rPr>
        <w:t>C arm</w:t>
      </w:r>
      <w:r w:rsidR="00ED2ABC">
        <w:rPr>
          <w:lang w:val="en-GB"/>
        </w:rPr>
        <w:t>s. This was</w:t>
      </w:r>
      <w:r w:rsidR="00AD69D1" w:rsidRPr="00D6148E">
        <w:rPr>
          <w:lang w:val="en-GB"/>
        </w:rPr>
        <w:t xml:space="preserve"> according to the Akaike information criterion and the Bayesian information criterion. The</w:t>
      </w:r>
      <w:r w:rsidR="00D210A4" w:rsidRPr="00D6148E">
        <w:rPr>
          <w:lang w:val="en-GB"/>
        </w:rPr>
        <w:t xml:space="preserve"> ERG explained </w:t>
      </w:r>
      <w:r w:rsidR="00AD69D1" w:rsidRPr="00D6148E">
        <w:rPr>
          <w:lang w:val="en-GB"/>
        </w:rPr>
        <w:t>that NICE</w:t>
      </w:r>
      <w:r w:rsidR="00C049AB">
        <w:rPr>
          <w:lang w:val="en-GB"/>
        </w:rPr>
        <w:t>’s</w:t>
      </w:r>
      <w:r w:rsidR="00AD69D1" w:rsidRPr="00D6148E">
        <w:rPr>
          <w:lang w:val="en-GB"/>
        </w:rPr>
        <w:t xml:space="preserve"> </w:t>
      </w:r>
      <w:hyperlink r:id="rId18" w:history="1">
        <w:r w:rsidR="00C049AB" w:rsidRPr="00C049AB">
          <w:rPr>
            <w:rStyle w:val="Hyperlink"/>
            <w:lang w:val="en-GB"/>
          </w:rPr>
          <w:t>t</w:t>
        </w:r>
        <w:r w:rsidR="009F748B" w:rsidRPr="00C049AB">
          <w:rPr>
            <w:rStyle w:val="Hyperlink"/>
            <w:lang w:val="en-GB"/>
          </w:rPr>
          <w:t xml:space="preserve">echnical </w:t>
        </w:r>
        <w:r w:rsidR="00C049AB" w:rsidRPr="00C049AB">
          <w:rPr>
            <w:rStyle w:val="Hyperlink"/>
            <w:lang w:val="en-GB"/>
          </w:rPr>
          <w:t>s</w:t>
        </w:r>
        <w:r w:rsidR="009F748B" w:rsidRPr="00C049AB">
          <w:rPr>
            <w:rStyle w:val="Hyperlink"/>
            <w:lang w:val="en-GB"/>
          </w:rPr>
          <w:t xml:space="preserve">upport </w:t>
        </w:r>
        <w:r w:rsidR="00C049AB" w:rsidRPr="00C049AB">
          <w:rPr>
            <w:rStyle w:val="Hyperlink"/>
            <w:lang w:val="en-GB"/>
          </w:rPr>
          <w:t>d</w:t>
        </w:r>
        <w:r w:rsidR="009F748B" w:rsidRPr="00C049AB">
          <w:rPr>
            <w:rStyle w:val="Hyperlink"/>
            <w:lang w:val="en-GB"/>
          </w:rPr>
          <w:t>ocument</w:t>
        </w:r>
        <w:r w:rsidR="00C049AB" w:rsidRPr="00C049AB">
          <w:rPr>
            <w:rStyle w:val="Hyperlink"/>
            <w:lang w:val="en-GB"/>
          </w:rPr>
          <w:t> </w:t>
        </w:r>
        <w:r w:rsidR="009F748B" w:rsidRPr="00C049AB">
          <w:rPr>
            <w:rStyle w:val="Hyperlink"/>
            <w:lang w:val="en-GB"/>
          </w:rPr>
          <w:t>14</w:t>
        </w:r>
      </w:hyperlink>
      <w:r w:rsidR="009F748B" w:rsidRPr="00D6148E">
        <w:rPr>
          <w:lang w:val="en-GB"/>
        </w:rPr>
        <w:t xml:space="preserve"> advises that whe</w:t>
      </w:r>
      <w:r w:rsidR="000E11EB">
        <w:rPr>
          <w:lang w:val="en-GB"/>
        </w:rPr>
        <w:t>n</w:t>
      </w:r>
      <w:r w:rsidR="009F748B" w:rsidRPr="00D6148E">
        <w:rPr>
          <w:lang w:val="en-GB"/>
        </w:rPr>
        <w:t xml:space="preserve"> parametric models are fitted separately to individual treatment arms, the same extrapolation should be used for both arms</w:t>
      </w:r>
      <w:r w:rsidR="00C049AB">
        <w:rPr>
          <w:lang w:val="en-GB"/>
        </w:rPr>
        <w:t>.</w:t>
      </w:r>
      <w:r w:rsidR="009F748B" w:rsidRPr="00D6148E">
        <w:rPr>
          <w:lang w:val="en-GB"/>
        </w:rPr>
        <w:t xml:space="preserve"> </w:t>
      </w:r>
      <w:r w:rsidR="00C049AB">
        <w:rPr>
          <w:lang w:val="en-GB"/>
        </w:rPr>
        <w:t>O</w:t>
      </w:r>
      <w:r w:rsidR="009F748B" w:rsidRPr="00D6148E">
        <w:rPr>
          <w:lang w:val="en-GB"/>
        </w:rPr>
        <w:t>therwise</w:t>
      </w:r>
      <w:r w:rsidR="003E3C7F">
        <w:rPr>
          <w:lang w:val="en-GB"/>
        </w:rPr>
        <w:t>,</w:t>
      </w:r>
      <w:r w:rsidR="009F748B" w:rsidRPr="00D6148E">
        <w:rPr>
          <w:lang w:val="en-GB"/>
        </w:rPr>
        <w:t xml:space="preserve"> substantial justification would be </w:t>
      </w:r>
      <w:r w:rsidR="00C049AB">
        <w:rPr>
          <w:lang w:val="en-GB"/>
        </w:rPr>
        <w:t>needed</w:t>
      </w:r>
      <w:r w:rsidR="00C049AB" w:rsidRPr="00D6148E">
        <w:rPr>
          <w:lang w:val="en-GB"/>
        </w:rPr>
        <w:t xml:space="preserve"> </w:t>
      </w:r>
      <w:r w:rsidR="009F748B" w:rsidRPr="00D6148E">
        <w:rPr>
          <w:lang w:val="en-GB"/>
        </w:rPr>
        <w:t>to use differ</w:t>
      </w:r>
      <w:r w:rsidR="00C049AB">
        <w:rPr>
          <w:lang w:val="en-GB"/>
        </w:rPr>
        <w:t>ent</w:t>
      </w:r>
      <w:r w:rsidR="009F748B" w:rsidRPr="00D6148E">
        <w:rPr>
          <w:lang w:val="en-GB"/>
        </w:rPr>
        <w:t xml:space="preserve"> extrapolation models.</w:t>
      </w:r>
      <w:r w:rsidR="00D210A4" w:rsidRPr="00D6148E">
        <w:rPr>
          <w:lang w:val="en-GB"/>
        </w:rPr>
        <w:t xml:space="preserve"> </w:t>
      </w:r>
      <w:r w:rsidR="009F748B" w:rsidRPr="00D6148E">
        <w:rPr>
          <w:lang w:val="en-GB"/>
        </w:rPr>
        <w:t xml:space="preserve">The committee considered the Weibull curve </w:t>
      </w:r>
      <w:r w:rsidR="00D210A4" w:rsidRPr="00D6148E">
        <w:rPr>
          <w:lang w:val="en-GB"/>
        </w:rPr>
        <w:t xml:space="preserve">to fit </w:t>
      </w:r>
      <w:r w:rsidR="009F748B" w:rsidRPr="00D6148E">
        <w:rPr>
          <w:lang w:val="en-GB"/>
        </w:rPr>
        <w:t xml:space="preserve">well to the almost-complete data for the UK SoC arm, and </w:t>
      </w:r>
      <w:r w:rsidR="00D210A4" w:rsidRPr="00D6148E">
        <w:rPr>
          <w:lang w:val="en-GB"/>
        </w:rPr>
        <w:t xml:space="preserve">also </w:t>
      </w:r>
      <w:r w:rsidR="009F748B" w:rsidRPr="00D6148E">
        <w:rPr>
          <w:lang w:val="en-GB"/>
        </w:rPr>
        <w:t xml:space="preserve">to </w:t>
      </w:r>
      <w:r w:rsidR="00D210A4" w:rsidRPr="00D6148E">
        <w:rPr>
          <w:lang w:val="en-GB"/>
        </w:rPr>
        <w:t xml:space="preserve">the </w:t>
      </w:r>
      <w:r w:rsidR="00841D7B" w:rsidRPr="00D6148E">
        <w:rPr>
          <w:lang w:val="en-GB"/>
        </w:rPr>
        <w:t>2</w:t>
      </w:r>
      <w:r w:rsidR="005B148E">
        <w:rPr>
          <w:lang w:val="en-GB"/>
        </w:rPr>
        <w:noBreakHyphen/>
      </w:r>
      <w:r w:rsidR="00841D7B" w:rsidRPr="00D6148E">
        <w:rPr>
          <w:lang w:val="en-GB"/>
        </w:rPr>
        <w:t>3</w:t>
      </w:r>
      <w:r w:rsidR="005B148E">
        <w:rPr>
          <w:lang w:val="en-GB"/>
        </w:rPr>
        <w:noBreakHyphen/>
      </w:r>
      <w:r w:rsidR="00841D7B" w:rsidRPr="00D6148E">
        <w:rPr>
          <w:lang w:val="en-GB"/>
        </w:rPr>
        <w:t>year</w:t>
      </w:r>
      <w:r w:rsidR="009F748B" w:rsidRPr="00D6148E">
        <w:rPr>
          <w:lang w:val="en-GB"/>
        </w:rPr>
        <w:t xml:space="preserve"> progression</w:t>
      </w:r>
      <w:r w:rsidR="00813DC0" w:rsidRPr="00D6148E">
        <w:rPr>
          <w:lang w:val="en-GB"/>
        </w:rPr>
        <w:t>-</w:t>
      </w:r>
      <w:r w:rsidR="009F748B" w:rsidRPr="00D6148E">
        <w:rPr>
          <w:lang w:val="en-GB"/>
        </w:rPr>
        <w:t>free survival data for pembrolizumab (</w:t>
      </w:r>
      <w:r w:rsidR="005B148E">
        <w:rPr>
          <w:lang w:val="en-GB"/>
        </w:rPr>
        <w:t>the benefit</w:t>
      </w:r>
      <w:r w:rsidR="009F748B" w:rsidRPr="00D6148E">
        <w:rPr>
          <w:lang w:val="en-GB"/>
        </w:rPr>
        <w:t xml:space="preserve"> </w:t>
      </w:r>
      <w:r w:rsidR="005B148E">
        <w:rPr>
          <w:lang w:val="en-GB"/>
        </w:rPr>
        <w:t>is</w:t>
      </w:r>
      <w:r w:rsidR="009F748B" w:rsidRPr="00D6148E">
        <w:rPr>
          <w:lang w:val="en-GB"/>
        </w:rPr>
        <w:t xml:space="preserve"> very uncertain beyond that).</w:t>
      </w:r>
      <w:r w:rsidR="00F06C97" w:rsidRPr="00F06C97">
        <w:t xml:space="preserve"> </w:t>
      </w:r>
      <w:r w:rsidR="00F06C97">
        <w:rPr>
          <w:lang w:val="en-GB"/>
        </w:rPr>
        <w:t>T</w:t>
      </w:r>
      <w:r w:rsidR="00F06C97" w:rsidRPr="00F06C97">
        <w:rPr>
          <w:lang w:val="en-GB"/>
        </w:rPr>
        <w:t>he</w:t>
      </w:r>
      <w:r w:rsidR="00F06C97">
        <w:rPr>
          <w:lang w:val="en-GB"/>
        </w:rPr>
        <w:t xml:space="preserve"> Weibull curve was</w:t>
      </w:r>
      <w:r w:rsidR="00F06C97" w:rsidRPr="00F06C97">
        <w:rPr>
          <w:lang w:val="en-GB"/>
        </w:rPr>
        <w:t xml:space="preserve"> most consistent with the </w:t>
      </w:r>
      <w:r w:rsidR="00F06C97">
        <w:rPr>
          <w:lang w:val="en-GB"/>
        </w:rPr>
        <w:t>Kaplan</w:t>
      </w:r>
      <w:r w:rsidR="00E87565">
        <w:rPr>
          <w:rFonts w:cs="Arial"/>
          <w:lang w:val="en-GB"/>
        </w:rPr>
        <w:t>−</w:t>
      </w:r>
      <w:r w:rsidR="00F06C97">
        <w:rPr>
          <w:lang w:val="en-GB"/>
        </w:rPr>
        <w:t xml:space="preserve">Meier </w:t>
      </w:r>
      <w:r w:rsidR="00F06C97" w:rsidRPr="00F06C97">
        <w:rPr>
          <w:lang w:val="en-GB"/>
        </w:rPr>
        <w:t xml:space="preserve">data </w:t>
      </w:r>
      <w:r w:rsidR="00E87565">
        <w:rPr>
          <w:lang w:val="en-GB"/>
        </w:rPr>
        <w:t xml:space="preserve">seen </w:t>
      </w:r>
      <w:r w:rsidR="00F06C97" w:rsidRPr="00F06C97">
        <w:rPr>
          <w:lang w:val="en-GB"/>
        </w:rPr>
        <w:t>at 2 and 3</w:t>
      </w:r>
      <w:r w:rsidR="00E87565">
        <w:rPr>
          <w:lang w:val="en-GB"/>
        </w:rPr>
        <w:t> </w:t>
      </w:r>
      <w:r w:rsidR="00F06C97" w:rsidRPr="00F06C97">
        <w:rPr>
          <w:lang w:val="en-GB"/>
        </w:rPr>
        <w:t>years in both arms of the KEYNOTE-045 trial</w:t>
      </w:r>
      <w:r w:rsidR="00F06C97">
        <w:rPr>
          <w:lang w:val="en-GB"/>
        </w:rPr>
        <w:t xml:space="preserve">, and </w:t>
      </w:r>
      <w:r w:rsidR="007A04A0">
        <w:rPr>
          <w:lang w:val="en-GB"/>
        </w:rPr>
        <w:t>was also</w:t>
      </w:r>
      <w:r w:rsidR="00F06C97">
        <w:rPr>
          <w:lang w:val="en-GB"/>
        </w:rPr>
        <w:t xml:space="preserve"> a good visual fit. </w:t>
      </w:r>
      <w:r w:rsidR="00D210A4" w:rsidRPr="00D6148E">
        <w:rPr>
          <w:lang w:val="en-GB"/>
        </w:rPr>
        <w:t xml:space="preserve">The committee concluded that the Weibull curve </w:t>
      </w:r>
      <w:r w:rsidR="00731431" w:rsidRPr="00D6148E">
        <w:rPr>
          <w:lang w:val="en-GB"/>
        </w:rPr>
        <w:t xml:space="preserve">was the </w:t>
      </w:r>
      <w:r w:rsidR="00D210A4" w:rsidRPr="00D6148E">
        <w:rPr>
          <w:lang w:val="en-GB"/>
        </w:rPr>
        <w:t>most appropriate</w:t>
      </w:r>
      <w:r w:rsidR="00731431" w:rsidRPr="00D6148E">
        <w:rPr>
          <w:lang w:val="en-GB"/>
        </w:rPr>
        <w:t xml:space="preserve"> curve </w:t>
      </w:r>
      <w:r w:rsidR="00D210A4" w:rsidRPr="00D6148E">
        <w:rPr>
          <w:lang w:val="en-GB"/>
        </w:rPr>
        <w:t xml:space="preserve">to model progression-free survival </w:t>
      </w:r>
      <w:r w:rsidR="00731431" w:rsidRPr="00D6148E">
        <w:rPr>
          <w:lang w:val="en-GB"/>
        </w:rPr>
        <w:t>and that it should be used for both the pembrolizumab and UK SoC arms</w:t>
      </w:r>
      <w:r w:rsidR="00FF01A1">
        <w:rPr>
          <w:lang w:val="en-GB"/>
        </w:rPr>
        <w:t>.</w:t>
      </w:r>
      <w:bookmarkEnd w:id="13"/>
    </w:p>
    <w:p w14:paraId="50F28168" w14:textId="42EBDED8" w:rsidR="0070272A" w:rsidRDefault="00D66A24" w:rsidP="007A3D3D">
      <w:pPr>
        <w:pStyle w:val="Heading3"/>
      </w:pPr>
      <w:r>
        <w:lastRenderedPageBreak/>
        <w:t>A piecewise model is appropriate</w:t>
      </w:r>
      <w:r w:rsidR="00731431">
        <w:t xml:space="preserve"> to model overall survival</w:t>
      </w:r>
      <w:r>
        <w:t xml:space="preserve">, </w:t>
      </w:r>
      <w:r w:rsidR="00731431">
        <w:t xml:space="preserve">and the best time to </w:t>
      </w:r>
      <w:r>
        <w:t>switch</w:t>
      </w:r>
      <w:r w:rsidR="004B6826">
        <w:t xml:space="preserve"> </w:t>
      </w:r>
      <w:r>
        <w:t xml:space="preserve">to a parametric curve </w:t>
      </w:r>
      <w:r w:rsidR="00FF01A1">
        <w:t xml:space="preserve">is </w:t>
      </w:r>
      <w:r w:rsidR="009539A1">
        <w:t>at 24</w:t>
      </w:r>
      <w:r w:rsidR="00DC237C">
        <w:t> </w:t>
      </w:r>
      <w:r w:rsidR="009539A1">
        <w:t>weeks</w:t>
      </w:r>
    </w:p>
    <w:p w14:paraId="3A5DB84D" w14:textId="71B9BDC7" w:rsidR="009539A1" w:rsidRPr="003E6D06" w:rsidRDefault="005E6E24" w:rsidP="004D1637">
      <w:pPr>
        <w:pStyle w:val="Numberedlevel2text"/>
        <w:numPr>
          <w:ilvl w:val="1"/>
          <w:numId w:val="4"/>
        </w:numPr>
        <w:rPr>
          <w:lang w:val="en-GB"/>
        </w:rPr>
      </w:pPr>
      <w:bookmarkStart w:id="14" w:name="_Ref486249790"/>
      <w:r>
        <w:rPr>
          <w:lang w:val="en-GB"/>
        </w:rPr>
        <w:t>T</w:t>
      </w:r>
      <w:r w:rsidR="00AF4F7B">
        <w:rPr>
          <w:lang w:val="en-GB"/>
        </w:rPr>
        <w:t xml:space="preserve">he company used </w:t>
      </w:r>
      <w:r w:rsidR="00D66A24">
        <w:t>a piecewise approach</w:t>
      </w:r>
      <w:r w:rsidR="0049717C">
        <w:rPr>
          <w:lang w:val="en-GB"/>
        </w:rPr>
        <w:t xml:space="preserve"> to model overall survival</w:t>
      </w:r>
      <w:r w:rsidR="00D66A24">
        <w:t xml:space="preserve">, </w:t>
      </w:r>
      <w:r w:rsidR="00D66A24">
        <w:rPr>
          <w:lang w:val="en-GB"/>
        </w:rPr>
        <w:t>in which</w:t>
      </w:r>
      <w:r w:rsidR="00D66A24">
        <w:t xml:space="preserve"> Kaplan</w:t>
      </w:r>
      <w:r w:rsidR="00D6627C">
        <w:rPr>
          <w:rFonts w:cs="Arial"/>
          <w:lang w:val="en-GB"/>
        </w:rPr>
        <w:t>−</w:t>
      </w:r>
      <w:r w:rsidR="00D66A24">
        <w:t xml:space="preserve">Meier data </w:t>
      </w:r>
      <w:r w:rsidR="00D66A24">
        <w:rPr>
          <w:lang w:val="en-GB"/>
        </w:rPr>
        <w:t>are</w:t>
      </w:r>
      <w:r w:rsidR="00D66A24">
        <w:t xml:space="preserve"> used </w:t>
      </w:r>
      <w:r>
        <w:rPr>
          <w:lang w:val="en-US"/>
        </w:rPr>
        <w:t>first</w:t>
      </w:r>
      <w:r>
        <w:t xml:space="preserve"> </w:t>
      </w:r>
      <w:r w:rsidR="00D66A24">
        <w:t>before switching to a parametric curve</w:t>
      </w:r>
      <w:r w:rsidR="00D66A24">
        <w:rPr>
          <w:lang w:val="en-GB"/>
        </w:rPr>
        <w:t>. This is</w:t>
      </w:r>
      <w:r w:rsidR="00D66A24">
        <w:t xml:space="preserve"> </w:t>
      </w:r>
      <w:r w:rsidR="00D66A24">
        <w:rPr>
          <w:lang w:val="en-GB"/>
        </w:rPr>
        <w:t>because</w:t>
      </w:r>
      <w:r w:rsidR="00D66A24">
        <w:t xml:space="preserve"> the cumulative hazard plot shows that the hazards cross and therefore the proportional hazard</w:t>
      </w:r>
      <w:r w:rsidR="009F5A1D">
        <w:rPr>
          <w:lang w:val="en-GB"/>
        </w:rPr>
        <w:t>s</w:t>
      </w:r>
      <w:r w:rsidR="00D66A24">
        <w:t xml:space="preserve"> assumption does not hold.</w:t>
      </w:r>
      <w:bookmarkEnd w:id="14"/>
      <w:r w:rsidR="000E0B10">
        <w:rPr>
          <w:lang w:val="en-US"/>
        </w:rPr>
        <w:t xml:space="preserve"> </w:t>
      </w:r>
      <w:r w:rsidR="00F0759D" w:rsidRPr="000E0B10">
        <w:rPr>
          <w:lang w:val="en-GB"/>
        </w:rPr>
        <w:t xml:space="preserve">The </w:t>
      </w:r>
      <w:r w:rsidR="001D3288" w:rsidRPr="002F20BA">
        <w:rPr>
          <w:lang w:val="en-GB"/>
        </w:rPr>
        <w:t xml:space="preserve">company </w:t>
      </w:r>
      <w:r w:rsidR="00971D51" w:rsidRPr="002F20BA">
        <w:rPr>
          <w:lang w:val="en-GB"/>
        </w:rPr>
        <w:t xml:space="preserve">incorporated switching to parametric curve at </w:t>
      </w:r>
      <w:r w:rsidR="0014685C" w:rsidRPr="002A0736">
        <w:rPr>
          <w:lang w:val="en-GB"/>
        </w:rPr>
        <w:t>week </w:t>
      </w:r>
      <w:r w:rsidR="00971D51" w:rsidRPr="00807DDF">
        <w:rPr>
          <w:lang w:val="en-GB"/>
        </w:rPr>
        <w:t xml:space="preserve">24 in its </w:t>
      </w:r>
      <w:r w:rsidR="0014685C" w:rsidRPr="00F5697D">
        <w:rPr>
          <w:lang w:val="en-GB"/>
        </w:rPr>
        <w:t>base</w:t>
      </w:r>
      <w:r w:rsidR="000E0B10">
        <w:rPr>
          <w:lang w:val="en-GB"/>
        </w:rPr>
        <w:t>-</w:t>
      </w:r>
      <w:r w:rsidR="0014685C" w:rsidRPr="002F20BA">
        <w:rPr>
          <w:lang w:val="en-GB"/>
        </w:rPr>
        <w:t>case analysis because the cumulative hazard curve</w:t>
      </w:r>
      <w:r w:rsidR="00FF01A1" w:rsidRPr="00BE5705">
        <w:rPr>
          <w:lang w:val="en-GB"/>
        </w:rPr>
        <w:t>s</w:t>
      </w:r>
      <w:r w:rsidR="0014685C" w:rsidRPr="00B32ECB">
        <w:rPr>
          <w:lang w:val="en-GB"/>
        </w:rPr>
        <w:t xml:space="preserve"> start separating from week</w:t>
      </w:r>
      <w:r w:rsidR="0014685C" w:rsidRPr="00BA6FC4">
        <w:rPr>
          <w:lang w:val="en-GB"/>
        </w:rPr>
        <w:t> </w:t>
      </w:r>
      <w:r w:rsidR="00AF4F7B" w:rsidRPr="006330FF">
        <w:rPr>
          <w:lang w:val="en-GB"/>
        </w:rPr>
        <w:t>2</w:t>
      </w:r>
      <w:r w:rsidR="0014685C" w:rsidRPr="00AE069E">
        <w:rPr>
          <w:lang w:val="en-GB"/>
        </w:rPr>
        <w:t>4</w:t>
      </w:r>
      <w:r w:rsidR="00AF4F7B" w:rsidRPr="004B1831">
        <w:rPr>
          <w:lang w:val="en-GB"/>
        </w:rPr>
        <w:t xml:space="preserve">. </w:t>
      </w:r>
      <w:r w:rsidR="0014685C" w:rsidRPr="004B1831">
        <w:rPr>
          <w:lang w:val="en-GB"/>
        </w:rPr>
        <w:t>The committee</w:t>
      </w:r>
      <w:r w:rsidR="00971D51" w:rsidRPr="004B1831">
        <w:rPr>
          <w:lang w:val="en-GB"/>
        </w:rPr>
        <w:t xml:space="preserve"> </w:t>
      </w:r>
      <w:r w:rsidR="00AF4F7B" w:rsidRPr="003E6D06">
        <w:rPr>
          <w:lang w:val="en-GB"/>
        </w:rPr>
        <w:t xml:space="preserve">agreed that the company’s piecewise model was appropriate to model overall survival, and the best time </w:t>
      </w:r>
      <w:r w:rsidR="003709B9">
        <w:rPr>
          <w:lang w:val="en-GB"/>
        </w:rPr>
        <w:t>for</w:t>
      </w:r>
      <w:r w:rsidR="003709B9" w:rsidRPr="003E6D06">
        <w:rPr>
          <w:lang w:val="en-GB"/>
        </w:rPr>
        <w:t xml:space="preserve"> </w:t>
      </w:r>
      <w:r w:rsidR="00AF4F7B" w:rsidRPr="003E6D06">
        <w:rPr>
          <w:lang w:val="en-GB"/>
        </w:rPr>
        <w:t>switching to a parametric curve was at 24 weeks.</w:t>
      </w:r>
    </w:p>
    <w:p w14:paraId="381D3B01" w14:textId="59DFA5FE" w:rsidR="007E1B7F" w:rsidRDefault="00A11657" w:rsidP="007E1B7F">
      <w:pPr>
        <w:pStyle w:val="Heading3"/>
      </w:pPr>
      <w:r>
        <w:t>The long</w:t>
      </w:r>
      <w:r w:rsidR="00CE5B96">
        <w:t>-</w:t>
      </w:r>
      <w:r>
        <w:t>term impact of a stopping rule on the duration of treatment effect is unknown for immunotherapies, but a lifetime treatment effect is implausible</w:t>
      </w:r>
    </w:p>
    <w:p w14:paraId="5DFD07CB" w14:textId="3D33B6C8" w:rsidR="00A11657" w:rsidRDefault="00051842" w:rsidP="00A11657">
      <w:pPr>
        <w:pStyle w:val="Numberedlevel2text"/>
        <w:numPr>
          <w:ilvl w:val="1"/>
          <w:numId w:val="4"/>
        </w:numPr>
        <w:rPr>
          <w:lang w:val="en-GB"/>
        </w:rPr>
      </w:pPr>
      <w:bookmarkStart w:id="15" w:name="_Ref481132411"/>
      <w:bookmarkStart w:id="16" w:name="_Ref484181718"/>
      <w:bookmarkStart w:id="17" w:name="_Ref22756163"/>
      <w:bookmarkStart w:id="18" w:name="_Ref22760379"/>
      <w:bookmarkEnd w:id="15"/>
      <w:r>
        <w:rPr>
          <w:lang w:val="en-GB"/>
        </w:rPr>
        <w:t>A</w:t>
      </w:r>
      <w:r w:rsidR="00971D51">
        <w:rPr>
          <w:lang w:val="en-GB"/>
        </w:rPr>
        <w:t xml:space="preserve"> 2-year stopping rule was appropriate for pembrolizumab </w:t>
      </w:r>
      <w:r w:rsidR="003C409B">
        <w:rPr>
          <w:lang w:val="en-GB"/>
        </w:rPr>
        <w:t>(see section </w:t>
      </w:r>
      <w:r w:rsidR="005206D2">
        <w:rPr>
          <w:lang w:val="en-GB"/>
        </w:rPr>
        <w:fldChar w:fldCharType="begin"/>
      </w:r>
      <w:r w:rsidR="005206D2">
        <w:rPr>
          <w:lang w:val="en-GB"/>
        </w:rPr>
        <w:instrText xml:space="preserve"> REF _Ref22908777 \r \h </w:instrText>
      </w:r>
      <w:r w:rsidR="005206D2">
        <w:rPr>
          <w:lang w:val="en-GB"/>
        </w:rPr>
      </w:r>
      <w:r w:rsidR="005206D2">
        <w:rPr>
          <w:lang w:val="en-GB"/>
        </w:rPr>
        <w:fldChar w:fldCharType="separate"/>
      </w:r>
      <w:r w:rsidR="00DA285A">
        <w:rPr>
          <w:lang w:val="en-GB"/>
        </w:rPr>
        <w:t>3.10</w:t>
      </w:r>
      <w:r w:rsidR="005206D2">
        <w:rPr>
          <w:lang w:val="en-GB"/>
        </w:rPr>
        <w:fldChar w:fldCharType="end"/>
      </w:r>
      <w:bookmarkEnd w:id="16"/>
      <w:r w:rsidR="003C409B">
        <w:rPr>
          <w:lang w:val="en-GB"/>
        </w:rPr>
        <w:t xml:space="preserve">). </w:t>
      </w:r>
      <w:r w:rsidR="004F2B03">
        <w:rPr>
          <w:lang w:val="en-GB"/>
        </w:rPr>
        <w:t>T</w:t>
      </w:r>
      <w:r w:rsidR="00407C9F">
        <w:rPr>
          <w:lang w:val="en-GB"/>
        </w:rPr>
        <w:t>he duration of continued treatment effect after implementation of a stopping rule is an area of uncertainty for all immunotherapies</w:t>
      </w:r>
      <w:r w:rsidR="007D5349">
        <w:rPr>
          <w:lang w:val="en-GB"/>
        </w:rPr>
        <w:t xml:space="preserve">. </w:t>
      </w:r>
      <w:r w:rsidR="00233D87">
        <w:rPr>
          <w:lang w:val="en-GB"/>
        </w:rPr>
        <w:t>B</w:t>
      </w:r>
      <w:r w:rsidR="004F2B03">
        <w:rPr>
          <w:lang w:val="en-GB"/>
        </w:rPr>
        <w:t>efore this review</w:t>
      </w:r>
      <w:r w:rsidR="007D5349">
        <w:rPr>
          <w:lang w:val="en-GB"/>
        </w:rPr>
        <w:t>,</w:t>
      </w:r>
      <w:r w:rsidR="003C409B">
        <w:rPr>
          <w:lang w:val="en-GB"/>
        </w:rPr>
        <w:t xml:space="preserve"> there were no data from KEYNOTE</w:t>
      </w:r>
      <w:r w:rsidR="004F2B03">
        <w:rPr>
          <w:lang w:val="en-GB"/>
        </w:rPr>
        <w:noBreakHyphen/>
      </w:r>
      <w:r w:rsidR="003C409B">
        <w:rPr>
          <w:lang w:val="en-GB"/>
        </w:rPr>
        <w:t xml:space="preserve">045 on the </w:t>
      </w:r>
      <w:r w:rsidR="004F2B03">
        <w:rPr>
          <w:lang w:val="en-GB"/>
        </w:rPr>
        <w:t xml:space="preserve">effect </w:t>
      </w:r>
      <w:r w:rsidR="003C409B">
        <w:rPr>
          <w:lang w:val="en-GB"/>
        </w:rPr>
        <w:t>of implementing the stopping rule</w:t>
      </w:r>
      <w:r w:rsidR="00233D87">
        <w:rPr>
          <w:lang w:val="en-GB"/>
        </w:rPr>
        <w:t>.</w:t>
      </w:r>
      <w:r w:rsidR="003C409B">
        <w:rPr>
          <w:lang w:val="en-GB"/>
        </w:rPr>
        <w:t xml:space="preserve"> </w:t>
      </w:r>
      <w:r w:rsidR="00A11657">
        <w:rPr>
          <w:lang w:val="en-GB"/>
        </w:rPr>
        <w:t>In the original appraisal, t</w:t>
      </w:r>
      <w:r w:rsidR="007D5349">
        <w:rPr>
          <w:lang w:val="en-GB"/>
        </w:rPr>
        <w:t xml:space="preserve">he committee concluded </w:t>
      </w:r>
      <w:r w:rsidR="00BB431B">
        <w:rPr>
          <w:lang w:val="en-GB"/>
        </w:rPr>
        <w:t xml:space="preserve">that a lifetime treatment effect was implausible </w:t>
      </w:r>
      <w:r w:rsidR="003C409B">
        <w:rPr>
          <w:lang w:val="en-GB"/>
        </w:rPr>
        <w:t>because the longest follow</w:t>
      </w:r>
      <w:r w:rsidR="00EF0CA7">
        <w:rPr>
          <w:lang w:val="en-GB"/>
        </w:rPr>
        <w:t xml:space="preserve"> </w:t>
      </w:r>
      <w:r w:rsidR="003C409B">
        <w:rPr>
          <w:lang w:val="en-GB"/>
        </w:rPr>
        <w:t>up was only 20.8 months</w:t>
      </w:r>
      <w:r w:rsidR="007D5349">
        <w:rPr>
          <w:lang w:val="en-GB"/>
        </w:rPr>
        <w:t>.</w:t>
      </w:r>
      <w:r w:rsidR="00A11657" w:rsidRPr="00A11657">
        <w:rPr>
          <w:lang w:val="en-GB"/>
        </w:rPr>
        <w:t xml:space="preserve"> </w:t>
      </w:r>
      <w:r w:rsidR="00A11657">
        <w:rPr>
          <w:lang w:val="en-GB"/>
        </w:rPr>
        <w:t>W</w:t>
      </w:r>
      <w:r w:rsidR="00A11657" w:rsidRPr="00D6148E">
        <w:rPr>
          <w:lang w:val="en-GB"/>
        </w:rPr>
        <w:t xml:space="preserve">hile a small number of patients </w:t>
      </w:r>
      <w:r w:rsidR="00A11657">
        <w:rPr>
          <w:lang w:val="en-GB"/>
        </w:rPr>
        <w:t xml:space="preserve">could have </w:t>
      </w:r>
      <w:r w:rsidR="00A11657" w:rsidRPr="00D6148E">
        <w:rPr>
          <w:lang w:val="en-GB"/>
        </w:rPr>
        <w:t>‘immune memory’ after the 2</w:t>
      </w:r>
      <w:r w:rsidR="00A11657">
        <w:rPr>
          <w:lang w:val="en-GB"/>
        </w:rPr>
        <w:noBreakHyphen/>
      </w:r>
      <w:r w:rsidR="00A11657" w:rsidRPr="00D6148E">
        <w:rPr>
          <w:lang w:val="en-GB"/>
        </w:rPr>
        <w:t>year stopping point for treatment with pembrolizumab, th</w:t>
      </w:r>
      <w:r w:rsidR="00A11657">
        <w:rPr>
          <w:lang w:val="en-GB"/>
        </w:rPr>
        <w:t>is</w:t>
      </w:r>
      <w:r w:rsidR="00A11657" w:rsidRPr="00D6148E">
        <w:rPr>
          <w:lang w:val="en-GB"/>
        </w:rPr>
        <w:t xml:space="preserve"> was uncertain. The clinical expert explained that the long-term impact of stopping immunotherapy at 2</w:t>
      </w:r>
      <w:r w:rsidR="00A11657">
        <w:rPr>
          <w:lang w:val="en-GB"/>
        </w:rPr>
        <w:t> </w:t>
      </w:r>
      <w:r w:rsidR="00A11657" w:rsidRPr="00D6148E">
        <w:rPr>
          <w:lang w:val="en-GB"/>
        </w:rPr>
        <w:t>years was still unknown in any disease.</w:t>
      </w:r>
    </w:p>
    <w:p w14:paraId="06FAC898" w14:textId="04B32F2B" w:rsidR="00A11657" w:rsidRDefault="00A11657" w:rsidP="00C26411">
      <w:pPr>
        <w:pStyle w:val="Heading3"/>
      </w:pPr>
      <w:r>
        <w:t>Evidence of treatment effect duration from other pembrolizumab trials is not appropriate for decision making</w:t>
      </w:r>
    </w:p>
    <w:p w14:paraId="23087C54" w14:textId="66A2C47A" w:rsidR="00A11657" w:rsidRDefault="00A11657" w:rsidP="00A11657">
      <w:pPr>
        <w:pStyle w:val="Numberedlevel2text"/>
        <w:numPr>
          <w:ilvl w:val="1"/>
          <w:numId w:val="4"/>
        </w:numPr>
        <w:rPr>
          <w:lang w:val="en-GB"/>
        </w:rPr>
      </w:pPr>
      <w:r w:rsidRPr="00A11657">
        <w:rPr>
          <w:lang w:val="en-GB"/>
        </w:rPr>
        <w:t>The company highlighted that data supporting a long-term survival benefit was available across the pembrolizumab clinical study program</w:t>
      </w:r>
      <w:r w:rsidR="006155FA">
        <w:rPr>
          <w:lang w:val="en-GB"/>
        </w:rPr>
        <w:t>me</w:t>
      </w:r>
      <w:r w:rsidRPr="00A11657">
        <w:rPr>
          <w:lang w:val="en-GB"/>
        </w:rPr>
        <w:t>, particularly from KEYNOTE</w:t>
      </w:r>
      <w:r w:rsidRPr="00A11657">
        <w:rPr>
          <w:lang w:val="en-GB"/>
        </w:rPr>
        <w:noBreakHyphen/>
        <w:t xml:space="preserve">001 (melanoma, non-small-cell lung cancer), </w:t>
      </w:r>
      <w:r w:rsidRPr="00A11657">
        <w:rPr>
          <w:lang w:val="en-GB"/>
        </w:rPr>
        <w:lastRenderedPageBreak/>
        <w:t>KEYNOTE</w:t>
      </w:r>
      <w:r w:rsidRPr="00A11657">
        <w:rPr>
          <w:lang w:val="en-GB"/>
        </w:rPr>
        <w:noBreakHyphen/>
        <w:t>006 (melanoma) and KEYNOTE</w:t>
      </w:r>
      <w:r w:rsidRPr="00A11657">
        <w:rPr>
          <w:lang w:val="en-GB"/>
        </w:rPr>
        <w:noBreakHyphen/>
        <w:t xml:space="preserve">024 (non-small-cell lung cancer). The committee was aware that melanoma and non-small-cell lung cancer trials for pembrolizumab had </w:t>
      </w:r>
      <w:r w:rsidR="00886D66">
        <w:rPr>
          <w:lang w:val="en-GB"/>
        </w:rPr>
        <w:t xml:space="preserve">some of the </w:t>
      </w:r>
      <w:r w:rsidRPr="00A11657">
        <w:rPr>
          <w:lang w:val="en-GB"/>
        </w:rPr>
        <w:t>strong</w:t>
      </w:r>
      <w:r w:rsidR="00886D66">
        <w:rPr>
          <w:lang w:val="en-GB"/>
        </w:rPr>
        <w:t>est</w:t>
      </w:r>
      <w:r w:rsidRPr="00A11657">
        <w:rPr>
          <w:lang w:val="en-GB"/>
        </w:rPr>
        <w:t xml:space="preserve"> evidence for a sustained response in a small number of patients</w:t>
      </w:r>
      <w:r w:rsidR="00623D04">
        <w:rPr>
          <w:lang w:val="en-GB"/>
        </w:rPr>
        <w:t>. However, it</w:t>
      </w:r>
      <w:r w:rsidRPr="00A11657">
        <w:rPr>
          <w:lang w:val="en-GB"/>
        </w:rPr>
        <w:t xml:space="preserve"> </w:t>
      </w:r>
      <w:r w:rsidR="00886D66">
        <w:rPr>
          <w:lang w:val="en-GB"/>
        </w:rPr>
        <w:t xml:space="preserve">recognised that </w:t>
      </w:r>
      <w:r w:rsidR="00B26C79" w:rsidRPr="00B26C79">
        <w:rPr>
          <w:lang w:val="en-GB"/>
        </w:rPr>
        <w:t xml:space="preserve">the evidence suggests that treatment effect </w:t>
      </w:r>
      <w:r w:rsidRPr="00A11657">
        <w:rPr>
          <w:lang w:val="en-GB"/>
        </w:rPr>
        <w:t>duration</w:t>
      </w:r>
      <w:r w:rsidR="00886D66">
        <w:rPr>
          <w:lang w:val="en-GB"/>
        </w:rPr>
        <w:t xml:space="preserve"> var</w:t>
      </w:r>
      <w:r w:rsidR="003E3CBF">
        <w:rPr>
          <w:lang w:val="en-GB"/>
        </w:rPr>
        <w:t>ies</w:t>
      </w:r>
      <w:r w:rsidR="00886D66">
        <w:rPr>
          <w:lang w:val="en-GB"/>
        </w:rPr>
        <w:t xml:space="preserve"> </w:t>
      </w:r>
      <w:r w:rsidRPr="00A11657">
        <w:rPr>
          <w:lang w:val="en-GB"/>
        </w:rPr>
        <w:t>in different types of cancers. It therefore agreed that the results from those trials were not generalisable to urothelial carcinoma.</w:t>
      </w:r>
    </w:p>
    <w:p w14:paraId="33491F86" w14:textId="2DCC703B" w:rsidR="00A11657" w:rsidRPr="00A11657" w:rsidRDefault="00A11657" w:rsidP="00C26411">
      <w:pPr>
        <w:pStyle w:val="Heading3"/>
      </w:pPr>
      <w:r w:rsidRPr="00D6148E">
        <w:t>A 3-year duration of treatment effect from start of pembrolizumab treatment is appropriate</w:t>
      </w:r>
    </w:p>
    <w:p w14:paraId="34033593" w14:textId="2EA5E75A" w:rsidR="007E1B7F" w:rsidRPr="00D6148E" w:rsidRDefault="008C06F6" w:rsidP="00867374">
      <w:pPr>
        <w:pStyle w:val="Numberedlevel2text"/>
        <w:numPr>
          <w:ilvl w:val="1"/>
          <w:numId w:val="4"/>
        </w:numPr>
        <w:rPr>
          <w:lang w:val="en-GB"/>
        </w:rPr>
      </w:pPr>
      <w:r>
        <w:rPr>
          <w:lang w:val="en-GB"/>
        </w:rPr>
        <w:t>F</w:t>
      </w:r>
      <w:r w:rsidR="007D5349">
        <w:rPr>
          <w:lang w:val="en-GB"/>
        </w:rPr>
        <w:t xml:space="preserve">or this </w:t>
      </w:r>
      <w:r w:rsidR="00CA23CE">
        <w:rPr>
          <w:lang w:val="en-GB"/>
        </w:rPr>
        <w:t>review</w:t>
      </w:r>
      <w:r w:rsidR="00BB431B">
        <w:rPr>
          <w:lang w:val="en-GB"/>
        </w:rPr>
        <w:t xml:space="preserve">, </w:t>
      </w:r>
      <w:r w:rsidR="007D5349">
        <w:rPr>
          <w:lang w:val="en-GB"/>
        </w:rPr>
        <w:t xml:space="preserve">the company </w:t>
      </w:r>
      <w:r w:rsidR="005206D2">
        <w:rPr>
          <w:lang w:val="en-GB"/>
        </w:rPr>
        <w:t>u</w:t>
      </w:r>
      <w:bookmarkStart w:id="19" w:name="_Ref22909373"/>
      <w:bookmarkEnd w:id="17"/>
      <w:bookmarkEnd w:id="18"/>
      <w:r w:rsidR="00ED6E1D" w:rsidRPr="00D6148E">
        <w:rPr>
          <w:lang w:val="en-GB"/>
        </w:rPr>
        <w:t>sed a 5</w:t>
      </w:r>
      <w:r>
        <w:rPr>
          <w:lang w:val="en-GB"/>
        </w:rPr>
        <w:noBreakHyphen/>
      </w:r>
      <w:r w:rsidR="00ED6E1D" w:rsidRPr="00D6148E">
        <w:rPr>
          <w:lang w:val="en-GB"/>
        </w:rPr>
        <w:t xml:space="preserve">year treatment effect duration from the start of treatment with pembrolizumab in </w:t>
      </w:r>
      <w:r w:rsidR="00BB431B" w:rsidRPr="00D6148E">
        <w:rPr>
          <w:lang w:val="en-GB"/>
        </w:rPr>
        <w:t xml:space="preserve">its </w:t>
      </w:r>
      <w:r w:rsidR="00ED6E1D" w:rsidRPr="00D6148E">
        <w:rPr>
          <w:lang w:val="en-GB"/>
        </w:rPr>
        <w:t>base case</w:t>
      </w:r>
      <w:r w:rsidR="00BB5D38" w:rsidRPr="00D6148E">
        <w:rPr>
          <w:lang w:val="en-GB"/>
        </w:rPr>
        <w:t>, and 3</w:t>
      </w:r>
      <w:r w:rsidR="001D48EB">
        <w:rPr>
          <w:lang w:val="en-GB"/>
        </w:rPr>
        <w:t> </w:t>
      </w:r>
      <w:r w:rsidR="005206D2">
        <w:rPr>
          <w:lang w:val="en-GB"/>
        </w:rPr>
        <w:t xml:space="preserve">years </w:t>
      </w:r>
      <w:r w:rsidR="00BB5D38" w:rsidRPr="00D6148E">
        <w:rPr>
          <w:lang w:val="en-GB"/>
        </w:rPr>
        <w:t>and 10</w:t>
      </w:r>
      <w:r w:rsidR="001D48EB">
        <w:rPr>
          <w:lang w:val="en-GB"/>
        </w:rPr>
        <w:t> </w:t>
      </w:r>
      <w:r w:rsidR="00BB5D38" w:rsidRPr="00D6148E">
        <w:rPr>
          <w:lang w:val="en-GB"/>
        </w:rPr>
        <w:t>years of treatment effect from the start of treatment in its scenario</w:t>
      </w:r>
      <w:r w:rsidR="00346D75" w:rsidRPr="00D6148E">
        <w:rPr>
          <w:lang w:val="en-GB"/>
        </w:rPr>
        <w:t xml:space="preserve"> analyses. </w:t>
      </w:r>
      <w:r w:rsidR="00A302D4">
        <w:rPr>
          <w:lang w:val="en-GB"/>
        </w:rPr>
        <w:t>It</w:t>
      </w:r>
      <w:r w:rsidR="005206D2">
        <w:rPr>
          <w:lang w:val="en-GB"/>
        </w:rPr>
        <w:t xml:space="preserve"> </w:t>
      </w:r>
      <w:r w:rsidR="003602A4" w:rsidRPr="00D6148E">
        <w:rPr>
          <w:lang w:val="en-GB"/>
        </w:rPr>
        <w:t xml:space="preserve">supported </w:t>
      </w:r>
      <w:r w:rsidR="00346D75" w:rsidRPr="00D6148E">
        <w:rPr>
          <w:lang w:val="en-GB"/>
        </w:rPr>
        <w:t xml:space="preserve">its </w:t>
      </w:r>
      <w:r w:rsidR="003602A4" w:rsidRPr="00D6148E">
        <w:rPr>
          <w:lang w:val="en-GB"/>
        </w:rPr>
        <w:t>choice</w:t>
      </w:r>
      <w:r w:rsidR="00346D75" w:rsidRPr="00D6148E">
        <w:rPr>
          <w:lang w:val="en-GB"/>
        </w:rPr>
        <w:t xml:space="preserve"> of a 5</w:t>
      </w:r>
      <w:r w:rsidR="000257D6">
        <w:rPr>
          <w:lang w:val="en-GB"/>
        </w:rPr>
        <w:noBreakHyphen/>
      </w:r>
      <w:r w:rsidR="00346D75" w:rsidRPr="00D6148E">
        <w:rPr>
          <w:lang w:val="en-GB"/>
        </w:rPr>
        <w:t xml:space="preserve">year treatment effect duration in its base case </w:t>
      </w:r>
      <w:r w:rsidR="00260F97" w:rsidRPr="00D6148E">
        <w:rPr>
          <w:lang w:val="en-GB"/>
        </w:rPr>
        <w:t xml:space="preserve">by </w:t>
      </w:r>
      <w:r w:rsidR="00B25A76">
        <w:rPr>
          <w:lang w:val="en-GB"/>
        </w:rPr>
        <w:t>showing</w:t>
      </w:r>
      <w:r w:rsidR="00B25A76" w:rsidRPr="00D6148E">
        <w:rPr>
          <w:lang w:val="en-GB"/>
        </w:rPr>
        <w:t xml:space="preserve"> </w:t>
      </w:r>
      <w:r w:rsidR="00260F97" w:rsidRPr="00D6148E">
        <w:rPr>
          <w:lang w:val="en-GB"/>
        </w:rPr>
        <w:t xml:space="preserve">that the hazard ratio for pembrolizumab </w:t>
      </w:r>
      <w:r w:rsidR="00BB431B" w:rsidRPr="00D6148E">
        <w:rPr>
          <w:lang w:val="en-GB"/>
        </w:rPr>
        <w:t xml:space="preserve">compared with </w:t>
      </w:r>
      <w:r w:rsidR="00B25A76">
        <w:rPr>
          <w:lang w:val="en-GB"/>
        </w:rPr>
        <w:t xml:space="preserve">the </w:t>
      </w:r>
      <w:r w:rsidR="00260F97" w:rsidRPr="00D6148E">
        <w:rPr>
          <w:lang w:val="en-GB"/>
        </w:rPr>
        <w:t>UK SoC</w:t>
      </w:r>
      <w:r w:rsidR="00B25A76">
        <w:rPr>
          <w:lang w:val="en-GB"/>
        </w:rPr>
        <w:t xml:space="preserve"> arm</w:t>
      </w:r>
      <w:r w:rsidR="00260F97" w:rsidRPr="00D6148E">
        <w:rPr>
          <w:lang w:val="en-GB"/>
        </w:rPr>
        <w:t xml:space="preserve"> (</w:t>
      </w:r>
      <w:r w:rsidR="00BB431B" w:rsidRPr="00D6148E">
        <w:rPr>
          <w:lang w:val="en-GB"/>
        </w:rPr>
        <w:t xml:space="preserve">using its preferred </w:t>
      </w:r>
      <w:r w:rsidR="00260F97" w:rsidRPr="00D6148E">
        <w:rPr>
          <w:lang w:val="en-GB"/>
        </w:rPr>
        <w:t>2</w:t>
      </w:r>
      <w:r w:rsidR="008C3966">
        <w:rPr>
          <w:lang w:val="en-GB"/>
        </w:rPr>
        <w:noBreakHyphen/>
      </w:r>
      <w:r w:rsidR="00260F97" w:rsidRPr="00D6148E">
        <w:rPr>
          <w:lang w:val="en-GB"/>
        </w:rPr>
        <w:t>stage adjust</w:t>
      </w:r>
      <w:r w:rsidR="00BB431B" w:rsidRPr="00D6148E">
        <w:rPr>
          <w:lang w:val="en-GB"/>
        </w:rPr>
        <w:t>ment</w:t>
      </w:r>
      <w:r w:rsidR="002D1442" w:rsidRPr="00D6148E">
        <w:rPr>
          <w:lang w:val="en-GB"/>
        </w:rPr>
        <w:t>, see section</w:t>
      </w:r>
      <w:r w:rsidR="00A26092">
        <w:rPr>
          <w:lang w:val="en-GB"/>
        </w:rPr>
        <w:t> </w:t>
      </w:r>
      <w:r w:rsidR="00867374">
        <w:rPr>
          <w:lang w:val="en-GB"/>
        </w:rPr>
        <w:fldChar w:fldCharType="begin"/>
      </w:r>
      <w:r w:rsidR="00867374">
        <w:rPr>
          <w:lang w:val="en-GB"/>
        </w:rPr>
        <w:instrText xml:space="preserve"> REF _Ref22907642 \r \h </w:instrText>
      </w:r>
      <w:r w:rsidR="00867374">
        <w:rPr>
          <w:lang w:val="en-GB"/>
        </w:rPr>
      </w:r>
      <w:r w:rsidR="00867374">
        <w:rPr>
          <w:lang w:val="en-GB"/>
        </w:rPr>
        <w:fldChar w:fldCharType="separate"/>
      </w:r>
      <w:r w:rsidR="00DA285A">
        <w:rPr>
          <w:lang w:val="en-GB"/>
        </w:rPr>
        <w:t>3.4</w:t>
      </w:r>
      <w:r w:rsidR="00867374">
        <w:rPr>
          <w:lang w:val="en-GB"/>
        </w:rPr>
        <w:fldChar w:fldCharType="end"/>
      </w:r>
      <w:r w:rsidR="002D1442" w:rsidRPr="00D6148E">
        <w:rPr>
          <w:lang w:val="en-GB"/>
        </w:rPr>
        <w:t>)</w:t>
      </w:r>
      <w:r w:rsidR="00260F97" w:rsidRPr="00D6148E">
        <w:rPr>
          <w:lang w:val="en-GB"/>
        </w:rPr>
        <w:t xml:space="preserve"> ha</w:t>
      </w:r>
      <w:r w:rsidR="00BB431B" w:rsidRPr="00D6148E">
        <w:rPr>
          <w:lang w:val="en-GB"/>
        </w:rPr>
        <w:t>d</w:t>
      </w:r>
      <w:r w:rsidR="00260F97" w:rsidRPr="00D6148E">
        <w:rPr>
          <w:lang w:val="en-GB"/>
        </w:rPr>
        <w:t xml:space="preserve"> improved with additional follow-up data (median 40.9</w:t>
      </w:r>
      <w:r w:rsidR="00A26092">
        <w:rPr>
          <w:lang w:val="en-GB"/>
        </w:rPr>
        <w:t> </w:t>
      </w:r>
      <w:r w:rsidR="00260F97" w:rsidRPr="00D6148E">
        <w:rPr>
          <w:lang w:val="en-GB"/>
        </w:rPr>
        <w:t>months, range 36.6</w:t>
      </w:r>
      <w:r w:rsidR="00A26092">
        <w:rPr>
          <w:lang w:val="en-GB"/>
        </w:rPr>
        <w:t xml:space="preserve"> to </w:t>
      </w:r>
      <w:r w:rsidR="00260F97" w:rsidRPr="00D6148E">
        <w:rPr>
          <w:lang w:val="en-GB"/>
        </w:rPr>
        <w:t>48.9</w:t>
      </w:r>
      <w:r w:rsidR="00A26092">
        <w:rPr>
          <w:lang w:val="en-GB"/>
        </w:rPr>
        <w:t> </w:t>
      </w:r>
      <w:r w:rsidR="00260F97" w:rsidRPr="00D6148E">
        <w:rPr>
          <w:lang w:val="en-GB"/>
        </w:rPr>
        <w:t>months</w:t>
      </w:r>
      <w:r w:rsidR="00841D7B">
        <w:rPr>
          <w:lang w:val="en-GB"/>
        </w:rPr>
        <w:t>). T</w:t>
      </w:r>
      <w:r w:rsidR="00260F97" w:rsidRPr="00D6148E">
        <w:rPr>
          <w:lang w:val="en-GB"/>
        </w:rPr>
        <w:t xml:space="preserve">he comparison </w:t>
      </w:r>
      <w:r w:rsidR="00382844" w:rsidRPr="00D6148E">
        <w:rPr>
          <w:lang w:val="en-GB"/>
        </w:rPr>
        <w:t>with the data</w:t>
      </w:r>
      <w:r w:rsidR="00451EF9">
        <w:rPr>
          <w:lang w:val="en-GB"/>
        </w:rPr>
        <w:t xml:space="preserve"> from the original</w:t>
      </w:r>
      <w:r w:rsidR="00382844" w:rsidRPr="00D6148E">
        <w:rPr>
          <w:lang w:val="en-GB"/>
        </w:rPr>
        <w:t xml:space="preserve"> appraisal </w:t>
      </w:r>
      <w:r w:rsidR="00260F97" w:rsidRPr="00D6148E">
        <w:rPr>
          <w:lang w:val="en-GB"/>
        </w:rPr>
        <w:t>can</w:t>
      </w:r>
      <w:r w:rsidR="00382844" w:rsidRPr="00D6148E">
        <w:rPr>
          <w:lang w:val="en-GB"/>
        </w:rPr>
        <w:t xml:space="preserve">not </w:t>
      </w:r>
      <w:r w:rsidR="0082739E">
        <w:rPr>
          <w:lang w:val="en-GB"/>
        </w:rPr>
        <w:t>b</w:t>
      </w:r>
      <w:r w:rsidR="00260F97" w:rsidRPr="00D6148E">
        <w:rPr>
          <w:lang w:val="en-GB"/>
        </w:rPr>
        <w:t xml:space="preserve">e shown here as the hazard ratio is academic in confidence. The company explained that this trend </w:t>
      </w:r>
      <w:r w:rsidR="002D1442" w:rsidRPr="00D6148E">
        <w:rPr>
          <w:lang w:val="en-GB"/>
        </w:rPr>
        <w:t xml:space="preserve">was </w:t>
      </w:r>
      <w:r w:rsidR="00994107">
        <w:rPr>
          <w:lang w:val="en-GB"/>
        </w:rPr>
        <w:t>seen</w:t>
      </w:r>
      <w:r w:rsidR="00260F97" w:rsidRPr="00D6148E">
        <w:rPr>
          <w:lang w:val="en-GB"/>
        </w:rPr>
        <w:t xml:space="preserve"> with </w:t>
      </w:r>
      <w:r w:rsidR="00FB07D1">
        <w:rPr>
          <w:lang w:val="en-GB"/>
        </w:rPr>
        <w:t xml:space="preserve">the </w:t>
      </w:r>
      <w:r w:rsidR="00260F97" w:rsidRPr="00D6148E">
        <w:rPr>
          <w:lang w:val="en-GB"/>
        </w:rPr>
        <w:t xml:space="preserve">full </w:t>
      </w:r>
      <w:r w:rsidR="002D1442" w:rsidRPr="00D6148E">
        <w:rPr>
          <w:lang w:val="en-GB"/>
        </w:rPr>
        <w:t xml:space="preserve">trial population in the comparator arm of </w:t>
      </w:r>
      <w:r w:rsidR="00260F97" w:rsidRPr="00D6148E">
        <w:rPr>
          <w:lang w:val="en-GB"/>
        </w:rPr>
        <w:t>KEYNOTE</w:t>
      </w:r>
      <w:r w:rsidR="00563F98">
        <w:rPr>
          <w:lang w:val="en-GB"/>
        </w:rPr>
        <w:noBreakHyphen/>
      </w:r>
      <w:r w:rsidR="00260F97" w:rsidRPr="00D6148E">
        <w:rPr>
          <w:lang w:val="en-GB"/>
        </w:rPr>
        <w:t>045 and when data for the UK SoC arm</w:t>
      </w:r>
      <w:r w:rsidR="002D1442" w:rsidRPr="00D6148E">
        <w:rPr>
          <w:lang w:val="en-GB"/>
        </w:rPr>
        <w:t xml:space="preserve"> </w:t>
      </w:r>
      <w:r w:rsidR="00563F98">
        <w:rPr>
          <w:lang w:val="en-GB"/>
        </w:rPr>
        <w:t>(</w:t>
      </w:r>
      <w:r w:rsidR="002D1442" w:rsidRPr="00D6148E">
        <w:rPr>
          <w:lang w:val="en-GB"/>
        </w:rPr>
        <w:t>unadjusted for treatment switching</w:t>
      </w:r>
      <w:r w:rsidR="00563F98">
        <w:rPr>
          <w:lang w:val="en-GB"/>
        </w:rPr>
        <w:t>)</w:t>
      </w:r>
      <w:r w:rsidR="00260F97" w:rsidRPr="00D6148E">
        <w:rPr>
          <w:lang w:val="en-GB"/>
        </w:rPr>
        <w:t xml:space="preserve"> </w:t>
      </w:r>
      <w:r w:rsidR="002D1442" w:rsidRPr="00D6148E">
        <w:rPr>
          <w:lang w:val="en-GB"/>
        </w:rPr>
        <w:t xml:space="preserve">was </w:t>
      </w:r>
      <w:r w:rsidR="00260F97" w:rsidRPr="00D6148E">
        <w:rPr>
          <w:lang w:val="en-GB"/>
        </w:rPr>
        <w:t>used. The</w:t>
      </w:r>
      <w:r w:rsidR="002D1442" w:rsidRPr="00D6148E">
        <w:rPr>
          <w:lang w:val="en-GB"/>
        </w:rPr>
        <w:t xml:space="preserve"> company considered </w:t>
      </w:r>
      <w:r w:rsidR="00260F97" w:rsidRPr="00D6148E">
        <w:rPr>
          <w:lang w:val="en-GB"/>
        </w:rPr>
        <w:t>that a 2</w:t>
      </w:r>
      <w:r w:rsidR="00CC3491">
        <w:rPr>
          <w:lang w:val="en-GB"/>
        </w:rPr>
        <w:noBreakHyphen/>
      </w:r>
      <w:r w:rsidR="00260F97" w:rsidRPr="00D6148E">
        <w:rPr>
          <w:lang w:val="en-GB"/>
        </w:rPr>
        <w:t xml:space="preserve">year or </w:t>
      </w:r>
      <w:r w:rsidR="0082739E">
        <w:rPr>
          <w:lang w:val="en-GB"/>
        </w:rPr>
        <w:t>3</w:t>
      </w:r>
      <w:r w:rsidR="00CC3491">
        <w:rPr>
          <w:lang w:val="en-GB"/>
        </w:rPr>
        <w:noBreakHyphen/>
      </w:r>
      <w:r w:rsidR="00260F97" w:rsidRPr="00D6148E">
        <w:rPr>
          <w:lang w:val="en-GB"/>
        </w:rPr>
        <w:t>year cap on the duration of treatment effect from the start of treatment w</w:t>
      </w:r>
      <w:r w:rsidR="002D1442" w:rsidRPr="00D6148E">
        <w:rPr>
          <w:lang w:val="en-GB"/>
        </w:rPr>
        <w:t>as</w:t>
      </w:r>
      <w:r w:rsidR="00260F97" w:rsidRPr="00D6148E">
        <w:rPr>
          <w:lang w:val="en-GB"/>
        </w:rPr>
        <w:t xml:space="preserve"> inappropriate</w:t>
      </w:r>
      <w:r w:rsidR="008824A6">
        <w:rPr>
          <w:lang w:val="en-GB"/>
        </w:rPr>
        <w:t>. This was because</w:t>
      </w:r>
      <w:r w:rsidR="00260F97" w:rsidRPr="00D6148E">
        <w:rPr>
          <w:lang w:val="en-GB"/>
        </w:rPr>
        <w:t xml:space="preserve"> any longer-term benefit of pembrolizumab would not be taken into consideration, and extrapolation in the pembrolizumab arm d</w:t>
      </w:r>
      <w:r w:rsidR="002D1442" w:rsidRPr="00D6148E">
        <w:rPr>
          <w:lang w:val="en-GB"/>
        </w:rPr>
        <w:t xml:space="preserve">id not </w:t>
      </w:r>
      <w:r w:rsidR="00260F97" w:rsidRPr="00D6148E">
        <w:rPr>
          <w:lang w:val="en-GB"/>
        </w:rPr>
        <w:t>fi</w:t>
      </w:r>
      <w:r w:rsidR="0082739E">
        <w:rPr>
          <w:lang w:val="en-GB"/>
        </w:rPr>
        <w:t>t</w:t>
      </w:r>
      <w:r w:rsidR="00260F97" w:rsidRPr="00D6148E">
        <w:rPr>
          <w:lang w:val="en-GB"/>
        </w:rPr>
        <w:t xml:space="preserve"> well to the Kaplan</w:t>
      </w:r>
      <w:r w:rsidR="008824A6">
        <w:rPr>
          <w:rFonts w:cs="Arial"/>
          <w:lang w:val="en-GB"/>
        </w:rPr>
        <w:t>−</w:t>
      </w:r>
      <w:r w:rsidR="00260F97" w:rsidRPr="00D6148E">
        <w:rPr>
          <w:lang w:val="en-GB"/>
        </w:rPr>
        <w:t>Meier overall survival data from the November 2018 data cut</w:t>
      </w:r>
      <w:r w:rsidR="00681A9C">
        <w:rPr>
          <w:rFonts w:cs="Arial"/>
        </w:rPr>
        <w:t>-</w:t>
      </w:r>
      <w:r w:rsidR="002D1442" w:rsidRPr="00D6148E">
        <w:rPr>
          <w:lang w:val="en-GB"/>
        </w:rPr>
        <w:t>off</w:t>
      </w:r>
      <w:r w:rsidR="00260F97" w:rsidRPr="00D6148E">
        <w:rPr>
          <w:lang w:val="en-GB"/>
        </w:rPr>
        <w:t xml:space="preserve">. The ERG suggested that the improved hazard ratio for </w:t>
      </w:r>
      <w:r w:rsidR="002D1442" w:rsidRPr="00D6148E">
        <w:rPr>
          <w:lang w:val="en-GB"/>
        </w:rPr>
        <w:t xml:space="preserve">overall survival for </w:t>
      </w:r>
      <w:r w:rsidR="00260F97" w:rsidRPr="00D6148E">
        <w:rPr>
          <w:lang w:val="en-GB"/>
        </w:rPr>
        <w:t xml:space="preserve">pembrolizumab with </w:t>
      </w:r>
      <w:r w:rsidR="002D1442" w:rsidRPr="00D6148E">
        <w:rPr>
          <w:lang w:val="en-GB"/>
        </w:rPr>
        <w:t xml:space="preserve">the </w:t>
      </w:r>
      <w:r w:rsidR="00260F97" w:rsidRPr="00D6148E">
        <w:rPr>
          <w:lang w:val="en-GB"/>
        </w:rPr>
        <w:t>extended follow</w:t>
      </w:r>
      <w:r w:rsidR="00157AA8">
        <w:rPr>
          <w:lang w:val="en-GB"/>
        </w:rPr>
        <w:t xml:space="preserve"> </w:t>
      </w:r>
      <w:r w:rsidR="00260F97" w:rsidRPr="00D6148E">
        <w:rPr>
          <w:lang w:val="en-GB"/>
        </w:rPr>
        <w:t xml:space="preserve">up </w:t>
      </w:r>
      <w:r w:rsidR="00BC76D3">
        <w:rPr>
          <w:lang w:val="en-GB"/>
        </w:rPr>
        <w:t>could be</w:t>
      </w:r>
      <w:r w:rsidR="00260F97" w:rsidRPr="00D6148E">
        <w:rPr>
          <w:lang w:val="en-GB"/>
        </w:rPr>
        <w:t xml:space="preserve"> explained by </w:t>
      </w:r>
      <w:r w:rsidR="00132695" w:rsidRPr="00D6148E">
        <w:rPr>
          <w:lang w:val="en-GB"/>
        </w:rPr>
        <w:t xml:space="preserve">greater data completeness (patients in the trial </w:t>
      </w:r>
      <w:r w:rsidR="00BA7C07">
        <w:rPr>
          <w:lang w:val="en-GB"/>
        </w:rPr>
        <w:t>progressing</w:t>
      </w:r>
      <w:r w:rsidR="00132695" w:rsidRPr="00D6148E">
        <w:rPr>
          <w:lang w:val="en-GB"/>
        </w:rPr>
        <w:t xml:space="preserve"> or dying in the longer follow-up period). The ERG </w:t>
      </w:r>
      <w:r w:rsidR="004649AE" w:rsidRPr="00D6148E">
        <w:rPr>
          <w:lang w:val="en-GB"/>
        </w:rPr>
        <w:t xml:space="preserve">preferred to </w:t>
      </w:r>
      <w:r w:rsidR="00132695" w:rsidRPr="00D6148E">
        <w:rPr>
          <w:lang w:val="en-GB"/>
        </w:rPr>
        <w:t>use</w:t>
      </w:r>
      <w:r w:rsidR="004649AE" w:rsidRPr="00D6148E">
        <w:rPr>
          <w:lang w:val="en-GB"/>
        </w:rPr>
        <w:t xml:space="preserve"> </w:t>
      </w:r>
      <w:r w:rsidR="00132695" w:rsidRPr="00D6148E">
        <w:rPr>
          <w:lang w:val="en-GB"/>
        </w:rPr>
        <w:t xml:space="preserve">a </w:t>
      </w:r>
      <w:r w:rsidR="00132695" w:rsidRPr="00D6148E">
        <w:rPr>
          <w:lang w:val="en-GB"/>
        </w:rPr>
        <w:lastRenderedPageBreak/>
        <w:t>3</w:t>
      </w:r>
      <w:r w:rsidR="00FB7E33">
        <w:rPr>
          <w:lang w:val="en-GB"/>
        </w:rPr>
        <w:noBreakHyphen/>
      </w:r>
      <w:r w:rsidR="00132695" w:rsidRPr="00D6148E">
        <w:rPr>
          <w:lang w:val="en-GB"/>
        </w:rPr>
        <w:t xml:space="preserve">year duration of treatment effect in </w:t>
      </w:r>
      <w:r w:rsidR="002D1442" w:rsidRPr="00D6148E">
        <w:rPr>
          <w:lang w:val="en-GB"/>
        </w:rPr>
        <w:t xml:space="preserve">its </w:t>
      </w:r>
      <w:r w:rsidR="004649AE" w:rsidRPr="00D6148E">
        <w:rPr>
          <w:lang w:val="en-GB"/>
        </w:rPr>
        <w:t xml:space="preserve">exploratory </w:t>
      </w:r>
      <w:r w:rsidR="00132695" w:rsidRPr="00D6148E">
        <w:rPr>
          <w:lang w:val="en-GB"/>
        </w:rPr>
        <w:t xml:space="preserve">base case, </w:t>
      </w:r>
      <w:r w:rsidR="00BB307E">
        <w:rPr>
          <w:lang w:val="en-GB"/>
        </w:rPr>
        <w:t>because</w:t>
      </w:r>
      <w:r w:rsidR="00132695" w:rsidRPr="00D6148E">
        <w:rPr>
          <w:lang w:val="en-GB"/>
        </w:rPr>
        <w:t xml:space="preserve"> </w:t>
      </w:r>
      <w:r w:rsidR="004649AE" w:rsidRPr="00D6148E">
        <w:rPr>
          <w:lang w:val="en-GB"/>
        </w:rPr>
        <w:t xml:space="preserve">it </w:t>
      </w:r>
      <w:r w:rsidR="00132695" w:rsidRPr="00D6148E">
        <w:rPr>
          <w:lang w:val="en-GB"/>
        </w:rPr>
        <w:t>thought there was reasonably robust evidence of an effect up until 2</w:t>
      </w:r>
      <w:r w:rsidR="009222E8" w:rsidRPr="00D6148E">
        <w:rPr>
          <w:lang w:val="en-GB"/>
        </w:rPr>
        <w:t> </w:t>
      </w:r>
      <w:r w:rsidR="00132695" w:rsidRPr="00D6148E">
        <w:rPr>
          <w:lang w:val="en-GB"/>
        </w:rPr>
        <w:t>years from starting treatment, but limited support for an effect beyond 3</w:t>
      </w:r>
      <w:r w:rsidR="009222E8" w:rsidRPr="00D6148E">
        <w:rPr>
          <w:lang w:val="en-GB"/>
        </w:rPr>
        <w:t> </w:t>
      </w:r>
      <w:r w:rsidR="00132695" w:rsidRPr="00D6148E">
        <w:rPr>
          <w:lang w:val="en-GB"/>
        </w:rPr>
        <w:t xml:space="preserve">years. </w:t>
      </w:r>
      <w:r w:rsidR="00BA5E33" w:rsidRPr="00D6148E">
        <w:rPr>
          <w:lang w:val="en-GB"/>
        </w:rPr>
        <w:t xml:space="preserve">Although </w:t>
      </w:r>
      <w:r w:rsidR="0082739E">
        <w:rPr>
          <w:lang w:val="en-GB"/>
        </w:rPr>
        <w:t xml:space="preserve">the </w:t>
      </w:r>
      <w:r w:rsidR="00132695" w:rsidRPr="00D6148E">
        <w:rPr>
          <w:lang w:val="en-GB"/>
        </w:rPr>
        <w:t xml:space="preserve">ERG </w:t>
      </w:r>
      <w:r w:rsidR="00BA5E33" w:rsidRPr="00D6148E">
        <w:rPr>
          <w:lang w:val="en-GB"/>
        </w:rPr>
        <w:t xml:space="preserve">accepted that </w:t>
      </w:r>
      <w:r w:rsidR="00132695" w:rsidRPr="00D6148E">
        <w:rPr>
          <w:lang w:val="en-GB"/>
        </w:rPr>
        <w:t xml:space="preserve">there was some evidence of sustained response for pembrolizumab, </w:t>
      </w:r>
      <w:r w:rsidR="004649AE" w:rsidRPr="00D6148E">
        <w:rPr>
          <w:lang w:val="en-GB"/>
        </w:rPr>
        <w:t xml:space="preserve">it </w:t>
      </w:r>
      <w:r w:rsidR="00BA5E33" w:rsidRPr="00D6148E">
        <w:rPr>
          <w:lang w:val="en-GB"/>
        </w:rPr>
        <w:t xml:space="preserve">also </w:t>
      </w:r>
      <w:r w:rsidR="00132695" w:rsidRPr="00D6148E">
        <w:rPr>
          <w:lang w:val="en-GB"/>
        </w:rPr>
        <w:t xml:space="preserve">considered that the same was true for </w:t>
      </w:r>
      <w:r w:rsidR="00B30FCC">
        <w:rPr>
          <w:lang w:val="en-GB"/>
        </w:rPr>
        <w:t xml:space="preserve">the </w:t>
      </w:r>
      <w:r w:rsidR="00132695" w:rsidRPr="00D6148E">
        <w:rPr>
          <w:lang w:val="en-GB"/>
        </w:rPr>
        <w:t>UK SoC</w:t>
      </w:r>
      <w:r w:rsidR="00B30FCC">
        <w:rPr>
          <w:lang w:val="en-GB"/>
        </w:rPr>
        <w:t xml:space="preserve"> arm</w:t>
      </w:r>
      <w:r w:rsidR="00132695" w:rsidRPr="00D6148E">
        <w:rPr>
          <w:lang w:val="en-GB"/>
        </w:rPr>
        <w:t>, with no evidence to suggest the hazard rate for long-term respon</w:t>
      </w:r>
      <w:r w:rsidR="009222E8" w:rsidRPr="00D6148E">
        <w:rPr>
          <w:lang w:val="en-GB"/>
        </w:rPr>
        <w:t>se</w:t>
      </w:r>
      <w:r w:rsidR="004649AE" w:rsidRPr="00D6148E">
        <w:rPr>
          <w:lang w:val="en-GB"/>
        </w:rPr>
        <w:t xml:space="preserve"> was </w:t>
      </w:r>
      <w:r w:rsidR="00132695" w:rsidRPr="00D6148E">
        <w:rPr>
          <w:lang w:val="en-GB"/>
        </w:rPr>
        <w:t>different across treatment arms after 2</w:t>
      </w:r>
      <w:r w:rsidR="009222E8" w:rsidRPr="00D6148E">
        <w:rPr>
          <w:lang w:val="en-GB"/>
        </w:rPr>
        <w:t> </w:t>
      </w:r>
      <w:r w:rsidR="00132695" w:rsidRPr="00D6148E">
        <w:rPr>
          <w:lang w:val="en-GB"/>
        </w:rPr>
        <w:t>years.</w:t>
      </w:r>
      <w:r w:rsidR="000F1C55" w:rsidRPr="00D6148E">
        <w:rPr>
          <w:lang w:val="en-GB"/>
        </w:rPr>
        <w:t xml:space="preserve"> </w:t>
      </w:r>
      <w:r w:rsidR="00F84F26" w:rsidRPr="00D6148E">
        <w:rPr>
          <w:lang w:val="en-GB"/>
        </w:rPr>
        <w:t xml:space="preserve">The clinical expert </w:t>
      </w:r>
      <w:r w:rsidR="006D2214">
        <w:rPr>
          <w:lang w:val="en-GB"/>
        </w:rPr>
        <w:t>advised</w:t>
      </w:r>
      <w:r w:rsidR="00867374">
        <w:rPr>
          <w:lang w:val="en-GB"/>
        </w:rPr>
        <w:t xml:space="preserve"> </w:t>
      </w:r>
      <w:r w:rsidR="00132695" w:rsidRPr="00D6148E">
        <w:rPr>
          <w:lang w:val="en-GB"/>
        </w:rPr>
        <w:t xml:space="preserve">that </w:t>
      </w:r>
      <w:r w:rsidR="00F84F26" w:rsidRPr="00D6148E">
        <w:rPr>
          <w:lang w:val="en-GB"/>
        </w:rPr>
        <w:t xml:space="preserve">the </w:t>
      </w:r>
      <w:r w:rsidR="009222E8" w:rsidRPr="00D6148E">
        <w:rPr>
          <w:lang w:val="en-GB"/>
        </w:rPr>
        <w:t xml:space="preserve">sustained response from pembrolizumab was greater than that for </w:t>
      </w:r>
      <w:r w:rsidR="00522DCC">
        <w:rPr>
          <w:lang w:val="en-GB"/>
        </w:rPr>
        <w:t xml:space="preserve">the </w:t>
      </w:r>
      <w:r w:rsidR="009222E8" w:rsidRPr="00D6148E">
        <w:rPr>
          <w:lang w:val="en-GB"/>
        </w:rPr>
        <w:t>UK SoC</w:t>
      </w:r>
      <w:r w:rsidR="00522DCC">
        <w:rPr>
          <w:lang w:val="en-GB"/>
        </w:rPr>
        <w:t xml:space="preserve"> arm</w:t>
      </w:r>
      <w:r w:rsidR="009222E8" w:rsidRPr="00D6148E">
        <w:rPr>
          <w:lang w:val="en-GB"/>
        </w:rPr>
        <w:t xml:space="preserve">. </w:t>
      </w:r>
      <w:r w:rsidR="00F56E90">
        <w:rPr>
          <w:lang w:val="en-GB"/>
        </w:rPr>
        <w:t>They stated</w:t>
      </w:r>
      <w:r w:rsidR="00A95DF4" w:rsidRPr="00D6148E">
        <w:rPr>
          <w:lang w:val="en-GB"/>
        </w:rPr>
        <w:t xml:space="preserve"> that </w:t>
      </w:r>
      <w:r w:rsidR="00F56E90">
        <w:rPr>
          <w:lang w:val="en-GB"/>
        </w:rPr>
        <w:t xml:space="preserve">there was </w:t>
      </w:r>
      <w:r w:rsidR="00A95DF4" w:rsidRPr="00D6148E">
        <w:rPr>
          <w:lang w:val="en-GB"/>
        </w:rPr>
        <w:t xml:space="preserve">a </w:t>
      </w:r>
      <w:r w:rsidR="00867374">
        <w:rPr>
          <w:lang w:val="en-GB"/>
        </w:rPr>
        <w:t xml:space="preserve">small </w:t>
      </w:r>
      <w:r w:rsidR="00F56E90">
        <w:rPr>
          <w:lang w:val="en-GB"/>
        </w:rPr>
        <w:t>group of</w:t>
      </w:r>
      <w:r w:rsidR="00A95DF4" w:rsidRPr="00D6148E">
        <w:rPr>
          <w:lang w:val="en-GB"/>
        </w:rPr>
        <w:t xml:space="preserve"> people who had pembrolizumab support</w:t>
      </w:r>
      <w:r w:rsidR="00F56E90">
        <w:rPr>
          <w:lang w:val="en-GB"/>
        </w:rPr>
        <w:t>ing</w:t>
      </w:r>
      <w:r w:rsidR="00A95DF4" w:rsidRPr="00D6148E">
        <w:rPr>
          <w:lang w:val="en-GB"/>
        </w:rPr>
        <w:t xml:space="preserve"> at least a 3-year duration of treatment effect from start of treatment. </w:t>
      </w:r>
      <w:r w:rsidR="00BA5E33" w:rsidRPr="00D6148E">
        <w:rPr>
          <w:lang w:val="en-GB"/>
        </w:rPr>
        <w:t>The clinical expert explained that this was not the case for people who had chemotherapy</w:t>
      </w:r>
      <w:r w:rsidR="002F2ECB">
        <w:rPr>
          <w:lang w:val="en-GB"/>
        </w:rPr>
        <w:t>,</w:t>
      </w:r>
      <w:r w:rsidR="00BA5E33" w:rsidRPr="00D6148E">
        <w:rPr>
          <w:lang w:val="en-GB"/>
        </w:rPr>
        <w:t xml:space="preserve"> </w:t>
      </w:r>
      <w:r w:rsidR="00F37BF5">
        <w:rPr>
          <w:lang w:val="en-GB"/>
        </w:rPr>
        <w:t>because</w:t>
      </w:r>
      <w:r w:rsidR="00BA5E33" w:rsidRPr="00D6148E">
        <w:rPr>
          <w:lang w:val="en-GB"/>
        </w:rPr>
        <w:t xml:space="preserve"> very few people survive beyond 2</w:t>
      </w:r>
      <w:r w:rsidR="00F37BF5">
        <w:rPr>
          <w:lang w:val="en-GB"/>
        </w:rPr>
        <w:t> </w:t>
      </w:r>
      <w:r w:rsidR="00BA5E33" w:rsidRPr="00D6148E">
        <w:rPr>
          <w:lang w:val="en-GB"/>
        </w:rPr>
        <w:t xml:space="preserve">years. </w:t>
      </w:r>
      <w:r w:rsidR="000568D9" w:rsidRPr="00D6148E">
        <w:rPr>
          <w:lang w:val="en-GB"/>
        </w:rPr>
        <w:t>The</w:t>
      </w:r>
      <w:r w:rsidR="0059765C">
        <w:rPr>
          <w:lang w:val="en-GB"/>
        </w:rPr>
        <w:t>y</w:t>
      </w:r>
      <w:r w:rsidR="000568D9" w:rsidRPr="00D6148E">
        <w:rPr>
          <w:lang w:val="en-GB"/>
        </w:rPr>
        <w:t xml:space="preserve"> </w:t>
      </w:r>
      <w:r w:rsidR="0059765C">
        <w:rPr>
          <w:lang w:val="en-GB"/>
        </w:rPr>
        <w:t>found</w:t>
      </w:r>
      <w:r w:rsidR="000568D9" w:rsidRPr="00D6148E">
        <w:rPr>
          <w:lang w:val="en-GB"/>
        </w:rPr>
        <w:t xml:space="preserve"> </w:t>
      </w:r>
      <w:r w:rsidR="00FD488E" w:rsidRPr="00D6148E">
        <w:rPr>
          <w:lang w:val="en-GB"/>
        </w:rPr>
        <w:t xml:space="preserve">it plausible </w:t>
      </w:r>
      <w:r w:rsidR="000568D9" w:rsidRPr="00D6148E">
        <w:rPr>
          <w:lang w:val="en-GB"/>
        </w:rPr>
        <w:t xml:space="preserve">that </w:t>
      </w:r>
      <w:r w:rsidR="00FD488E" w:rsidRPr="00D6148E">
        <w:rPr>
          <w:lang w:val="en-GB"/>
        </w:rPr>
        <w:t>5</w:t>
      </w:r>
      <w:r w:rsidR="00542118">
        <w:rPr>
          <w:lang w:val="en-GB"/>
        </w:rPr>
        <w:t>%</w:t>
      </w:r>
      <w:r w:rsidR="00960A77">
        <w:rPr>
          <w:lang w:val="en-GB"/>
        </w:rPr>
        <w:t xml:space="preserve"> to </w:t>
      </w:r>
      <w:r w:rsidR="00FD488E" w:rsidRPr="00D6148E">
        <w:rPr>
          <w:lang w:val="en-GB"/>
        </w:rPr>
        <w:t xml:space="preserve">10% of people </w:t>
      </w:r>
      <w:r w:rsidR="000568D9" w:rsidRPr="00D6148E">
        <w:rPr>
          <w:lang w:val="en-GB"/>
        </w:rPr>
        <w:t>having</w:t>
      </w:r>
      <w:r w:rsidR="00FD488E" w:rsidRPr="00D6148E">
        <w:rPr>
          <w:lang w:val="en-GB"/>
        </w:rPr>
        <w:t xml:space="preserve"> pembrolizumab might survive to 10</w:t>
      </w:r>
      <w:r w:rsidR="00DD1C1A">
        <w:rPr>
          <w:lang w:val="en-GB"/>
        </w:rPr>
        <w:t> </w:t>
      </w:r>
      <w:r w:rsidR="00FD488E" w:rsidRPr="00D6148E">
        <w:rPr>
          <w:lang w:val="en-GB"/>
        </w:rPr>
        <w:t>years after starting treatment (with a 2</w:t>
      </w:r>
      <w:r w:rsidR="00062B79">
        <w:rPr>
          <w:lang w:val="en-GB"/>
        </w:rPr>
        <w:noBreakHyphen/>
      </w:r>
      <w:r w:rsidR="00FD488E" w:rsidRPr="00D6148E">
        <w:rPr>
          <w:lang w:val="en-GB"/>
        </w:rPr>
        <w:t xml:space="preserve">year stopping rule). A patient expert and </w:t>
      </w:r>
      <w:r w:rsidR="000568D9" w:rsidRPr="00D6148E">
        <w:rPr>
          <w:lang w:val="en-GB"/>
        </w:rPr>
        <w:t xml:space="preserve">the Cancer Drugs Fund clinical lead </w:t>
      </w:r>
      <w:r w:rsidR="00FD488E" w:rsidRPr="00D6148E">
        <w:rPr>
          <w:lang w:val="en-GB"/>
        </w:rPr>
        <w:t>agreed that the</w:t>
      </w:r>
      <w:r w:rsidR="000568D9" w:rsidRPr="00D6148E">
        <w:rPr>
          <w:lang w:val="en-GB"/>
        </w:rPr>
        <w:t>re was uncertainty a</w:t>
      </w:r>
      <w:r w:rsidR="00853E5C">
        <w:rPr>
          <w:lang w:val="en-GB"/>
        </w:rPr>
        <w:t>bout</w:t>
      </w:r>
      <w:r w:rsidR="000568D9" w:rsidRPr="00D6148E">
        <w:rPr>
          <w:lang w:val="en-GB"/>
        </w:rPr>
        <w:t xml:space="preserve"> how long people m</w:t>
      </w:r>
      <w:r w:rsidR="00301EC8">
        <w:rPr>
          <w:lang w:val="en-GB"/>
        </w:rPr>
        <w:t>ight</w:t>
      </w:r>
      <w:r w:rsidR="000568D9" w:rsidRPr="00D6148E">
        <w:rPr>
          <w:lang w:val="en-GB"/>
        </w:rPr>
        <w:t xml:space="preserve"> survive after having pembrolizumab</w:t>
      </w:r>
      <w:r w:rsidR="00105901">
        <w:rPr>
          <w:lang w:val="en-GB"/>
        </w:rPr>
        <w:t>. This is because</w:t>
      </w:r>
      <w:r w:rsidR="000568D9" w:rsidRPr="00D6148E">
        <w:rPr>
          <w:lang w:val="en-GB"/>
        </w:rPr>
        <w:t xml:space="preserve"> people with urothelial cancer </w:t>
      </w:r>
      <w:r w:rsidR="00FD488E" w:rsidRPr="00D6148E">
        <w:rPr>
          <w:lang w:val="en-GB"/>
        </w:rPr>
        <w:t xml:space="preserve">tend to be older, with other comorbidities, so </w:t>
      </w:r>
      <w:r w:rsidR="00222AB9" w:rsidRPr="00D6148E">
        <w:rPr>
          <w:lang w:val="en-GB"/>
        </w:rPr>
        <w:t xml:space="preserve">those people whose cancer responds to treatment </w:t>
      </w:r>
      <w:r w:rsidR="00FD488E" w:rsidRPr="00D6148E">
        <w:rPr>
          <w:lang w:val="en-GB"/>
        </w:rPr>
        <w:t>may die from a</w:t>
      </w:r>
      <w:r w:rsidR="000E6DC2">
        <w:rPr>
          <w:lang w:val="en-GB"/>
        </w:rPr>
        <w:t>nother</w:t>
      </w:r>
      <w:r w:rsidR="00B32C46">
        <w:rPr>
          <w:lang w:val="en-GB"/>
        </w:rPr>
        <w:t xml:space="preserve"> </w:t>
      </w:r>
      <w:r w:rsidR="00FD488E" w:rsidRPr="00D6148E">
        <w:rPr>
          <w:lang w:val="en-GB"/>
        </w:rPr>
        <w:t>cause before reaching 10</w:t>
      </w:r>
      <w:r w:rsidR="000E6DC2">
        <w:rPr>
          <w:lang w:val="en-GB"/>
        </w:rPr>
        <w:t> </w:t>
      </w:r>
      <w:r w:rsidR="00FD488E" w:rsidRPr="00D6148E">
        <w:rPr>
          <w:lang w:val="en-GB"/>
        </w:rPr>
        <w:t xml:space="preserve">years </w:t>
      </w:r>
      <w:r w:rsidR="00715734">
        <w:rPr>
          <w:lang w:val="en-GB"/>
        </w:rPr>
        <w:t xml:space="preserve">since starting </w:t>
      </w:r>
      <w:r w:rsidR="00FD488E" w:rsidRPr="00D6148E">
        <w:rPr>
          <w:lang w:val="en-GB"/>
        </w:rPr>
        <w:t xml:space="preserve">treatment. The company indicated that with their preferred log-logistic curve for extrapolation of overall survival (see section </w:t>
      </w:r>
      <w:r w:rsidR="00FD488E" w:rsidRPr="00D6148E">
        <w:rPr>
          <w:lang w:val="en-GB"/>
        </w:rPr>
        <w:fldChar w:fldCharType="begin"/>
      </w:r>
      <w:r w:rsidR="00FD488E" w:rsidRPr="00D6148E">
        <w:rPr>
          <w:lang w:val="en-GB"/>
        </w:rPr>
        <w:instrText xml:space="preserve"> REF _Ref22764536 \w \h </w:instrText>
      </w:r>
      <w:r w:rsidR="00FD488E" w:rsidRPr="00D6148E">
        <w:rPr>
          <w:lang w:val="en-GB"/>
        </w:rPr>
      </w:r>
      <w:r w:rsidR="00FD488E" w:rsidRPr="00D6148E">
        <w:rPr>
          <w:lang w:val="en-GB"/>
        </w:rPr>
        <w:fldChar w:fldCharType="separate"/>
      </w:r>
      <w:r w:rsidR="00DA285A">
        <w:rPr>
          <w:lang w:val="en-GB"/>
        </w:rPr>
        <w:t>3.16</w:t>
      </w:r>
      <w:r w:rsidR="00FD488E" w:rsidRPr="00D6148E">
        <w:rPr>
          <w:lang w:val="en-GB"/>
        </w:rPr>
        <w:fldChar w:fldCharType="end"/>
      </w:r>
      <w:r w:rsidR="00FD488E" w:rsidRPr="00D6148E">
        <w:rPr>
          <w:lang w:val="en-GB"/>
        </w:rPr>
        <w:t xml:space="preserve">), 4.5% of people </w:t>
      </w:r>
      <w:r w:rsidR="00222AB9" w:rsidRPr="00D6148E">
        <w:rPr>
          <w:lang w:val="en-GB"/>
        </w:rPr>
        <w:t xml:space="preserve">having </w:t>
      </w:r>
      <w:r w:rsidR="00FD488E" w:rsidRPr="00D6148E">
        <w:rPr>
          <w:lang w:val="en-GB"/>
        </w:rPr>
        <w:t>pembrolizumab were modelled to still be alive 10</w:t>
      </w:r>
      <w:r w:rsidR="00C435D4">
        <w:rPr>
          <w:lang w:val="en-GB"/>
        </w:rPr>
        <w:t> </w:t>
      </w:r>
      <w:r w:rsidR="00FD488E" w:rsidRPr="00D6148E">
        <w:rPr>
          <w:lang w:val="en-GB"/>
        </w:rPr>
        <w:t>years after starting treatment.</w:t>
      </w:r>
      <w:r w:rsidR="00222AB9" w:rsidRPr="00222AB9">
        <w:t xml:space="preserve"> </w:t>
      </w:r>
      <w:r w:rsidR="00222AB9" w:rsidRPr="00D6148E">
        <w:rPr>
          <w:lang w:val="en-GB"/>
        </w:rPr>
        <w:t>The committee was aware that around 50% of patients in KEYNOTE</w:t>
      </w:r>
      <w:r w:rsidR="00083C42">
        <w:rPr>
          <w:lang w:val="en-GB"/>
        </w:rPr>
        <w:noBreakHyphen/>
      </w:r>
      <w:r w:rsidR="00222AB9" w:rsidRPr="00D6148E">
        <w:rPr>
          <w:lang w:val="en-GB"/>
        </w:rPr>
        <w:t xml:space="preserve">045 had </w:t>
      </w:r>
      <w:r w:rsidR="00083C42">
        <w:rPr>
          <w:lang w:val="en-GB"/>
        </w:rPr>
        <w:t>stopped</w:t>
      </w:r>
      <w:r w:rsidR="00083C42" w:rsidRPr="00D6148E">
        <w:rPr>
          <w:lang w:val="en-GB"/>
        </w:rPr>
        <w:t xml:space="preserve"> </w:t>
      </w:r>
      <w:r w:rsidR="00222AB9" w:rsidRPr="00D6148E">
        <w:rPr>
          <w:lang w:val="en-GB"/>
        </w:rPr>
        <w:t>pembrolizumab 6 months after starting treatment. The committee considered that there was robust evidence to support a 3</w:t>
      </w:r>
      <w:r w:rsidR="00515A1B">
        <w:rPr>
          <w:lang w:val="en-GB"/>
        </w:rPr>
        <w:noBreakHyphen/>
      </w:r>
      <w:r w:rsidR="00222AB9" w:rsidRPr="00D6148E">
        <w:rPr>
          <w:lang w:val="en-GB"/>
        </w:rPr>
        <w:t>year treatment effect after starting pembrolizumab (2</w:t>
      </w:r>
      <w:r w:rsidR="00515A1B">
        <w:rPr>
          <w:lang w:val="en-GB"/>
        </w:rPr>
        <w:t> </w:t>
      </w:r>
      <w:r w:rsidR="00222AB9" w:rsidRPr="00D6148E">
        <w:rPr>
          <w:lang w:val="en-GB"/>
        </w:rPr>
        <w:t>years of treatment plus 1</w:t>
      </w:r>
      <w:r w:rsidR="007A0419">
        <w:rPr>
          <w:lang w:val="en-GB"/>
        </w:rPr>
        <w:t> </w:t>
      </w:r>
      <w:r w:rsidR="00222AB9" w:rsidRPr="00D6148E">
        <w:rPr>
          <w:lang w:val="en-GB"/>
        </w:rPr>
        <w:t>year of follow</w:t>
      </w:r>
      <w:r w:rsidR="007A0419">
        <w:rPr>
          <w:lang w:val="en-GB"/>
        </w:rPr>
        <w:t xml:space="preserve"> </w:t>
      </w:r>
      <w:r w:rsidR="00222AB9" w:rsidRPr="00D6148E">
        <w:rPr>
          <w:lang w:val="en-GB"/>
        </w:rPr>
        <w:t>up)</w:t>
      </w:r>
      <w:r w:rsidR="007A0419">
        <w:rPr>
          <w:lang w:val="en-GB"/>
        </w:rPr>
        <w:t>. However,</w:t>
      </w:r>
      <w:r w:rsidR="00222AB9" w:rsidRPr="00D6148E">
        <w:rPr>
          <w:lang w:val="en-GB"/>
        </w:rPr>
        <w:t xml:space="preserve"> there was no strong evidence to support a 5</w:t>
      </w:r>
      <w:r w:rsidR="007A0419">
        <w:rPr>
          <w:lang w:val="en-GB"/>
        </w:rPr>
        <w:noBreakHyphen/>
      </w:r>
      <w:r w:rsidR="00222AB9" w:rsidRPr="00D6148E">
        <w:rPr>
          <w:lang w:val="en-GB"/>
        </w:rPr>
        <w:t xml:space="preserve">year or longer treatment effect, and no more than 5% of people treated with pembrolizumab might be alive </w:t>
      </w:r>
      <w:r w:rsidR="00715A14">
        <w:rPr>
          <w:lang w:val="en-GB"/>
        </w:rPr>
        <w:t xml:space="preserve">after </w:t>
      </w:r>
      <w:r w:rsidR="00222AB9" w:rsidRPr="00D6148E">
        <w:rPr>
          <w:lang w:val="en-GB"/>
        </w:rPr>
        <w:t>10</w:t>
      </w:r>
      <w:r w:rsidR="002C4F05">
        <w:rPr>
          <w:lang w:val="en-GB"/>
        </w:rPr>
        <w:t> </w:t>
      </w:r>
      <w:r w:rsidR="00222AB9" w:rsidRPr="00D6148E">
        <w:rPr>
          <w:lang w:val="en-GB"/>
        </w:rPr>
        <w:t xml:space="preserve">years. </w:t>
      </w:r>
      <w:r w:rsidR="007E0B5B" w:rsidRPr="00D6148E">
        <w:rPr>
          <w:lang w:val="en-GB"/>
        </w:rPr>
        <w:t xml:space="preserve">The committee </w:t>
      </w:r>
      <w:r w:rsidR="00764356">
        <w:rPr>
          <w:lang w:val="en-GB"/>
        </w:rPr>
        <w:t>recalled</w:t>
      </w:r>
      <w:r w:rsidR="007E0B5B" w:rsidRPr="00D6148E">
        <w:rPr>
          <w:lang w:val="en-GB"/>
        </w:rPr>
        <w:t xml:space="preserve"> that in </w:t>
      </w:r>
      <w:r w:rsidR="00DA3D05">
        <w:rPr>
          <w:lang w:val="en-GB"/>
        </w:rPr>
        <w:t xml:space="preserve">the </w:t>
      </w:r>
      <w:hyperlink r:id="rId19" w:history="1">
        <w:r w:rsidR="007E0B5B" w:rsidRPr="00DA3D05">
          <w:rPr>
            <w:rStyle w:val="Hyperlink"/>
            <w:lang w:val="en-GB"/>
          </w:rPr>
          <w:t xml:space="preserve">technology appraisal </w:t>
        </w:r>
        <w:r w:rsidR="00DA3D05" w:rsidRPr="00DA3D05">
          <w:rPr>
            <w:rStyle w:val="Hyperlink"/>
            <w:lang w:val="en-GB"/>
          </w:rPr>
          <w:t>of atezolizumab</w:t>
        </w:r>
      </w:hyperlink>
      <w:r w:rsidR="002F2ECB">
        <w:rPr>
          <w:lang w:val="en-GB"/>
        </w:rPr>
        <w:t>,</w:t>
      </w:r>
      <w:r w:rsidR="007E0B5B" w:rsidRPr="00D6148E">
        <w:rPr>
          <w:lang w:val="en-GB"/>
        </w:rPr>
        <w:t xml:space="preserve"> </w:t>
      </w:r>
      <w:r w:rsidR="007E1B7F" w:rsidRPr="00D6148E">
        <w:rPr>
          <w:lang w:val="en-GB"/>
        </w:rPr>
        <w:lastRenderedPageBreak/>
        <w:t>analyses with a treatment effect cap at 3</w:t>
      </w:r>
      <w:r w:rsidR="00CC6331">
        <w:rPr>
          <w:lang w:val="en-GB"/>
        </w:rPr>
        <w:t> </w:t>
      </w:r>
      <w:r w:rsidR="007E1B7F" w:rsidRPr="00D6148E">
        <w:rPr>
          <w:lang w:val="en-GB"/>
        </w:rPr>
        <w:t xml:space="preserve">years after stopping </w:t>
      </w:r>
      <w:r w:rsidR="007E0B5B" w:rsidRPr="00D6148E">
        <w:rPr>
          <w:lang w:val="en-GB"/>
        </w:rPr>
        <w:t>were taken</w:t>
      </w:r>
      <w:r w:rsidR="00867374">
        <w:rPr>
          <w:lang w:val="en-GB"/>
        </w:rPr>
        <w:t xml:space="preserve"> into account</w:t>
      </w:r>
      <w:r w:rsidR="00962ADD">
        <w:rPr>
          <w:lang w:val="en-GB"/>
        </w:rPr>
        <w:t xml:space="preserve"> in its decision</w:t>
      </w:r>
      <w:r w:rsidR="003E3CBF">
        <w:rPr>
          <w:lang w:val="en-GB"/>
        </w:rPr>
        <w:t xml:space="preserve"> </w:t>
      </w:r>
      <w:r w:rsidR="00962ADD">
        <w:rPr>
          <w:lang w:val="en-GB"/>
        </w:rPr>
        <w:t>making but there was not enough evidence to support a specific duration of benefit</w:t>
      </w:r>
      <w:r w:rsidR="007E0B5B" w:rsidRPr="00D6148E">
        <w:rPr>
          <w:lang w:val="en-GB"/>
        </w:rPr>
        <w:t xml:space="preserve">. The committee concluded that, </w:t>
      </w:r>
      <w:r w:rsidR="00B26C79">
        <w:rPr>
          <w:lang w:val="en-GB"/>
        </w:rPr>
        <w:t xml:space="preserve">although the treatment effect duration was uncertain, </w:t>
      </w:r>
      <w:r w:rsidR="007E0B5B" w:rsidRPr="00D6148E">
        <w:rPr>
          <w:lang w:val="en-GB"/>
        </w:rPr>
        <w:t xml:space="preserve">based on the </w:t>
      </w:r>
      <w:r w:rsidR="00B54422">
        <w:rPr>
          <w:lang w:val="en-GB"/>
        </w:rPr>
        <w:t xml:space="preserve">available </w:t>
      </w:r>
      <w:r w:rsidR="007E0B5B" w:rsidRPr="00D6148E">
        <w:rPr>
          <w:lang w:val="en-GB"/>
        </w:rPr>
        <w:t>evidence a 3</w:t>
      </w:r>
      <w:r w:rsidR="00B54422">
        <w:rPr>
          <w:lang w:val="en-GB"/>
        </w:rPr>
        <w:noBreakHyphen/>
      </w:r>
      <w:r w:rsidR="007E0B5B" w:rsidRPr="00D6148E">
        <w:rPr>
          <w:lang w:val="en-GB"/>
        </w:rPr>
        <w:t>year duration of treatment effect from start of pembrolizumab treatment was appropriate.</w:t>
      </w:r>
      <w:bookmarkEnd w:id="19"/>
      <w:r w:rsidR="007E0B5B" w:rsidRPr="00D6148E">
        <w:rPr>
          <w:lang w:val="en-GB"/>
        </w:rPr>
        <w:t xml:space="preserve"> </w:t>
      </w:r>
    </w:p>
    <w:p w14:paraId="06C79CB5" w14:textId="3B668F22" w:rsidR="0070272A" w:rsidRDefault="00D66A24" w:rsidP="007A3D3D">
      <w:pPr>
        <w:pStyle w:val="Heading3"/>
      </w:pPr>
      <w:r>
        <w:t xml:space="preserve">There are </w:t>
      </w:r>
      <w:r w:rsidR="00BE2589">
        <w:t xml:space="preserve">3 </w:t>
      </w:r>
      <w:r>
        <w:t>plausible overall survival extrapolation curves</w:t>
      </w:r>
    </w:p>
    <w:p w14:paraId="74FDBE43" w14:textId="35D5E93D" w:rsidR="00BA7019" w:rsidRDefault="00EF6890" w:rsidP="00830668">
      <w:pPr>
        <w:pStyle w:val="Numberedlevel2text"/>
        <w:numPr>
          <w:ilvl w:val="1"/>
          <w:numId w:val="4"/>
        </w:numPr>
      </w:pPr>
      <w:bookmarkStart w:id="20" w:name="_Ref484181656"/>
      <w:bookmarkStart w:id="21" w:name="_Ref22764536"/>
      <w:bookmarkEnd w:id="20"/>
      <w:r w:rsidRPr="00AF4F7B">
        <w:rPr>
          <w:lang w:val="en-GB"/>
        </w:rPr>
        <w:t>In its base case, t</w:t>
      </w:r>
      <w:r w:rsidR="001B1238" w:rsidRPr="00AF4F7B">
        <w:rPr>
          <w:lang w:val="en-GB"/>
        </w:rPr>
        <w:t>he company preferred the log-logistic extrapolation</w:t>
      </w:r>
      <w:r w:rsidRPr="00744BC5">
        <w:rPr>
          <w:lang w:val="en-GB"/>
        </w:rPr>
        <w:t xml:space="preserve"> for overall survival. This </w:t>
      </w:r>
      <w:r w:rsidR="001B1238" w:rsidRPr="00117FB7">
        <w:rPr>
          <w:lang w:val="en-GB"/>
        </w:rPr>
        <w:t xml:space="preserve">choice </w:t>
      </w:r>
      <w:r w:rsidRPr="00117FB7">
        <w:rPr>
          <w:lang w:val="en-GB"/>
        </w:rPr>
        <w:t xml:space="preserve">was </w:t>
      </w:r>
      <w:r w:rsidR="001B1238" w:rsidRPr="00117FB7">
        <w:rPr>
          <w:lang w:val="en-GB"/>
        </w:rPr>
        <w:t>based on statistical and visual fit to the updated overall sur</w:t>
      </w:r>
      <w:r w:rsidR="001B1238" w:rsidRPr="00830668">
        <w:rPr>
          <w:lang w:val="en-GB"/>
        </w:rPr>
        <w:t>vival data</w:t>
      </w:r>
      <w:r w:rsidR="00830668" w:rsidRPr="00830668">
        <w:rPr>
          <w:lang w:val="en-GB"/>
        </w:rPr>
        <w:t xml:space="preserve"> from KEYNOTE</w:t>
      </w:r>
      <w:r w:rsidR="00F11CAA">
        <w:rPr>
          <w:lang w:val="en-GB"/>
        </w:rPr>
        <w:noBreakHyphen/>
      </w:r>
      <w:r w:rsidR="00830668" w:rsidRPr="00830668">
        <w:rPr>
          <w:lang w:val="en-GB"/>
        </w:rPr>
        <w:t>045 (see section</w:t>
      </w:r>
      <w:r w:rsidR="00C80551">
        <w:rPr>
          <w:lang w:val="en-GB"/>
        </w:rPr>
        <w:t xml:space="preserve"> </w:t>
      </w:r>
      <w:r w:rsidR="00C80551">
        <w:rPr>
          <w:lang w:val="en-GB"/>
        </w:rPr>
        <w:fldChar w:fldCharType="begin"/>
      </w:r>
      <w:r w:rsidR="00C80551">
        <w:rPr>
          <w:lang w:val="en-GB"/>
        </w:rPr>
        <w:instrText xml:space="preserve"> REF _Ref22910029 \r \h </w:instrText>
      </w:r>
      <w:r w:rsidR="00C80551">
        <w:rPr>
          <w:lang w:val="en-GB"/>
        </w:rPr>
      </w:r>
      <w:r w:rsidR="00C80551">
        <w:rPr>
          <w:lang w:val="en-GB"/>
        </w:rPr>
        <w:fldChar w:fldCharType="separate"/>
      </w:r>
      <w:r w:rsidR="00DA285A">
        <w:rPr>
          <w:lang w:val="en-GB"/>
        </w:rPr>
        <w:t>3.6</w:t>
      </w:r>
      <w:r w:rsidR="00C80551">
        <w:rPr>
          <w:lang w:val="en-GB"/>
        </w:rPr>
        <w:fldChar w:fldCharType="end"/>
      </w:r>
      <w:r w:rsidR="00830668" w:rsidRPr="00830668">
        <w:rPr>
          <w:lang w:val="en-GB"/>
        </w:rPr>
        <w:t xml:space="preserve">). The company highlighted </w:t>
      </w:r>
      <w:r w:rsidR="0010429D" w:rsidRPr="00830668">
        <w:rPr>
          <w:lang w:val="en-GB"/>
        </w:rPr>
        <w:t xml:space="preserve">that </w:t>
      </w:r>
      <w:r w:rsidR="00D32161">
        <w:rPr>
          <w:lang w:val="en-GB"/>
        </w:rPr>
        <w:t>the log-logistic curve</w:t>
      </w:r>
      <w:r w:rsidR="00D32161" w:rsidRPr="00830668">
        <w:rPr>
          <w:lang w:val="en-GB"/>
        </w:rPr>
        <w:t xml:space="preserve"> </w:t>
      </w:r>
      <w:r w:rsidR="0010429D" w:rsidRPr="00830668">
        <w:rPr>
          <w:lang w:val="en-GB"/>
        </w:rPr>
        <w:t>gave a 3.2% 5</w:t>
      </w:r>
      <w:r w:rsidR="00F11CAA">
        <w:rPr>
          <w:lang w:val="en-GB"/>
        </w:rPr>
        <w:noBreakHyphen/>
      </w:r>
      <w:r w:rsidR="0010429D" w:rsidRPr="00830668">
        <w:rPr>
          <w:lang w:val="en-GB"/>
        </w:rPr>
        <w:t>year survival rate for the UK SoC arm, consistent with the 2% to 3% figure given by the ERG’s clinical expert</w:t>
      </w:r>
      <w:r w:rsidR="00790072">
        <w:rPr>
          <w:lang w:val="en-GB"/>
        </w:rPr>
        <w:t xml:space="preserve"> in the original appraisal</w:t>
      </w:r>
      <w:r w:rsidR="0010429D" w:rsidRPr="00830668">
        <w:rPr>
          <w:lang w:val="en-GB"/>
        </w:rPr>
        <w:t>.</w:t>
      </w:r>
      <w:r w:rsidR="007A39A2" w:rsidRPr="00830668">
        <w:rPr>
          <w:lang w:val="en-GB"/>
        </w:rPr>
        <w:t xml:space="preserve"> </w:t>
      </w:r>
      <w:r w:rsidR="00830668" w:rsidRPr="00830668">
        <w:rPr>
          <w:lang w:val="en-GB"/>
        </w:rPr>
        <w:t xml:space="preserve">The </w:t>
      </w:r>
      <w:r w:rsidR="007A39A2" w:rsidRPr="00830668">
        <w:rPr>
          <w:lang w:val="en-GB"/>
        </w:rPr>
        <w:t xml:space="preserve">ERG </w:t>
      </w:r>
      <w:r w:rsidR="00830668" w:rsidRPr="00830668">
        <w:rPr>
          <w:lang w:val="en-GB"/>
        </w:rPr>
        <w:t xml:space="preserve">preferred </w:t>
      </w:r>
      <w:r w:rsidR="007A39A2" w:rsidRPr="00830668">
        <w:rPr>
          <w:lang w:val="en-GB"/>
        </w:rPr>
        <w:t xml:space="preserve">a log-logistic curve in </w:t>
      </w:r>
      <w:r w:rsidR="00830668" w:rsidRPr="00830668">
        <w:rPr>
          <w:lang w:val="en-GB"/>
        </w:rPr>
        <w:t xml:space="preserve">its exploratory </w:t>
      </w:r>
      <w:r w:rsidR="007A39A2" w:rsidRPr="00830668">
        <w:rPr>
          <w:lang w:val="en-GB"/>
        </w:rPr>
        <w:t xml:space="preserve">base case, </w:t>
      </w:r>
      <w:r w:rsidR="00830668" w:rsidRPr="00830668">
        <w:rPr>
          <w:lang w:val="en-GB"/>
        </w:rPr>
        <w:t xml:space="preserve">but </w:t>
      </w:r>
      <w:r w:rsidR="007A39A2" w:rsidRPr="00830668">
        <w:rPr>
          <w:lang w:val="en-GB"/>
        </w:rPr>
        <w:t xml:space="preserve">also considered </w:t>
      </w:r>
      <w:r w:rsidR="00830668" w:rsidRPr="00830668">
        <w:rPr>
          <w:lang w:val="en-GB"/>
        </w:rPr>
        <w:t xml:space="preserve">the </w:t>
      </w:r>
      <w:r w:rsidR="007A39A2" w:rsidRPr="00830668">
        <w:rPr>
          <w:lang w:val="en-GB"/>
        </w:rPr>
        <w:t xml:space="preserve">log-normal and generalised gamma plausible if some patients experience the long-term survival benefit for pembrolizumab </w:t>
      </w:r>
      <w:r w:rsidR="00830668" w:rsidRPr="00830668">
        <w:rPr>
          <w:lang w:val="en-GB"/>
        </w:rPr>
        <w:t xml:space="preserve">suggested </w:t>
      </w:r>
      <w:r w:rsidR="00841D7B" w:rsidRPr="00830668">
        <w:rPr>
          <w:lang w:val="en-GB"/>
        </w:rPr>
        <w:t>by</w:t>
      </w:r>
      <w:r w:rsidR="007A39A2" w:rsidRPr="00830668">
        <w:rPr>
          <w:lang w:val="en-GB"/>
        </w:rPr>
        <w:t xml:space="preserve"> the company (with generalised gamma being the most optimistic). If no patients experience this long-term survival benefit, then the ERG </w:t>
      </w:r>
      <w:r w:rsidR="00A46A08">
        <w:rPr>
          <w:lang w:val="en-GB"/>
        </w:rPr>
        <w:t>advised</w:t>
      </w:r>
      <w:r w:rsidR="00A46A08" w:rsidRPr="00830668">
        <w:rPr>
          <w:lang w:val="en-GB"/>
        </w:rPr>
        <w:t xml:space="preserve"> </w:t>
      </w:r>
      <w:r w:rsidR="007A39A2" w:rsidRPr="00830668">
        <w:rPr>
          <w:lang w:val="en-GB"/>
        </w:rPr>
        <w:t xml:space="preserve">that the Weibull extrapolation would be plausible, </w:t>
      </w:r>
      <w:r w:rsidR="00830668" w:rsidRPr="00830668">
        <w:rPr>
          <w:lang w:val="en-GB"/>
        </w:rPr>
        <w:t xml:space="preserve">but </w:t>
      </w:r>
      <w:r w:rsidR="007A39A2" w:rsidRPr="00830668">
        <w:rPr>
          <w:lang w:val="en-GB"/>
        </w:rPr>
        <w:t>that</w:t>
      </w:r>
      <w:r w:rsidR="00452CE3">
        <w:rPr>
          <w:lang w:val="en-GB"/>
        </w:rPr>
        <w:t xml:space="preserve"> there was</w:t>
      </w:r>
      <w:r w:rsidR="007A39A2" w:rsidRPr="00830668">
        <w:rPr>
          <w:lang w:val="en-GB"/>
        </w:rPr>
        <w:t xml:space="preserve"> considerable uncertainty </w:t>
      </w:r>
      <w:r w:rsidR="00452CE3">
        <w:rPr>
          <w:lang w:val="en-GB"/>
        </w:rPr>
        <w:t>about</w:t>
      </w:r>
      <w:r w:rsidR="00830668" w:rsidRPr="00830668">
        <w:rPr>
          <w:lang w:val="en-GB"/>
        </w:rPr>
        <w:t xml:space="preserve"> </w:t>
      </w:r>
      <w:r w:rsidR="007A39A2" w:rsidRPr="00830668">
        <w:rPr>
          <w:lang w:val="en-GB"/>
        </w:rPr>
        <w:t xml:space="preserve">long-term </w:t>
      </w:r>
      <w:r w:rsidR="00830668" w:rsidRPr="00830668">
        <w:rPr>
          <w:lang w:val="en-GB"/>
        </w:rPr>
        <w:t xml:space="preserve">overall </w:t>
      </w:r>
      <w:r w:rsidR="007A39A2" w:rsidRPr="00830668">
        <w:rPr>
          <w:lang w:val="en-GB"/>
        </w:rPr>
        <w:t xml:space="preserve">survival. </w:t>
      </w:r>
      <w:r w:rsidR="00363FCF" w:rsidRPr="00830668">
        <w:rPr>
          <w:lang w:val="en-GB"/>
        </w:rPr>
        <w:t>The ERG explained that the company’s preferred curve and anticipated long-tailed survival profile for pembrolizumab in the long</w:t>
      </w:r>
      <w:r w:rsidR="00D50AFE">
        <w:rPr>
          <w:lang w:val="en-GB"/>
        </w:rPr>
        <w:t xml:space="preserve"> </w:t>
      </w:r>
      <w:r w:rsidR="00363FCF" w:rsidRPr="00830668">
        <w:rPr>
          <w:lang w:val="en-GB"/>
        </w:rPr>
        <w:t>term are plausible, but unsupported by evidence (see section</w:t>
      </w:r>
      <w:r w:rsidR="00867374">
        <w:rPr>
          <w:lang w:val="en-GB"/>
        </w:rPr>
        <w:t xml:space="preserve"> </w:t>
      </w:r>
      <w:r w:rsidR="00867374">
        <w:rPr>
          <w:lang w:val="en-GB"/>
        </w:rPr>
        <w:fldChar w:fldCharType="begin"/>
      </w:r>
      <w:r w:rsidR="00867374">
        <w:rPr>
          <w:lang w:val="en-GB"/>
        </w:rPr>
        <w:instrText xml:space="preserve"> REF _Ref22909373 \r \h </w:instrText>
      </w:r>
      <w:r w:rsidR="00867374">
        <w:rPr>
          <w:lang w:val="en-GB"/>
        </w:rPr>
      </w:r>
      <w:r w:rsidR="00867374">
        <w:rPr>
          <w:lang w:val="en-GB"/>
        </w:rPr>
        <w:fldChar w:fldCharType="separate"/>
      </w:r>
      <w:r w:rsidR="00DA285A">
        <w:rPr>
          <w:lang w:val="en-GB"/>
        </w:rPr>
        <w:t>3.15</w:t>
      </w:r>
      <w:r w:rsidR="00867374">
        <w:rPr>
          <w:lang w:val="en-GB"/>
        </w:rPr>
        <w:fldChar w:fldCharType="end"/>
      </w:r>
      <w:r w:rsidR="00867374">
        <w:rPr>
          <w:lang w:val="en-GB"/>
        </w:rPr>
        <w:t>)</w:t>
      </w:r>
      <w:r w:rsidR="00363FCF" w:rsidRPr="00830668">
        <w:rPr>
          <w:lang w:val="en-GB"/>
        </w:rPr>
        <w:t>.</w:t>
      </w:r>
      <w:bookmarkEnd w:id="21"/>
      <w:r w:rsidR="00BA7019" w:rsidRPr="00830668">
        <w:rPr>
          <w:lang w:val="en-GB"/>
        </w:rPr>
        <w:t xml:space="preserve">The committee </w:t>
      </w:r>
      <w:r w:rsidR="00830668">
        <w:rPr>
          <w:lang w:val="en-GB"/>
        </w:rPr>
        <w:t xml:space="preserve">acknowledged that there were a number of plausible </w:t>
      </w:r>
      <w:r w:rsidR="00830668" w:rsidRPr="00830668">
        <w:rPr>
          <w:lang w:val="en-GB"/>
        </w:rPr>
        <w:t>overall survival extrapolation curves, and th</w:t>
      </w:r>
      <w:r w:rsidR="00BE2589">
        <w:rPr>
          <w:lang w:val="en-GB"/>
        </w:rPr>
        <w:t xml:space="preserve">at the </w:t>
      </w:r>
      <w:r w:rsidR="00830668" w:rsidRPr="00830668">
        <w:rPr>
          <w:lang w:val="en-GB"/>
        </w:rPr>
        <w:t>extrapolation of overall survival was unc</w:t>
      </w:r>
      <w:r w:rsidR="00BE2589">
        <w:rPr>
          <w:lang w:val="en-GB"/>
        </w:rPr>
        <w:t>ertain</w:t>
      </w:r>
      <w:r w:rsidR="00DA321C" w:rsidRPr="00830668">
        <w:rPr>
          <w:lang w:val="en-GB"/>
        </w:rPr>
        <w:t xml:space="preserve">. </w:t>
      </w:r>
      <w:r w:rsidR="00415FF0">
        <w:rPr>
          <w:lang w:val="en-GB"/>
        </w:rPr>
        <w:t>Because</w:t>
      </w:r>
      <w:r w:rsidR="00415FF0" w:rsidRPr="00830668">
        <w:rPr>
          <w:lang w:val="en-GB"/>
        </w:rPr>
        <w:t xml:space="preserve"> </w:t>
      </w:r>
      <w:r w:rsidR="00DA321C" w:rsidRPr="00830668">
        <w:rPr>
          <w:lang w:val="en-GB"/>
        </w:rPr>
        <w:t xml:space="preserve">a small number of people </w:t>
      </w:r>
      <w:r w:rsidR="00BE2589">
        <w:rPr>
          <w:lang w:val="en-GB"/>
        </w:rPr>
        <w:t>having</w:t>
      </w:r>
      <w:r w:rsidR="00DA321C" w:rsidRPr="00830668">
        <w:rPr>
          <w:lang w:val="en-GB"/>
        </w:rPr>
        <w:t xml:space="preserve"> pembrolizumab may survive to 10</w:t>
      </w:r>
      <w:r w:rsidR="00415FF0">
        <w:rPr>
          <w:lang w:val="en-GB"/>
        </w:rPr>
        <w:t> </w:t>
      </w:r>
      <w:r w:rsidR="00DA321C" w:rsidRPr="00830668">
        <w:rPr>
          <w:lang w:val="en-GB"/>
        </w:rPr>
        <w:t xml:space="preserve">years after </w:t>
      </w:r>
      <w:r w:rsidR="007D5238">
        <w:rPr>
          <w:lang w:val="en-GB"/>
        </w:rPr>
        <w:t>starting</w:t>
      </w:r>
      <w:r w:rsidR="007D5238" w:rsidRPr="00830668">
        <w:rPr>
          <w:lang w:val="en-GB"/>
        </w:rPr>
        <w:t xml:space="preserve"> </w:t>
      </w:r>
      <w:r w:rsidR="00DA321C" w:rsidRPr="00830668">
        <w:rPr>
          <w:lang w:val="en-GB"/>
        </w:rPr>
        <w:t>treatment</w:t>
      </w:r>
      <w:r w:rsidR="00BE2589">
        <w:rPr>
          <w:lang w:val="en-GB"/>
        </w:rPr>
        <w:t xml:space="preserve"> (see section</w:t>
      </w:r>
      <w:r w:rsidR="000E7F02">
        <w:rPr>
          <w:lang w:val="en-GB"/>
        </w:rPr>
        <w:t xml:space="preserve"> </w:t>
      </w:r>
      <w:r w:rsidR="000E7F02">
        <w:rPr>
          <w:lang w:val="en-GB"/>
        </w:rPr>
        <w:fldChar w:fldCharType="begin"/>
      </w:r>
      <w:r w:rsidR="000E7F02">
        <w:rPr>
          <w:lang w:val="en-GB"/>
        </w:rPr>
        <w:instrText xml:space="preserve"> REF _Ref22909373 \r \h </w:instrText>
      </w:r>
      <w:r w:rsidR="000E7F02">
        <w:rPr>
          <w:lang w:val="en-GB"/>
        </w:rPr>
      </w:r>
      <w:r w:rsidR="000E7F02">
        <w:rPr>
          <w:lang w:val="en-GB"/>
        </w:rPr>
        <w:fldChar w:fldCharType="separate"/>
      </w:r>
      <w:r w:rsidR="00DA285A">
        <w:rPr>
          <w:lang w:val="en-GB"/>
        </w:rPr>
        <w:t>3.15</w:t>
      </w:r>
      <w:r w:rsidR="000E7F02">
        <w:rPr>
          <w:lang w:val="en-GB"/>
        </w:rPr>
        <w:fldChar w:fldCharType="end"/>
      </w:r>
      <w:r w:rsidR="00BE2589">
        <w:rPr>
          <w:lang w:val="en-GB"/>
        </w:rPr>
        <w:t>)</w:t>
      </w:r>
      <w:r w:rsidR="00DA321C" w:rsidRPr="00830668">
        <w:rPr>
          <w:lang w:val="en-GB"/>
        </w:rPr>
        <w:t xml:space="preserve">, the committee </w:t>
      </w:r>
      <w:r w:rsidR="00BE2589">
        <w:rPr>
          <w:lang w:val="en-GB"/>
        </w:rPr>
        <w:t xml:space="preserve">agreed </w:t>
      </w:r>
      <w:r w:rsidR="00DA321C" w:rsidRPr="00830668">
        <w:rPr>
          <w:lang w:val="en-GB"/>
        </w:rPr>
        <w:t>that the Weibull extrapolation would penali</w:t>
      </w:r>
      <w:r w:rsidR="009217A9">
        <w:rPr>
          <w:lang w:val="en-GB"/>
        </w:rPr>
        <w:t>s</w:t>
      </w:r>
      <w:r w:rsidR="00DA321C" w:rsidRPr="00830668">
        <w:rPr>
          <w:lang w:val="en-GB"/>
        </w:rPr>
        <w:t xml:space="preserve">e overall survival too harshly, but that </w:t>
      </w:r>
      <w:r w:rsidR="00BE2589">
        <w:rPr>
          <w:lang w:val="en-GB"/>
        </w:rPr>
        <w:t xml:space="preserve">the </w:t>
      </w:r>
      <w:r w:rsidR="00DA321C" w:rsidRPr="00830668">
        <w:rPr>
          <w:lang w:val="en-GB"/>
        </w:rPr>
        <w:t>log-logistic, log-normal and generalised gamma were plausible if there w</w:t>
      </w:r>
      <w:r w:rsidR="00E0109A">
        <w:rPr>
          <w:lang w:val="en-GB"/>
        </w:rPr>
        <w:t xml:space="preserve">ere any </w:t>
      </w:r>
      <w:r w:rsidR="00DA321C" w:rsidRPr="00830668">
        <w:rPr>
          <w:lang w:val="en-GB"/>
        </w:rPr>
        <w:t>survivors at 10</w:t>
      </w:r>
      <w:r w:rsidR="0071121D">
        <w:rPr>
          <w:lang w:val="en-GB"/>
        </w:rPr>
        <w:t> </w:t>
      </w:r>
      <w:r w:rsidR="00DA321C" w:rsidRPr="00830668">
        <w:rPr>
          <w:lang w:val="en-GB"/>
        </w:rPr>
        <w:t xml:space="preserve">years. However, </w:t>
      </w:r>
      <w:r w:rsidR="00DA321C" w:rsidRPr="00830668">
        <w:rPr>
          <w:lang w:val="en-GB"/>
        </w:rPr>
        <w:lastRenderedPageBreak/>
        <w:t xml:space="preserve">there </w:t>
      </w:r>
      <w:r w:rsidR="00BE2589">
        <w:rPr>
          <w:lang w:val="en-GB"/>
        </w:rPr>
        <w:t>was a high degree o</w:t>
      </w:r>
      <w:r w:rsidR="00DA321C" w:rsidRPr="00830668">
        <w:rPr>
          <w:lang w:val="en-GB"/>
        </w:rPr>
        <w:t xml:space="preserve">f uncertainty around long-term </w:t>
      </w:r>
      <w:r w:rsidR="00BE2589">
        <w:rPr>
          <w:lang w:val="en-GB"/>
        </w:rPr>
        <w:t xml:space="preserve">overall </w:t>
      </w:r>
      <w:r w:rsidR="00DA321C" w:rsidRPr="00830668">
        <w:rPr>
          <w:lang w:val="en-GB"/>
        </w:rPr>
        <w:t>survival for pembrolizumab</w:t>
      </w:r>
      <w:r w:rsidR="00516CC9">
        <w:rPr>
          <w:lang w:val="en-GB"/>
        </w:rPr>
        <w:t xml:space="preserve"> and all immunotherapies</w:t>
      </w:r>
      <w:r w:rsidR="00DA321C" w:rsidRPr="00830668">
        <w:rPr>
          <w:lang w:val="en-GB"/>
        </w:rPr>
        <w:t xml:space="preserve"> at 10</w:t>
      </w:r>
      <w:r w:rsidR="00BE2589">
        <w:rPr>
          <w:lang w:val="en-GB"/>
        </w:rPr>
        <w:t> </w:t>
      </w:r>
      <w:r w:rsidR="00DA321C" w:rsidRPr="00830668">
        <w:rPr>
          <w:lang w:val="en-GB"/>
        </w:rPr>
        <w:t>years</w:t>
      </w:r>
      <w:r w:rsidR="00962ADD">
        <w:rPr>
          <w:lang w:val="en-GB"/>
        </w:rPr>
        <w:t xml:space="preserve"> because of a lack of data</w:t>
      </w:r>
      <w:r w:rsidR="00516CC9">
        <w:rPr>
          <w:lang w:val="en-GB"/>
        </w:rPr>
        <w:t>.</w:t>
      </w:r>
      <w:r w:rsidR="00BE2589">
        <w:rPr>
          <w:lang w:val="en-GB"/>
        </w:rPr>
        <w:t xml:space="preserve"> </w:t>
      </w:r>
      <w:r w:rsidR="00516CC9">
        <w:rPr>
          <w:lang w:val="en-GB"/>
        </w:rPr>
        <w:t>So</w:t>
      </w:r>
      <w:r w:rsidR="005514D3">
        <w:rPr>
          <w:lang w:val="en-GB"/>
        </w:rPr>
        <w:t>,</w:t>
      </w:r>
      <w:r w:rsidR="00516CC9">
        <w:rPr>
          <w:lang w:val="en-GB"/>
        </w:rPr>
        <w:t xml:space="preserve"> </w:t>
      </w:r>
      <w:r w:rsidR="00BE2589">
        <w:rPr>
          <w:lang w:val="en-GB"/>
        </w:rPr>
        <w:t xml:space="preserve">the committee concluded that </w:t>
      </w:r>
      <w:r w:rsidR="00DA321C" w:rsidRPr="00830668">
        <w:rPr>
          <w:lang w:val="en-GB"/>
        </w:rPr>
        <w:t>log-logistic, log-normal and generalised gamma</w:t>
      </w:r>
      <w:r w:rsidR="00BE2589">
        <w:rPr>
          <w:lang w:val="en-GB"/>
        </w:rPr>
        <w:t xml:space="preserve"> were all plausible, and that all </w:t>
      </w:r>
      <w:r w:rsidR="006879C2">
        <w:rPr>
          <w:lang w:val="en-GB"/>
        </w:rPr>
        <w:t xml:space="preserve">3 </w:t>
      </w:r>
      <w:r w:rsidR="00BE2589">
        <w:rPr>
          <w:lang w:val="en-GB"/>
        </w:rPr>
        <w:t xml:space="preserve">should be taken </w:t>
      </w:r>
      <w:r w:rsidR="00D35D85">
        <w:rPr>
          <w:lang w:val="en-GB"/>
        </w:rPr>
        <w:t xml:space="preserve">into </w:t>
      </w:r>
      <w:r w:rsidR="00BE2589">
        <w:rPr>
          <w:lang w:val="en-GB"/>
        </w:rPr>
        <w:t xml:space="preserve">account </w:t>
      </w:r>
      <w:r w:rsidR="00D35D85">
        <w:rPr>
          <w:lang w:val="en-GB"/>
        </w:rPr>
        <w:t>i</w:t>
      </w:r>
      <w:r w:rsidR="00BE2589">
        <w:rPr>
          <w:lang w:val="en-GB"/>
        </w:rPr>
        <w:t>n decision</w:t>
      </w:r>
      <w:r w:rsidR="00EF51D0">
        <w:rPr>
          <w:lang w:val="en-GB"/>
        </w:rPr>
        <w:t xml:space="preserve"> </w:t>
      </w:r>
      <w:r w:rsidR="00BE2589">
        <w:rPr>
          <w:lang w:val="en-GB"/>
        </w:rPr>
        <w:t>making.</w:t>
      </w:r>
    </w:p>
    <w:p w14:paraId="0D536CEE" w14:textId="292B7182" w:rsidR="0070272A" w:rsidRDefault="009D151A" w:rsidP="007A3D3D">
      <w:pPr>
        <w:pStyle w:val="Heading3"/>
      </w:pPr>
      <w:r>
        <w:t>The company’s u</w:t>
      </w:r>
      <w:r w:rsidR="00D66A24">
        <w:t xml:space="preserve">tility </w:t>
      </w:r>
      <w:r w:rsidR="00CD63F3">
        <w:t xml:space="preserve">value </w:t>
      </w:r>
      <w:r w:rsidR="00D66A24">
        <w:t xml:space="preserve">estimates </w:t>
      </w:r>
      <w:r>
        <w:t>are appropriate</w:t>
      </w:r>
    </w:p>
    <w:p w14:paraId="478C9E42" w14:textId="1FC57E2D" w:rsidR="00A22BB7" w:rsidRDefault="00D66A24" w:rsidP="00D6148E">
      <w:pPr>
        <w:pStyle w:val="Numberedlevel2text"/>
        <w:numPr>
          <w:ilvl w:val="1"/>
          <w:numId w:val="4"/>
        </w:numPr>
      </w:pPr>
      <w:bookmarkStart w:id="22" w:name="_Ref497478148"/>
      <w:r>
        <w:rPr>
          <w:lang w:val="en-GB"/>
        </w:rPr>
        <w:t>EQ</w:t>
      </w:r>
      <w:r w:rsidR="00A673EB">
        <w:rPr>
          <w:lang w:val="en-GB"/>
        </w:rPr>
        <w:noBreakHyphen/>
      </w:r>
      <w:r>
        <w:rPr>
          <w:lang w:val="en-GB"/>
        </w:rPr>
        <w:t>5D data were collected directly in KEYNOTE</w:t>
      </w:r>
      <w:r w:rsidR="00A673EB">
        <w:rPr>
          <w:lang w:val="en-GB"/>
        </w:rPr>
        <w:noBreakHyphen/>
      </w:r>
      <w:r>
        <w:rPr>
          <w:lang w:val="en-GB"/>
        </w:rPr>
        <w:t xml:space="preserve">045; these data are the preferred measure of health-related quality of life in adults. </w:t>
      </w:r>
      <w:r w:rsidR="009D151A">
        <w:rPr>
          <w:lang w:val="en-GB"/>
        </w:rPr>
        <w:t>In the company’s base case</w:t>
      </w:r>
      <w:r w:rsidR="00CD63F3">
        <w:rPr>
          <w:lang w:val="en-GB"/>
        </w:rPr>
        <w:t xml:space="preserve">, </w:t>
      </w:r>
      <w:r w:rsidR="009D151A" w:rsidRPr="009D151A">
        <w:rPr>
          <w:lang w:val="en-GB"/>
        </w:rPr>
        <w:t xml:space="preserve">vinflunine data </w:t>
      </w:r>
      <w:r w:rsidR="009D151A">
        <w:rPr>
          <w:lang w:val="en-GB"/>
        </w:rPr>
        <w:t xml:space="preserve">was not </w:t>
      </w:r>
      <w:r w:rsidR="009D151A" w:rsidRPr="009D151A">
        <w:rPr>
          <w:lang w:val="en-GB"/>
        </w:rPr>
        <w:t xml:space="preserve">included in the utility estimates because vinflunine is not used in </w:t>
      </w:r>
      <w:r w:rsidR="00ED6AB9">
        <w:rPr>
          <w:lang w:val="en-GB"/>
        </w:rPr>
        <w:t xml:space="preserve">UK </w:t>
      </w:r>
      <w:r w:rsidR="009D151A" w:rsidRPr="009D151A">
        <w:rPr>
          <w:lang w:val="en-GB"/>
        </w:rPr>
        <w:t xml:space="preserve">clinical practice and is not included in the survival data </w:t>
      </w:r>
      <w:r w:rsidR="009D151A">
        <w:rPr>
          <w:lang w:val="en-GB"/>
        </w:rPr>
        <w:t>(</w:t>
      </w:r>
      <w:r w:rsidR="009D151A" w:rsidRPr="00D6148E">
        <w:rPr>
          <w:lang w:val="en-GB"/>
        </w:rPr>
        <w:t>see sections</w:t>
      </w:r>
      <w:r w:rsidR="00BB7128">
        <w:rPr>
          <w:lang w:val="en-GB"/>
        </w:rPr>
        <w:t> </w:t>
      </w:r>
      <w:r w:rsidR="000E7F02" w:rsidRPr="00D6148E">
        <w:rPr>
          <w:lang w:val="en-GB"/>
        </w:rPr>
        <w:fldChar w:fldCharType="begin"/>
      </w:r>
      <w:r w:rsidR="000E7F02" w:rsidRPr="00D6148E">
        <w:rPr>
          <w:lang w:val="en-GB"/>
        </w:rPr>
        <w:instrText xml:space="preserve"> REF _Ref22910279 \r \h </w:instrText>
      </w:r>
      <w:r w:rsidR="000E7F02">
        <w:rPr>
          <w:lang w:val="en-GB"/>
        </w:rPr>
        <w:instrText xml:space="preserve"> \* MERGEFORMAT </w:instrText>
      </w:r>
      <w:r w:rsidR="000E7F02" w:rsidRPr="00D6148E">
        <w:rPr>
          <w:lang w:val="en-GB"/>
        </w:rPr>
      </w:r>
      <w:r w:rsidR="000E7F02" w:rsidRPr="00D6148E">
        <w:rPr>
          <w:lang w:val="en-GB"/>
        </w:rPr>
        <w:fldChar w:fldCharType="separate"/>
      </w:r>
      <w:r w:rsidR="00DA285A">
        <w:rPr>
          <w:lang w:val="en-GB"/>
        </w:rPr>
        <w:t>3.3</w:t>
      </w:r>
      <w:r w:rsidR="000E7F02" w:rsidRPr="00D6148E">
        <w:rPr>
          <w:lang w:val="en-GB"/>
        </w:rPr>
        <w:fldChar w:fldCharType="end"/>
      </w:r>
      <w:r w:rsidR="000E7F02" w:rsidRPr="00D6148E">
        <w:rPr>
          <w:lang w:val="en-GB"/>
        </w:rPr>
        <w:t xml:space="preserve"> </w:t>
      </w:r>
      <w:r w:rsidR="009D151A" w:rsidRPr="00D6148E">
        <w:rPr>
          <w:lang w:val="en-GB"/>
        </w:rPr>
        <w:t>and</w:t>
      </w:r>
      <w:r w:rsidR="00BB7128">
        <w:rPr>
          <w:lang w:val="en-GB"/>
        </w:rPr>
        <w:t> </w:t>
      </w:r>
      <w:r w:rsidR="000E7F02" w:rsidRPr="00D6148E">
        <w:rPr>
          <w:lang w:val="en-GB"/>
        </w:rPr>
        <w:fldChar w:fldCharType="begin"/>
      </w:r>
      <w:r w:rsidR="000E7F02" w:rsidRPr="00D6148E">
        <w:rPr>
          <w:lang w:val="en-GB"/>
        </w:rPr>
        <w:instrText xml:space="preserve"> REF _Ref22910029 \r \h </w:instrText>
      </w:r>
      <w:r w:rsidR="000E7F02">
        <w:rPr>
          <w:lang w:val="en-GB"/>
        </w:rPr>
        <w:instrText xml:space="preserve"> \* MERGEFORMAT </w:instrText>
      </w:r>
      <w:r w:rsidR="000E7F02" w:rsidRPr="00D6148E">
        <w:rPr>
          <w:lang w:val="en-GB"/>
        </w:rPr>
      </w:r>
      <w:r w:rsidR="000E7F02" w:rsidRPr="00D6148E">
        <w:rPr>
          <w:lang w:val="en-GB"/>
        </w:rPr>
        <w:fldChar w:fldCharType="separate"/>
      </w:r>
      <w:r w:rsidR="00DA285A">
        <w:rPr>
          <w:lang w:val="en-GB"/>
        </w:rPr>
        <w:t>3.6</w:t>
      </w:r>
      <w:r w:rsidR="000E7F02" w:rsidRPr="00D6148E">
        <w:rPr>
          <w:lang w:val="en-GB"/>
        </w:rPr>
        <w:fldChar w:fldCharType="end"/>
      </w:r>
      <w:r w:rsidR="009D151A">
        <w:rPr>
          <w:lang w:val="en-GB"/>
        </w:rPr>
        <w:t xml:space="preserve">). The company based the utility values on progression state and </w:t>
      </w:r>
      <w:r w:rsidR="00CD63F3">
        <w:rPr>
          <w:lang w:val="en-GB"/>
        </w:rPr>
        <w:t xml:space="preserve">used the </w:t>
      </w:r>
      <w:r w:rsidR="009D151A" w:rsidRPr="009D151A">
        <w:rPr>
          <w:lang w:val="en-GB"/>
        </w:rPr>
        <w:t>mo</w:t>
      </w:r>
      <w:r w:rsidR="00CD63F3">
        <w:rPr>
          <w:lang w:val="en-GB"/>
        </w:rPr>
        <w:t xml:space="preserve">st </w:t>
      </w:r>
      <w:r w:rsidR="009D151A" w:rsidRPr="009D151A">
        <w:rPr>
          <w:lang w:val="en-GB"/>
        </w:rPr>
        <w:t>recent age-related disutility algorithm</w:t>
      </w:r>
      <w:r w:rsidR="00CD63F3">
        <w:rPr>
          <w:lang w:val="en-GB"/>
        </w:rPr>
        <w:t xml:space="preserve">. </w:t>
      </w:r>
      <w:r w:rsidR="00D208DF">
        <w:rPr>
          <w:lang w:val="en-GB"/>
        </w:rPr>
        <w:t>It</w:t>
      </w:r>
      <w:r w:rsidR="00CD63F3">
        <w:rPr>
          <w:lang w:val="en-GB"/>
        </w:rPr>
        <w:t xml:space="preserve"> also pooled the utility estimates across treatment arms. The committee agreed </w:t>
      </w:r>
      <w:r w:rsidR="00A107F5">
        <w:rPr>
          <w:lang w:val="en-GB"/>
        </w:rPr>
        <w:t>with</w:t>
      </w:r>
      <w:r w:rsidR="00CD63F3">
        <w:rPr>
          <w:lang w:val="en-GB"/>
        </w:rPr>
        <w:t xml:space="preserve"> the utility values estimates used in the company’s economic model</w:t>
      </w:r>
      <w:bookmarkEnd w:id="22"/>
      <w:r w:rsidR="000827BA">
        <w:rPr>
          <w:lang w:val="en-GB"/>
        </w:rPr>
        <w:t>.</w:t>
      </w:r>
      <w:bookmarkStart w:id="23" w:name="_Ref484181954"/>
      <w:bookmarkEnd w:id="23"/>
    </w:p>
    <w:p w14:paraId="7BE73058" w14:textId="0177FC30" w:rsidR="0070272A" w:rsidRDefault="00D66A24">
      <w:pPr>
        <w:pStyle w:val="Heading2"/>
      </w:pPr>
      <w:r>
        <w:t>Cost</w:t>
      </w:r>
      <w:r w:rsidR="00C261F9">
        <w:t>-</w:t>
      </w:r>
      <w:r>
        <w:t>effectiveness estimates</w:t>
      </w:r>
    </w:p>
    <w:p w14:paraId="6F36A052" w14:textId="397DE913" w:rsidR="0070272A" w:rsidRDefault="00ED664E" w:rsidP="00C06A08">
      <w:pPr>
        <w:pStyle w:val="Heading3"/>
      </w:pPr>
      <w:r>
        <w:t>The most plausible</w:t>
      </w:r>
      <w:r w:rsidR="00567FC8">
        <w:t xml:space="preserve"> ICER</w:t>
      </w:r>
      <w:r w:rsidR="000067B0">
        <w:t xml:space="preserve"> for pembrolizumab compared with docetaxel and paclitaxel </w:t>
      </w:r>
      <w:r w:rsidR="00567FC8">
        <w:t xml:space="preserve">is </w:t>
      </w:r>
      <w:r w:rsidR="00714C9D">
        <w:t xml:space="preserve">likely to be over £50,000 per </w:t>
      </w:r>
      <w:r w:rsidR="000E11EB">
        <w:t>quality-adjusted life year</w:t>
      </w:r>
      <w:r w:rsidR="00714C9D">
        <w:t xml:space="preserve"> gained</w:t>
      </w:r>
    </w:p>
    <w:p w14:paraId="1DB1497A" w14:textId="6358DAA9" w:rsidR="0070272A" w:rsidRDefault="00D66A24">
      <w:pPr>
        <w:pStyle w:val="Numberedlevel2text"/>
        <w:numPr>
          <w:ilvl w:val="1"/>
          <w:numId w:val="4"/>
        </w:numPr>
      </w:pPr>
      <w:bookmarkStart w:id="24" w:name="_Ref484182316"/>
      <w:bookmarkStart w:id="25" w:name="_Ref496882427"/>
      <w:r>
        <w:rPr>
          <w:lang w:val="en-GB"/>
        </w:rPr>
        <w:t xml:space="preserve">The company’s </w:t>
      </w:r>
      <w:r w:rsidR="002302CF">
        <w:rPr>
          <w:lang w:val="en-GB"/>
        </w:rPr>
        <w:t>base</w:t>
      </w:r>
      <w:r w:rsidR="00C17113">
        <w:rPr>
          <w:lang w:val="en-GB"/>
        </w:rPr>
        <w:t>-</w:t>
      </w:r>
      <w:r w:rsidR="002302CF">
        <w:rPr>
          <w:lang w:val="en-GB"/>
        </w:rPr>
        <w:t xml:space="preserve">case </w:t>
      </w:r>
      <w:r>
        <w:rPr>
          <w:lang w:val="en-GB"/>
        </w:rPr>
        <w:t xml:space="preserve">deterministic </w:t>
      </w:r>
      <w:r w:rsidR="00B562B0">
        <w:rPr>
          <w:lang w:val="en-GB"/>
        </w:rPr>
        <w:t>ICER</w:t>
      </w:r>
      <w:r>
        <w:rPr>
          <w:lang w:val="en-GB"/>
        </w:rPr>
        <w:t xml:space="preserve"> was £</w:t>
      </w:r>
      <w:r w:rsidR="00E304D0">
        <w:rPr>
          <w:lang w:val="en-GB"/>
        </w:rPr>
        <w:t>4</w:t>
      </w:r>
      <w:r w:rsidR="002A61E0">
        <w:rPr>
          <w:lang w:val="en-GB"/>
        </w:rPr>
        <w:t>7,123</w:t>
      </w:r>
      <w:r w:rsidR="00E304D0">
        <w:rPr>
          <w:lang w:val="en-GB"/>
        </w:rPr>
        <w:t xml:space="preserve"> </w:t>
      </w:r>
      <w:r>
        <w:rPr>
          <w:lang w:val="en-GB"/>
        </w:rPr>
        <w:t xml:space="preserve">per </w:t>
      </w:r>
      <w:r w:rsidR="00D47794">
        <w:rPr>
          <w:lang w:val="en-GB"/>
        </w:rPr>
        <w:t>quality-adjusted life year (</w:t>
      </w:r>
      <w:r>
        <w:rPr>
          <w:lang w:val="en-GB"/>
        </w:rPr>
        <w:t>QALY</w:t>
      </w:r>
      <w:r w:rsidR="00D47794">
        <w:rPr>
          <w:lang w:val="en-GB"/>
        </w:rPr>
        <w:t>)</w:t>
      </w:r>
      <w:r>
        <w:rPr>
          <w:lang w:val="en-GB"/>
        </w:rPr>
        <w:t xml:space="preserve"> gained compared with docetaxel or paclitaxel</w:t>
      </w:r>
      <w:r w:rsidR="002A61E0">
        <w:rPr>
          <w:lang w:val="en-GB"/>
        </w:rPr>
        <w:t>. This was based the following assumptions: log-normal extrapolation for progression-free survival from 21</w:t>
      </w:r>
      <w:r w:rsidR="00C17113">
        <w:rPr>
          <w:lang w:val="en-GB"/>
        </w:rPr>
        <w:t> </w:t>
      </w:r>
      <w:r w:rsidR="002A61E0">
        <w:rPr>
          <w:lang w:val="en-GB"/>
        </w:rPr>
        <w:t>weeks; log-logistic extrapolation for overall survival from 24</w:t>
      </w:r>
      <w:r w:rsidR="000C0862">
        <w:rPr>
          <w:lang w:val="en-GB"/>
        </w:rPr>
        <w:t> </w:t>
      </w:r>
      <w:r w:rsidR="002A61E0">
        <w:rPr>
          <w:lang w:val="en-GB"/>
        </w:rPr>
        <w:t>weeks; a 5</w:t>
      </w:r>
      <w:r w:rsidR="0094696E">
        <w:rPr>
          <w:lang w:val="en-GB"/>
        </w:rPr>
        <w:noBreakHyphen/>
      </w:r>
      <w:r w:rsidR="002A61E0">
        <w:rPr>
          <w:lang w:val="en-GB"/>
        </w:rPr>
        <w:t>year treatment effect duration from the start of treatment with pembrolizumab; 2</w:t>
      </w:r>
      <w:r w:rsidR="00254AF7">
        <w:rPr>
          <w:lang w:val="en-GB"/>
        </w:rPr>
        <w:noBreakHyphen/>
      </w:r>
      <w:r w:rsidR="002A61E0">
        <w:rPr>
          <w:lang w:val="en-GB"/>
        </w:rPr>
        <w:t xml:space="preserve">stage adjustment for treatment switching applied to the UK SoC arm. </w:t>
      </w:r>
      <w:bookmarkStart w:id="26" w:name="_Ref484181780"/>
      <w:bookmarkEnd w:id="24"/>
      <w:bookmarkEnd w:id="26"/>
      <w:r>
        <w:rPr>
          <w:lang w:val="en-GB"/>
        </w:rPr>
        <w:t xml:space="preserve">The </w:t>
      </w:r>
      <w:r w:rsidR="002A61E0">
        <w:rPr>
          <w:lang w:val="en-GB"/>
        </w:rPr>
        <w:t>ERG made the following changes</w:t>
      </w:r>
      <w:r>
        <w:rPr>
          <w:lang w:val="en-GB"/>
        </w:rPr>
        <w:t xml:space="preserve"> to the company's base case</w:t>
      </w:r>
      <w:r w:rsidR="002A61E0">
        <w:rPr>
          <w:lang w:val="en-GB"/>
        </w:rPr>
        <w:t xml:space="preserve">, </w:t>
      </w:r>
      <w:r w:rsidR="00714C9D">
        <w:rPr>
          <w:lang w:val="en-GB"/>
        </w:rPr>
        <w:t xml:space="preserve">which were </w:t>
      </w:r>
      <w:r w:rsidR="002A61E0">
        <w:rPr>
          <w:lang w:val="en-GB"/>
        </w:rPr>
        <w:t>the committee</w:t>
      </w:r>
      <w:r w:rsidR="00714C9D">
        <w:rPr>
          <w:lang w:val="en-GB"/>
        </w:rPr>
        <w:t>’s preferred assumptions</w:t>
      </w:r>
      <w:r>
        <w:rPr>
          <w:lang w:val="en-GB"/>
        </w:rPr>
        <w:t>:</w:t>
      </w:r>
      <w:bookmarkEnd w:id="25"/>
    </w:p>
    <w:p w14:paraId="355C7F26" w14:textId="527409F1" w:rsidR="0070272A" w:rsidRDefault="002A61E0">
      <w:pPr>
        <w:pStyle w:val="Bulletindent1"/>
        <w:numPr>
          <w:ilvl w:val="0"/>
          <w:numId w:val="1"/>
        </w:numPr>
      </w:pPr>
      <w:r>
        <w:rPr>
          <w:lang w:val="en-GB"/>
        </w:rPr>
        <w:lastRenderedPageBreak/>
        <w:t>a Weibull extrapolation for progression-free survival from 21</w:t>
      </w:r>
      <w:r w:rsidR="001D331C">
        <w:rPr>
          <w:lang w:val="en-GB"/>
        </w:rPr>
        <w:t> </w:t>
      </w:r>
      <w:r>
        <w:rPr>
          <w:lang w:val="en-GB"/>
        </w:rPr>
        <w:t>weeks</w:t>
      </w:r>
      <w:r w:rsidR="00D66A24">
        <w:rPr>
          <w:lang w:val="en-GB"/>
        </w:rPr>
        <w:t xml:space="preserve"> (see section </w:t>
      </w:r>
      <w:r w:rsidR="000E7F02">
        <w:rPr>
          <w:lang w:val="en-GB"/>
        </w:rPr>
        <w:fldChar w:fldCharType="begin"/>
      </w:r>
      <w:r w:rsidR="000E7F02">
        <w:rPr>
          <w:lang w:val="en-GB"/>
        </w:rPr>
        <w:instrText xml:space="preserve"> REF _Ref22910371 \r \h </w:instrText>
      </w:r>
      <w:r w:rsidR="000E7F02">
        <w:rPr>
          <w:lang w:val="en-GB"/>
        </w:rPr>
      </w:r>
      <w:r w:rsidR="000E7F02">
        <w:rPr>
          <w:lang w:val="en-GB"/>
        </w:rPr>
        <w:fldChar w:fldCharType="separate"/>
      </w:r>
      <w:r w:rsidR="00DA285A">
        <w:rPr>
          <w:lang w:val="en-GB"/>
        </w:rPr>
        <w:t>3.11</w:t>
      </w:r>
      <w:r w:rsidR="000E7F02">
        <w:rPr>
          <w:lang w:val="en-GB"/>
        </w:rPr>
        <w:fldChar w:fldCharType="end"/>
      </w:r>
      <w:r w:rsidR="00D66A24">
        <w:rPr>
          <w:lang w:val="en-GB"/>
        </w:rPr>
        <w:t>)</w:t>
      </w:r>
    </w:p>
    <w:p w14:paraId="11D4A45B" w14:textId="68333D9F" w:rsidR="002A61E0" w:rsidRDefault="002A61E0" w:rsidP="00357A4F">
      <w:pPr>
        <w:pStyle w:val="Bulletindent1"/>
        <w:numPr>
          <w:ilvl w:val="0"/>
          <w:numId w:val="1"/>
        </w:numPr>
        <w:ind w:left="1276"/>
      </w:pPr>
      <w:r>
        <w:rPr>
          <w:lang w:val="en-GB"/>
        </w:rPr>
        <w:t xml:space="preserve">a 3-year treatment effect duration from the start of treatment with pembrolizumab </w:t>
      </w:r>
      <w:r w:rsidR="00D66A24">
        <w:rPr>
          <w:lang w:val="en-GB"/>
        </w:rPr>
        <w:t>(see section</w:t>
      </w:r>
      <w:r w:rsidR="000E7F02">
        <w:rPr>
          <w:lang w:val="en-GB"/>
        </w:rPr>
        <w:t xml:space="preserve"> </w:t>
      </w:r>
      <w:r w:rsidR="000E7F02">
        <w:rPr>
          <w:lang w:val="en-GB"/>
        </w:rPr>
        <w:fldChar w:fldCharType="begin"/>
      </w:r>
      <w:r w:rsidR="000E7F02">
        <w:rPr>
          <w:lang w:val="en-GB"/>
        </w:rPr>
        <w:instrText xml:space="preserve"> REF _Ref22909373 \r \h </w:instrText>
      </w:r>
      <w:r w:rsidR="000E7F02">
        <w:rPr>
          <w:lang w:val="en-GB"/>
        </w:rPr>
      </w:r>
      <w:r w:rsidR="000E7F02">
        <w:rPr>
          <w:lang w:val="en-GB"/>
        </w:rPr>
        <w:fldChar w:fldCharType="separate"/>
      </w:r>
      <w:r w:rsidR="00DA285A">
        <w:rPr>
          <w:lang w:val="en-GB"/>
        </w:rPr>
        <w:t>3.15</w:t>
      </w:r>
      <w:r w:rsidR="000E7F02">
        <w:rPr>
          <w:lang w:val="en-GB"/>
        </w:rPr>
        <w:fldChar w:fldCharType="end"/>
      </w:r>
      <w:r w:rsidR="00D66A24">
        <w:rPr>
          <w:lang w:val="en-GB"/>
        </w:rPr>
        <w:t>)</w:t>
      </w:r>
      <w:r w:rsidR="000E600B">
        <w:rPr>
          <w:lang w:val="en-GB"/>
        </w:rPr>
        <w:t>.</w:t>
      </w:r>
      <w:bookmarkStart w:id="27" w:name="_GoBack"/>
      <w:bookmarkEnd w:id="27"/>
    </w:p>
    <w:p w14:paraId="14805F4B" w14:textId="06421DDE" w:rsidR="000E7F02" w:rsidRDefault="00B175B9" w:rsidP="00357A4F">
      <w:pPr>
        <w:pStyle w:val="Bulletindent1"/>
        <w:spacing w:before="120" w:after="120"/>
        <w:ind w:left="1134"/>
        <w:rPr>
          <w:lang w:val="en-GB"/>
        </w:rPr>
      </w:pPr>
      <w:r>
        <w:rPr>
          <w:lang w:val="en-GB"/>
        </w:rPr>
        <w:t>These changes increased the ICER to £53,678</w:t>
      </w:r>
      <w:r w:rsidR="00EE6FAD">
        <w:rPr>
          <w:lang w:val="en-GB"/>
        </w:rPr>
        <w:t xml:space="preserve"> per QALY gained</w:t>
      </w:r>
      <w:r>
        <w:rPr>
          <w:lang w:val="en-GB"/>
        </w:rPr>
        <w:t xml:space="preserve">, which was the lowest ICER the committee </w:t>
      </w:r>
      <w:r w:rsidR="00714C9D">
        <w:rPr>
          <w:lang w:val="en-GB"/>
        </w:rPr>
        <w:t xml:space="preserve">considered </w:t>
      </w:r>
      <w:r>
        <w:rPr>
          <w:lang w:val="en-GB"/>
        </w:rPr>
        <w:t xml:space="preserve">plausible. When also considering the approach without adjustment for treatment switching, the ICER </w:t>
      </w:r>
      <w:r w:rsidR="00B44764">
        <w:rPr>
          <w:lang w:val="en-GB"/>
        </w:rPr>
        <w:t xml:space="preserve">using </w:t>
      </w:r>
      <w:r>
        <w:rPr>
          <w:lang w:val="en-GB"/>
        </w:rPr>
        <w:t>the same ERG assumptions on progression-free survival extrapolation and treatment effect duration could be as high as £65,469</w:t>
      </w:r>
      <w:r w:rsidR="001E76BB">
        <w:rPr>
          <w:lang w:val="en-GB"/>
        </w:rPr>
        <w:t xml:space="preserve"> per QALY gained</w:t>
      </w:r>
      <w:r>
        <w:rPr>
          <w:lang w:val="en-GB"/>
        </w:rPr>
        <w:t>, when using the company’s preferred overall survival extrapolation (log-logistic).</w:t>
      </w:r>
    </w:p>
    <w:p w14:paraId="04EAC5C6" w14:textId="7A34A414" w:rsidR="0070272A" w:rsidRDefault="00F1053C" w:rsidP="00D6148E">
      <w:pPr>
        <w:pStyle w:val="Bulletindent1"/>
        <w:ind w:left="1134"/>
      </w:pPr>
      <w:r>
        <w:rPr>
          <w:lang w:val="en-GB"/>
        </w:rPr>
        <w:t xml:space="preserve">Considering all </w:t>
      </w:r>
      <w:r w:rsidR="00C72176">
        <w:rPr>
          <w:lang w:val="en-GB"/>
        </w:rPr>
        <w:t>3</w:t>
      </w:r>
      <w:r>
        <w:rPr>
          <w:lang w:val="en-GB"/>
        </w:rPr>
        <w:t xml:space="preserve"> plausible options for the extrapolation of overall survival (</w:t>
      </w:r>
      <w:r w:rsidR="009D75C2">
        <w:rPr>
          <w:lang w:val="en-GB"/>
        </w:rPr>
        <w:t>log-logistic, log-normal and generalised gamma),</w:t>
      </w:r>
      <w:r>
        <w:rPr>
          <w:lang w:val="en-GB"/>
        </w:rPr>
        <w:t xml:space="preserve"> with the committee’s other preferred assumptions, the ICER ranged from £53,678 to </w:t>
      </w:r>
      <w:r w:rsidR="009D75C2">
        <w:rPr>
          <w:lang w:val="en-GB"/>
        </w:rPr>
        <w:t xml:space="preserve">£58,705 </w:t>
      </w:r>
      <w:r w:rsidR="006B32EB">
        <w:rPr>
          <w:lang w:val="en-GB"/>
        </w:rPr>
        <w:t xml:space="preserve">per QALY gained </w:t>
      </w:r>
      <w:r w:rsidR="009D75C2">
        <w:rPr>
          <w:lang w:val="en-GB"/>
        </w:rPr>
        <w:t>using the company’s preferred 2</w:t>
      </w:r>
      <w:r w:rsidR="00C21725">
        <w:rPr>
          <w:lang w:val="en-GB"/>
        </w:rPr>
        <w:noBreakHyphen/>
      </w:r>
      <w:r w:rsidR="009D75C2">
        <w:rPr>
          <w:lang w:val="en-GB"/>
        </w:rPr>
        <w:t xml:space="preserve">stage adjustment for treatment switching. When this adjustment was removed, the ICERs then ranged from </w:t>
      </w:r>
      <w:r w:rsidR="009D75C2" w:rsidRPr="009D75C2">
        <w:rPr>
          <w:lang w:val="en-GB"/>
        </w:rPr>
        <w:t>£61,653</w:t>
      </w:r>
      <w:r w:rsidR="009D75C2">
        <w:rPr>
          <w:lang w:val="en-GB"/>
        </w:rPr>
        <w:t xml:space="preserve"> to </w:t>
      </w:r>
      <w:r w:rsidR="009D75C2" w:rsidRPr="009D75C2">
        <w:rPr>
          <w:lang w:val="en-GB"/>
        </w:rPr>
        <w:t>£70,520</w:t>
      </w:r>
      <w:r w:rsidR="006B32EB">
        <w:rPr>
          <w:lang w:val="en-GB"/>
        </w:rPr>
        <w:t xml:space="preserve"> per QALY gained</w:t>
      </w:r>
      <w:r w:rsidR="009D75C2">
        <w:rPr>
          <w:lang w:val="en-GB"/>
        </w:rPr>
        <w:t xml:space="preserve">. The committee </w:t>
      </w:r>
      <w:r w:rsidR="009B59F1">
        <w:rPr>
          <w:lang w:val="en-GB"/>
        </w:rPr>
        <w:t>felt</w:t>
      </w:r>
      <w:r w:rsidR="009D75C2">
        <w:rPr>
          <w:lang w:val="en-GB"/>
        </w:rPr>
        <w:t xml:space="preserve"> the true overall survival benefit lay somewhere between that found using the 2</w:t>
      </w:r>
      <w:r w:rsidR="009902FD">
        <w:rPr>
          <w:lang w:val="en-GB"/>
        </w:rPr>
        <w:noBreakHyphen/>
      </w:r>
      <w:r w:rsidR="009D75C2">
        <w:rPr>
          <w:lang w:val="en-GB"/>
        </w:rPr>
        <w:t>stage adjustment for treatment switching in the UK SoC arm, and that found without the adjustment. All plausible ICERs using the committee’s preferred assumptions on treatment effect duration and progression-free survival extrapolation were above the company’s preferred ICER</w:t>
      </w:r>
      <w:r w:rsidR="00EC2455">
        <w:rPr>
          <w:lang w:val="en-GB"/>
        </w:rPr>
        <w:t>. They were also above</w:t>
      </w:r>
      <w:r w:rsidR="009D75C2">
        <w:rPr>
          <w:lang w:val="en-GB"/>
        </w:rPr>
        <w:t xml:space="preserve"> the level usually considered cost</w:t>
      </w:r>
      <w:r w:rsidR="00681A9C">
        <w:rPr>
          <w:rFonts w:cs="Arial"/>
        </w:rPr>
        <w:t>-</w:t>
      </w:r>
      <w:r w:rsidR="009D75C2">
        <w:rPr>
          <w:lang w:val="en-GB"/>
        </w:rPr>
        <w:t xml:space="preserve">effective for end-of-life treatments. This was the case when any of the </w:t>
      </w:r>
      <w:r w:rsidR="00DF0142">
        <w:rPr>
          <w:lang w:val="en-GB"/>
        </w:rPr>
        <w:t>3</w:t>
      </w:r>
      <w:r w:rsidR="009D75C2">
        <w:rPr>
          <w:lang w:val="en-GB"/>
        </w:rPr>
        <w:t xml:space="preserve"> plausible extrapolations w</w:t>
      </w:r>
      <w:r w:rsidR="00DF0142">
        <w:rPr>
          <w:lang w:val="en-GB"/>
        </w:rPr>
        <w:t>ere</w:t>
      </w:r>
      <w:r w:rsidR="009D75C2">
        <w:rPr>
          <w:lang w:val="en-GB"/>
        </w:rPr>
        <w:t xml:space="preserve"> used, </w:t>
      </w:r>
      <w:r w:rsidR="00277984">
        <w:rPr>
          <w:lang w:val="en-GB"/>
        </w:rPr>
        <w:t xml:space="preserve">and </w:t>
      </w:r>
      <w:r w:rsidR="009D75C2">
        <w:rPr>
          <w:lang w:val="en-GB"/>
        </w:rPr>
        <w:t>whether or not the 2</w:t>
      </w:r>
      <w:r w:rsidR="00DF0142">
        <w:rPr>
          <w:lang w:val="en-GB"/>
        </w:rPr>
        <w:noBreakHyphen/>
      </w:r>
      <w:r w:rsidR="009D75C2">
        <w:rPr>
          <w:lang w:val="en-GB"/>
        </w:rPr>
        <w:t>stage adjustment was applied.</w:t>
      </w:r>
      <w:bookmarkStart w:id="28" w:name="_Ref481132473"/>
      <w:bookmarkStart w:id="29" w:name="_Ref481132456"/>
      <w:bookmarkEnd w:id="28"/>
      <w:bookmarkEnd w:id="29"/>
    </w:p>
    <w:p w14:paraId="3DB1F461" w14:textId="77777777" w:rsidR="0070272A" w:rsidRDefault="00D66A24">
      <w:pPr>
        <w:pStyle w:val="Heading2"/>
      </w:pPr>
      <w:r>
        <w:lastRenderedPageBreak/>
        <w:t>End of life</w:t>
      </w:r>
    </w:p>
    <w:p w14:paraId="6EF8F099" w14:textId="77777777" w:rsidR="0070272A" w:rsidRDefault="00D66A24" w:rsidP="00C06A08">
      <w:pPr>
        <w:pStyle w:val="Heading3"/>
      </w:pPr>
      <w:r>
        <w:t>Life expectancy for people with urothelial carcinoma is less than 24 months</w:t>
      </w:r>
    </w:p>
    <w:p w14:paraId="5F3302BC" w14:textId="34FCD13B" w:rsidR="0070272A" w:rsidRDefault="00D66A24">
      <w:pPr>
        <w:pStyle w:val="Numberedlevel2text"/>
        <w:keepNext/>
        <w:numPr>
          <w:ilvl w:val="1"/>
          <w:numId w:val="4"/>
        </w:numPr>
      </w:pPr>
      <w:r>
        <w:t>The committee considered the advice about life-extending treatments for people with a short life expectancy in</w:t>
      </w:r>
      <w:r w:rsidR="00043311">
        <w:rPr>
          <w:lang w:val="en-GB"/>
        </w:rPr>
        <w:t xml:space="preserve"> section 6.2.10 of</w:t>
      </w:r>
      <w:r w:rsidR="001021E2">
        <w:rPr>
          <w:lang w:val="en-GB"/>
        </w:rPr>
        <w:t xml:space="preserve"> </w:t>
      </w:r>
      <w:r w:rsidR="00043311">
        <w:rPr>
          <w:lang w:val="en-GB"/>
        </w:rPr>
        <w:t xml:space="preserve">the </w:t>
      </w:r>
      <w:hyperlink r:id="rId20" w:history="1">
        <w:r w:rsidR="00043311" w:rsidRPr="00043311">
          <w:rPr>
            <w:rStyle w:val="Hyperlink"/>
          </w:rPr>
          <w:t>guide to the methods of technology appraisal</w:t>
        </w:r>
      </w:hyperlink>
      <w:r w:rsidR="007801B8">
        <w:rPr>
          <w:lang w:val="en-GB"/>
        </w:rPr>
        <w:t>.</w:t>
      </w:r>
      <w:r>
        <w:rPr>
          <w:lang w:val="en-GB"/>
        </w:rPr>
        <w:t xml:space="preserve"> F</w:t>
      </w:r>
      <w:r>
        <w:t xml:space="preserve">or people </w:t>
      </w:r>
      <w:r>
        <w:rPr>
          <w:lang w:val="en-GB"/>
        </w:rPr>
        <w:t xml:space="preserve">with locally advanced or metastatic disease </w:t>
      </w:r>
      <w:r>
        <w:t xml:space="preserve">who have had </w:t>
      </w:r>
      <w:r w:rsidR="00346FA7">
        <w:rPr>
          <w:lang w:val="en-GB"/>
        </w:rPr>
        <w:t xml:space="preserve">platinum-containing </w:t>
      </w:r>
      <w:r>
        <w:t xml:space="preserve">chemotherapy, data from the company’s model and from the literature showed that median overall survival was </w:t>
      </w:r>
      <w:r>
        <w:rPr>
          <w:lang w:val="en-GB"/>
        </w:rPr>
        <w:t>much</w:t>
      </w:r>
      <w:r>
        <w:t xml:space="preserve"> less than 24</w:t>
      </w:r>
      <w:r>
        <w:rPr>
          <w:lang w:val="en-GB"/>
        </w:rPr>
        <w:t> </w:t>
      </w:r>
      <w:r>
        <w:t xml:space="preserve">months for people having treatment with </w:t>
      </w:r>
      <w:r w:rsidR="001A4C26">
        <w:rPr>
          <w:lang w:val="en-GB"/>
        </w:rPr>
        <w:t xml:space="preserve">UK </w:t>
      </w:r>
      <w:r>
        <w:t>standard care.</w:t>
      </w:r>
      <w:r>
        <w:rPr>
          <w:lang w:val="en-GB"/>
        </w:rPr>
        <w:t xml:space="preserve"> The clinical experts also agreed that they would expect people with locally advanced or metastatic urothelial carcinoma to live for less than 24 months. </w:t>
      </w:r>
      <w:r w:rsidR="00714C9D">
        <w:rPr>
          <w:lang w:val="en-GB"/>
        </w:rPr>
        <w:t xml:space="preserve">The </w:t>
      </w:r>
      <w:r>
        <w:rPr>
          <w:lang w:val="en-GB"/>
        </w:rPr>
        <w:t>committee concluded that the short life expectancy criterion</w:t>
      </w:r>
      <w:r w:rsidR="00064D21">
        <w:rPr>
          <w:lang w:val="en-GB"/>
        </w:rPr>
        <w:t xml:space="preserve"> was met</w:t>
      </w:r>
      <w:r w:rsidR="00241E0E">
        <w:rPr>
          <w:lang w:val="en-GB"/>
        </w:rPr>
        <w:t>.</w:t>
      </w:r>
    </w:p>
    <w:p w14:paraId="42FCC887" w14:textId="77777777" w:rsidR="0070272A" w:rsidRDefault="00D66A24" w:rsidP="002764D4">
      <w:pPr>
        <w:pStyle w:val="Heading3"/>
      </w:pPr>
      <w:r>
        <w:t>Pembrolizumab extends life by at least 3 months, and meets the criteria for end-of-life treatments</w:t>
      </w:r>
    </w:p>
    <w:p w14:paraId="76A5C1E6" w14:textId="6116DCBB" w:rsidR="0070272A" w:rsidRDefault="00D66A24">
      <w:pPr>
        <w:pStyle w:val="Numberedlevel2text"/>
        <w:numPr>
          <w:ilvl w:val="1"/>
          <w:numId w:val="4"/>
        </w:numPr>
      </w:pPr>
      <w:r>
        <w:rPr>
          <w:lang w:val="en-GB"/>
        </w:rPr>
        <w:t xml:space="preserve">The median overall survival for pembrolizumab in KEYNOTE-045 </w:t>
      </w:r>
      <w:r w:rsidR="00714C9D">
        <w:rPr>
          <w:lang w:val="en-GB"/>
        </w:rPr>
        <w:t>using the November 2018 cut</w:t>
      </w:r>
      <w:r w:rsidR="00681A9C">
        <w:rPr>
          <w:rFonts w:cs="Arial"/>
        </w:rPr>
        <w:t>-</w:t>
      </w:r>
      <w:r w:rsidR="00714C9D">
        <w:rPr>
          <w:lang w:val="en-GB"/>
        </w:rPr>
        <w:t xml:space="preserve">off </w:t>
      </w:r>
      <w:r>
        <w:rPr>
          <w:lang w:val="en-GB"/>
        </w:rPr>
        <w:t>was 10.</w:t>
      </w:r>
      <w:r w:rsidR="00AB34AA">
        <w:rPr>
          <w:lang w:val="en-GB"/>
        </w:rPr>
        <w:t>1</w:t>
      </w:r>
      <w:r>
        <w:rPr>
          <w:lang w:val="en-GB"/>
        </w:rPr>
        <w:t xml:space="preserve"> months (95% CI </w:t>
      </w:r>
      <w:r w:rsidR="00AB34AA">
        <w:rPr>
          <w:lang w:val="en-GB"/>
        </w:rPr>
        <w:t>7.6</w:t>
      </w:r>
      <w:r>
        <w:rPr>
          <w:lang w:val="en-GB"/>
        </w:rPr>
        <w:t xml:space="preserve"> to </w:t>
      </w:r>
      <w:r w:rsidR="00AB34AA">
        <w:rPr>
          <w:lang w:val="en-GB"/>
        </w:rPr>
        <w:t>12.9</w:t>
      </w:r>
      <w:r>
        <w:rPr>
          <w:lang w:val="en-GB"/>
        </w:rPr>
        <w:t>) compared with 6.</w:t>
      </w:r>
      <w:r w:rsidR="00AB34AA">
        <w:rPr>
          <w:lang w:val="en-GB"/>
        </w:rPr>
        <w:t>2</w:t>
      </w:r>
      <w:r>
        <w:rPr>
          <w:lang w:val="en-GB"/>
        </w:rPr>
        <w:t xml:space="preserve"> months (95% CI </w:t>
      </w:r>
      <w:r w:rsidR="00AB34AA">
        <w:rPr>
          <w:lang w:val="en-GB"/>
        </w:rPr>
        <w:t xml:space="preserve">5.2 </w:t>
      </w:r>
      <w:r>
        <w:rPr>
          <w:lang w:val="en-GB"/>
        </w:rPr>
        <w:t xml:space="preserve">to </w:t>
      </w:r>
      <w:r w:rsidR="00AB34AA">
        <w:rPr>
          <w:lang w:val="en-GB"/>
        </w:rPr>
        <w:t>7.4</w:t>
      </w:r>
      <w:r>
        <w:rPr>
          <w:lang w:val="en-GB"/>
        </w:rPr>
        <w:t xml:space="preserve">) for UK </w:t>
      </w:r>
      <w:r w:rsidR="00CA23CE">
        <w:rPr>
          <w:lang w:val="en-GB"/>
        </w:rPr>
        <w:t>SoC</w:t>
      </w:r>
      <w:r>
        <w:rPr>
          <w:lang w:val="en-GB"/>
        </w:rPr>
        <w:t xml:space="preserve"> (using a 2</w:t>
      </w:r>
      <w:r w:rsidR="00FF6528">
        <w:rPr>
          <w:lang w:val="en-GB"/>
        </w:rPr>
        <w:noBreakHyphen/>
      </w:r>
      <w:r>
        <w:rPr>
          <w:lang w:val="en-GB"/>
        </w:rPr>
        <w:t xml:space="preserve">stage </w:t>
      </w:r>
      <w:r w:rsidR="00C87FDF">
        <w:rPr>
          <w:lang w:val="en-GB"/>
        </w:rPr>
        <w:t xml:space="preserve">method </w:t>
      </w:r>
      <w:r>
        <w:rPr>
          <w:lang w:val="en-GB"/>
        </w:rPr>
        <w:t>for adjustment). The committee concluded that pembrolizumab would extend life by more than 3 months, and therefore met the end-of-life criteria.</w:t>
      </w:r>
    </w:p>
    <w:p w14:paraId="510FA459" w14:textId="45E1AB27" w:rsidR="005C4368" w:rsidRDefault="005C4368">
      <w:pPr>
        <w:pStyle w:val="Heading2"/>
      </w:pPr>
      <w:r>
        <w:t>Cancer Drugs Fund</w:t>
      </w:r>
    </w:p>
    <w:p w14:paraId="7D6FC816" w14:textId="191445A8" w:rsidR="000067B0" w:rsidRDefault="000067B0" w:rsidP="0082739E">
      <w:pPr>
        <w:pStyle w:val="Heading3"/>
      </w:pPr>
      <w:r w:rsidRPr="000067B0">
        <w:t xml:space="preserve">Pembrolizumab </w:t>
      </w:r>
      <w:r>
        <w:t xml:space="preserve">cannot be </w:t>
      </w:r>
      <w:r w:rsidRPr="000067B0">
        <w:t>recommended in the Cancer Drugs Fund</w:t>
      </w:r>
    </w:p>
    <w:p w14:paraId="4A6B6573" w14:textId="2FC12E96" w:rsidR="005C4368" w:rsidRDefault="00376547" w:rsidP="0082739E">
      <w:pPr>
        <w:pStyle w:val="Numberedlevel2text"/>
        <w:numPr>
          <w:ilvl w:val="1"/>
          <w:numId w:val="4"/>
        </w:numPr>
      </w:pPr>
      <w:r w:rsidRPr="00376547">
        <w:t xml:space="preserve">The aim of </w:t>
      </w:r>
      <w:r w:rsidR="009C4A1E">
        <w:rPr>
          <w:lang w:val="en-US"/>
        </w:rPr>
        <w:t>a</w:t>
      </w:r>
      <w:r w:rsidRPr="00376547">
        <w:t xml:space="preserve"> Cancer Drugs Fund guidance review is to decide whether or not the drug can be recommended for routine use. </w:t>
      </w:r>
      <w:r w:rsidR="009C4A1E">
        <w:rPr>
          <w:lang w:val="en-US"/>
        </w:rPr>
        <w:t>P</w:t>
      </w:r>
      <w:r w:rsidR="009C4A1E" w:rsidRPr="005C4368">
        <w:t>embrolizumab</w:t>
      </w:r>
      <w:r w:rsidR="009C4A1E">
        <w:rPr>
          <w:lang w:val="en-GB"/>
        </w:rPr>
        <w:t xml:space="preserve"> for </w:t>
      </w:r>
      <w:r w:rsidR="009C4A1E" w:rsidRPr="005C4368">
        <w:t>locally advanced or metastatic urothelial carcinoma in adults who have had platinum-containing chemotherapy</w:t>
      </w:r>
      <w:r w:rsidR="009C4A1E">
        <w:rPr>
          <w:lang w:val="en-GB"/>
        </w:rPr>
        <w:t xml:space="preserve"> </w:t>
      </w:r>
      <w:r w:rsidRPr="00376547">
        <w:t>may not remain in the Cancer Drugs Fund once the guidance review has been completed</w:t>
      </w:r>
      <w:r w:rsidR="009B19D0">
        <w:rPr>
          <w:lang w:val="en-GB"/>
        </w:rPr>
        <w:t xml:space="preserve"> </w:t>
      </w:r>
      <w:r w:rsidR="009B19D0">
        <w:rPr>
          <w:lang w:val="en-US"/>
        </w:rPr>
        <w:t>(see section</w:t>
      </w:r>
      <w:r w:rsidR="00A871CE">
        <w:rPr>
          <w:lang w:val="en-US"/>
        </w:rPr>
        <w:t> </w:t>
      </w:r>
      <w:r w:rsidR="009B19D0">
        <w:rPr>
          <w:lang w:val="en-US"/>
        </w:rPr>
        <w:t xml:space="preserve">6.19 of the </w:t>
      </w:r>
      <w:hyperlink r:id="rId21" w:history="1">
        <w:r w:rsidR="009B19D0" w:rsidRPr="00F11912">
          <w:rPr>
            <w:rStyle w:val="Hyperlink"/>
            <w:lang w:val="en-US"/>
          </w:rPr>
          <w:t>guide to the processes of technology appraisal</w:t>
        </w:r>
      </w:hyperlink>
      <w:r w:rsidR="009B19D0">
        <w:rPr>
          <w:lang w:val="en-US"/>
        </w:rPr>
        <w:t>)</w:t>
      </w:r>
      <w:r w:rsidRPr="00376547">
        <w:t>.</w:t>
      </w:r>
    </w:p>
    <w:p w14:paraId="500C931C" w14:textId="3E7607A2" w:rsidR="0070272A" w:rsidRDefault="00D66A24">
      <w:pPr>
        <w:pStyle w:val="Heading2"/>
      </w:pPr>
      <w:r>
        <w:lastRenderedPageBreak/>
        <w:t>Conclusion</w:t>
      </w:r>
    </w:p>
    <w:p w14:paraId="252D9D2B" w14:textId="39B982B5" w:rsidR="0070272A" w:rsidRDefault="00D66A24" w:rsidP="00C06A08">
      <w:pPr>
        <w:pStyle w:val="Heading3"/>
      </w:pPr>
      <w:r>
        <w:t xml:space="preserve">Pembrolizumab is </w:t>
      </w:r>
      <w:r w:rsidR="00AA3621">
        <w:t xml:space="preserve">not recommended for routine </w:t>
      </w:r>
      <w:r w:rsidR="00117FB7">
        <w:t>use</w:t>
      </w:r>
    </w:p>
    <w:p w14:paraId="4B52EEB3" w14:textId="3155BD89" w:rsidR="0070272A" w:rsidRPr="003602A4" w:rsidRDefault="00AA3621" w:rsidP="00431D26">
      <w:pPr>
        <w:pStyle w:val="Numberedlevel2text"/>
        <w:numPr>
          <w:ilvl w:val="1"/>
          <w:numId w:val="4"/>
        </w:numPr>
        <w:rPr>
          <w:rFonts w:cs="Arial"/>
        </w:rPr>
      </w:pPr>
      <w:r w:rsidRPr="00AA3621">
        <w:rPr>
          <w:rFonts w:cs="Arial"/>
        </w:rPr>
        <w:t xml:space="preserve">The committee could not recommend </w:t>
      </w:r>
      <w:r w:rsidR="00431D26">
        <w:rPr>
          <w:rFonts w:cs="Arial"/>
          <w:lang w:val="en-GB"/>
        </w:rPr>
        <w:t>pembrolizumab</w:t>
      </w:r>
      <w:r w:rsidR="004D03C9">
        <w:rPr>
          <w:rFonts w:cs="Arial"/>
          <w:lang w:val="en-GB"/>
        </w:rPr>
        <w:t>,</w:t>
      </w:r>
      <w:r w:rsidRPr="00AA3621">
        <w:rPr>
          <w:rFonts w:cs="Arial"/>
        </w:rPr>
        <w:t xml:space="preserve"> within its marketing</w:t>
      </w:r>
      <w:r w:rsidR="00431D26">
        <w:rPr>
          <w:rFonts w:cs="Arial"/>
          <w:lang w:val="en-GB"/>
        </w:rPr>
        <w:t xml:space="preserve"> </w:t>
      </w:r>
      <w:r w:rsidRPr="00D35F2E">
        <w:rPr>
          <w:rFonts w:cs="Arial"/>
        </w:rPr>
        <w:t>authorisation</w:t>
      </w:r>
      <w:r w:rsidR="004D03C9">
        <w:rPr>
          <w:rFonts w:cs="Arial"/>
          <w:lang w:val="en-US"/>
        </w:rPr>
        <w:t>,</w:t>
      </w:r>
      <w:r w:rsidRPr="00D35F2E">
        <w:rPr>
          <w:rFonts w:cs="Arial"/>
        </w:rPr>
        <w:t xml:space="preserve"> for treatin</w:t>
      </w:r>
      <w:r w:rsidRPr="001B1238">
        <w:rPr>
          <w:rFonts w:cs="Arial"/>
        </w:rPr>
        <w:t>g</w:t>
      </w:r>
      <w:r w:rsidR="00431D26">
        <w:rPr>
          <w:rFonts w:cs="Arial"/>
          <w:lang w:val="en-GB"/>
        </w:rPr>
        <w:t xml:space="preserve"> </w:t>
      </w:r>
      <w:r w:rsidR="00431D26" w:rsidRPr="00431D26">
        <w:rPr>
          <w:rFonts w:cs="Arial"/>
          <w:lang w:val="en-GB"/>
        </w:rPr>
        <w:t>locally advanced or metastatic urothelial carcinoma in adults who have had platinum-containing chemotherapy</w:t>
      </w:r>
      <w:r w:rsidR="00431D26">
        <w:rPr>
          <w:rFonts w:cs="Arial"/>
          <w:lang w:val="en-GB"/>
        </w:rPr>
        <w:t>.</w:t>
      </w:r>
      <w:r w:rsidR="00A83596">
        <w:rPr>
          <w:rFonts w:cs="Arial"/>
          <w:lang w:val="en-US"/>
        </w:rPr>
        <w:t xml:space="preserve"> </w:t>
      </w:r>
      <w:r w:rsidR="00D66A24" w:rsidRPr="00D35F2E">
        <w:rPr>
          <w:rFonts w:cs="Arial"/>
        </w:rPr>
        <w:t>When</w:t>
      </w:r>
      <w:r w:rsidR="00D66A24" w:rsidRPr="001B1238">
        <w:rPr>
          <w:rFonts w:cs="Arial"/>
        </w:rPr>
        <w:t xml:space="preserve"> using the committee’s preferred assumptions</w:t>
      </w:r>
      <w:r w:rsidR="00D66A24" w:rsidRPr="003602A4">
        <w:rPr>
          <w:rFonts w:cs="Arial"/>
          <w:lang w:val="en-GB"/>
        </w:rPr>
        <w:t>,</w:t>
      </w:r>
      <w:r w:rsidR="00D66A24" w:rsidRPr="003602A4">
        <w:rPr>
          <w:rFonts w:cs="Arial"/>
        </w:rPr>
        <w:t xml:space="preserve"> </w:t>
      </w:r>
      <w:r w:rsidR="00D66A24" w:rsidRPr="003602A4">
        <w:rPr>
          <w:rFonts w:cs="Arial"/>
          <w:lang w:val="en-GB"/>
        </w:rPr>
        <w:t>the ICER</w:t>
      </w:r>
      <w:r w:rsidR="00807CF7">
        <w:rPr>
          <w:rFonts w:cs="Arial"/>
          <w:lang w:val="en-GB"/>
        </w:rPr>
        <w:t xml:space="preserve"> range</w:t>
      </w:r>
      <w:r w:rsidR="00D66A24" w:rsidRPr="003602A4">
        <w:rPr>
          <w:rFonts w:cs="Arial"/>
          <w:lang w:val="en-GB"/>
        </w:rPr>
        <w:t xml:space="preserve">s </w:t>
      </w:r>
      <w:r w:rsidR="00431D26">
        <w:rPr>
          <w:rFonts w:cs="Arial"/>
          <w:lang w:val="en-GB"/>
        </w:rPr>
        <w:t xml:space="preserve">for all </w:t>
      </w:r>
      <w:r w:rsidR="0070666D">
        <w:rPr>
          <w:rFonts w:cs="Arial"/>
          <w:lang w:val="en-GB"/>
        </w:rPr>
        <w:t xml:space="preserve">3 </w:t>
      </w:r>
      <w:r w:rsidR="00431D26">
        <w:rPr>
          <w:rFonts w:cs="Arial"/>
          <w:lang w:val="en-GB"/>
        </w:rPr>
        <w:t xml:space="preserve">of the committee’s </w:t>
      </w:r>
      <w:r w:rsidR="00D66A24" w:rsidRPr="00D35F2E">
        <w:rPr>
          <w:rFonts w:cs="Arial"/>
        </w:rPr>
        <w:t>preferred</w:t>
      </w:r>
      <w:r w:rsidR="003B28F4" w:rsidRPr="001B1238">
        <w:rPr>
          <w:rFonts w:cs="Arial"/>
          <w:lang w:val="en-GB"/>
        </w:rPr>
        <w:t xml:space="preserve"> overall survival</w:t>
      </w:r>
      <w:r w:rsidR="00D66A24" w:rsidRPr="001B1238">
        <w:rPr>
          <w:rFonts w:cs="Arial"/>
        </w:rPr>
        <w:t xml:space="preserve"> extrapolation</w:t>
      </w:r>
      <w:r w:rsidR="00D66A24" w:rsidRPr="003602A4">
        <w:rPr>
          <w:rFonts w:cs="Arial"/>
          <w:lang w:val="en-GB"/>
        </w:rPr>
        <w:t>s</w:t>
      </w:r>
      <w:r w:rsidR="00D66A24" w:rsidRPr="003602A4">
        <w:rPr>
          <w:rFonts w:cs="Arial"/>
        </w:rPr>
        <w:t xml:space="preserve"> </w:t>
      </w:r>
      <w:r w:rsidR="004551C8" w:rsidRPr="003602A4">
        <w:rPr>
          <w:rFonts w:cs="Arial"/>
          <w:lang w:val="en-GB"/>
        </w:rPr>
        <w:t>we</w:t>
      </w:r>
      <w:r w:rsidR="004551C8" w:rsidRPr="00AA3621">
        <w:rPr>
          <w:rFonts w:cs="Arial"/>
        </w:rPr>
        <w:t>re</w:t>
      </w:r>
      <w:r w:rsidR="004551C8" w:rsidRPr="00AA3621">
        <w:rPr>
          <w:rFonts w:cs="Arial"/>
          <w:lang w:val="en-GB"/>
        </w:rPr>
        <w:t xml:space="preserve"> </w:t>
      </w:r>
      <w:r w:rsidR="00431D26">
        <w:rPr>
          <w:rFonts w:cs="Arial"/>
          <w:lang w:val="en-GB"/>
        </w:rPr>
        <w:t>higher</w:t>
      </w:r>
      <w:r w:rsidR="00431D26" w:rsidRPr="00D35F2E">
        <w:rPr>
          <w:rFonts w:cs="Arial"/>
        </w:rPr>
        <w:t xml:space="preserve"> </w:t>
      </w:r>
      <w:r w:rsidR="00D66A24" w:rsidRPr="001B1238">
        <w:rPr>
          <w:rFonts w:cs="Arial"/>
        </w:rPr>
        <w:t>than</w:t>
      </w:r>
      <w:r w:rsidR="00D66A24">
        <w:t xml:space="preserve"> </w:t>
      </w:r>
      <w:r w:rsidR="00D66A24" w:rsidRPr="00D35F2E">
        <w:rPr>
          <w:lang w:val="en-GB"/>
        </w:rPr>
        <w:t xml:space="preserve">would </w:t>
      </w:r>
      <w:r w:rsidR="00D66A24">
        <w:t xml:space="preserve">normally </w:t>
      </w:r>
      <w:r w:rsidR="00D66A24" w:rsidRPr="00D35F2E">
        <w:rPr>
          <w:lang w:val="en-GB"/>
        </w:rPr>
        <w:t xml:space="preserve">be </w:t>
      </w:r>
      <w:r w:rsidR="00D66A24">
        <w:t>consider</w:t>
      </w:r>
      <w:r w:rsidR="00D66A24" w:rsidRPr="00D35F2E">
        <w:rPr>
          <w:lang w:val="en-GB"/>
        </w:rPr>
        <w:t>ed cost</w:t>
      </w:r>
      <w:r w:rsidR="00681A9C">
        <w:rPr>
          <w:rFonts w:cs="Arial"/>
        </w:rPr>
        <w:t>-</w:t>
      </w:r>
      <w:r w:rsidR="00D66A24" w:rsidRPr="00D35F2E">
        <w:rPr>
          <w:lang w:val="en-GB"/>
        </w:rPr>
        <w:t>effective</w:t>
      </w:r>
      <w:r w:rsidR="00D66A24">
        <w:t xml:space="preserve"> for end-of-life treatments</w:t>
      </w:r>
      <w:r w:rsidR="00431D26">
        <w:rPr>
          <w:lang w:val="en-GB"/>
        </w:rPr>
        <w:t xml:space="preserve">, </w:t>
      </w:r>
      <w:r w:rsidR="00277984">
        <w:rPr>
          <w:lang w:val="en-GB"/>
        </w:rPr>
        <w:t>regardless of whether</w:t>
      </w:r>
      <w:r w:rsidR="00431D26">
        <w:rPr>
          <w:lang w:val="en-GB"/>
        </w:rPr>
        <w:t xml:space="preserve"> adjustment for treatment switching in the UK SoC arm</w:t>
      </w:r>
      <w:r w:rsidR="00277984">
        <w:rPr>
          <w:lang w:val="en-GB"/>
        </w:rPr>
        <w:t xml:space="preserve"> was included (</w:t>
      </w:r>
      <w:r w:rsidR="00B45BE3" w:rsidRPr="00D35F2E">
        <w:rPr>
          <w:lang w:val="en-GB"/>
        </w:rPr>
        <w:t>£</w:t>
      </w:r>
      <w:r w:rsidR="00431D26">
        <w:rPr>
          <w:lang w:val="en-GB"/>
        </w:rPr>
        <w:t>53,678</w:t>
      </w:r>
      <w:r w:rsidR="00396878">
        <w:rPr>
          <w:lang w:val="en-GB"/>
        </w:rPr>
        <w:t xml:space="preserve"> to </w:t>
      </w:r>
      <w:r w:rsidR="00431D26">
        <w:rPr>
          <w:lang w:val="en-GB"/>
        </w:rPr>
        <w:t>£58,705</w:t>
      </w:r>
      <w:r w:rsidR="00277984">
        <w:rPr>
          <w:lang w:val="en-GB"/>
        </w:rPr>
        <w:t xml:space="preserve"> </w:t>
      </w:r>
      <w:r w:rsidR="00277984" w:rsidRPr="00431D26">
        <w:rPr>
          <w:lang w:val="en-GB"/>
        </w:rPr>
        <w:t>per QALY</w:t>
      </w:r>
      <w:r w:rsidR="00277984" w:rsidRPr="00D35F2E">
        <w:rPr>
          <w:lang w:val="en-GB"/>
        </w:rPr>
        <w:t xml:space="preserve"> gained</w:t>
      </w:r>
      <w:r w:rsidR="00277984">
        <w:rPr>
          <w:lang w:val="en-GB"/>
        </w:rPr>
        <w:t>) or excluded</w:t>
      </w:r>
      <w:r w:rsidR="00D66A24" w:rsidRPr="001B1238">
        <w:rPr>
          <w:lang w:val="en-GB"/>
        </w:rPr>
        <w:t xml:space="preserve"> </w:t>
      </w:r>
      <w:r w:rsidR="00277984">
        <w:rPr>
          <w:lang w:val="en-GB"/>
        </w:rPr>
        <w:t>(</w:t>
      </w:r>
      <w:r w:rsidR="00690622" w:rsidRPr="00431D26">
        <w:rPr>
          <w:lang w:val="en-GB"/>
        </w:rPr>
        <w:t>£61,653</w:t>
      </w:r>
      <w:r w:rsidR="00396878">
        <w:rPr>
          <w:lang w:val="en-GB"/>
        </w:rPr>
        <w:t xml:space="preserve"> to </w:t>
      </w:r>
      <w:r w:rsidR="00690622">
        <w:rPr>
          <w:lang w:val="en-GB"/>
        </w:rPr>
        <w:t>£</w:t>
      </w:r>
      <w:r w:rsidR="00690622" w:rsidRPr="00431D26">
        <w:rPr>
          <w:lang w:val="en-GB"/>
        </w:rPr>
        <w:t>70,520</w:t>
      </w:r>
      <w:r w:rsidR="00690622" w:rsidRPr="00431D26" w:rsidDel="00431D26">
        <w:rPr>
          <w:lang w:val="en-GB"/>
        </w:rPr>
        <w:t xml:space="preserve"> </w:t>
      </w:r>
      <w:r w:rsidR="00690622" w:rsidRPr="00431D26">
        <w:rPr>
          <w:lang w:val="en-GB"/>
        </w:rPr>
        <w:t>per QALY</w:t>
      </w:r>
      <w:r w:rsidR="00690622" w:rsidRPr="00D35F2E">
        <w:rPr>
          <w:lang w:val="en-GB"/>
        </w:rPr>
        <w:t xml:space="preserve"> gained</w:t>
      </w:r>
      <w:r w:rsidR="00277984">
        <w:rPr>
          <w:lang w:val="en-GB"/>
        </w:rPr>
        <w:t>)</w:t>
      </w:r>
      <w:r w:rsidR="00690622" w:rsidRPr="00D35F2E">
        <w:rPr>
          <w:lang w:val="en-GB"/>
        </w:rPr>
        <w:t xml:space="preserve">. </w:t>
      </w:r>
      <w:r w:rsidR="00690622">
        <w:rPr>
          <w:lang w:val="en-GB"/>
        </w:rPr>
        <w:t>The committee noted that th</w:t>
      </w:r>
      <w:r w:rsidR="00277984">
        <w:rPr>
          <w:lang w:val="en-GB"/>
        </w:rPr>
        <w:t>e</w:t>
      </w:r>
      <w:r w:rsidR="00690622">
        <w:rPr>
          <w:lang w:val="en-GB"/>
        </w:rPr>
        <w:t>s</w:t>
      </w:r>
      <w:r w:rsidR="00277984">
        <w:rPr>
          <w:lang w:val="en-GB"/>
        </w:rPr>
        <w:t>e</w:t>
      </w:r>
      <w:r w:rsidR="00690622">
        <w:rPr>
          <w:lang w:val="en-GB"/>
        </w:rPr>
        <w:t xml:space="preserve"> range</w:t>
      </w:r>
      <w:r w:rsidR="00277984">
        <w:rPr>
          <w:lang w:val="en-GB"/>
        </w:rPr>
        <w:t>s</w:t>
      </w:r>
      <w:r w:rsidR="00690622">
        <w:rPr>
          <w:lang w:val="en-GB"/>
        </w:rPr>
        <w:t xml:space="preserve"> of ICERs had a high degree of uncertainty associated with them. </w:t>
      </w:r>
      <w:r w:rsidR="00177FB2">
        <w:rPr>
          <w:lang w:val="en-GB"/>
        </w:rPr>
        <w:t>However</w:t>
      </w:r>
      <w:r w:rsidR="00690622">
        <w:rPr>
          <w:lang w:val="en-GB"/>
        </w:rPr>
        <w:t>, even if the most optimistic of the committee’s preferred overall survival extrapolations was used</w:t>
      </w:r>
      <w:r w:rsidR="00277984">
        <w:rPr>
          <w:lang w:val="en-GB"/>
        </w:rPr>
        <w:t xml:space="preserve"> with adjustment for treatment switching</w:t>
      </w:r>
      <w:r w:rsidR="00690622">
        <w:rPr>
          <w:lang w:val="en-GB"/>
        </w:rPr>
        <w:t xml:space="preserve">, the ICER would not be </w:t>
      </w:r>
      <w:r w:rsidR="00945669">
        <w:rPr>
          <w:lang w:val="en-GB"/>
        </w:rPr>
        <w:t>in the range</w:t>
      </w:r>
      <w:r w:rsidR="00690622">
        <w:rPr>
          <w:lang w:val="en-GB"/>
        </w:rPr>
        <w:t xml:space="preserve"> usually considered cost</w:t>
      </w:r>
      <w:r w:rsidR="00681A9C">
        <w:rPr>
          <w:rFonts w:cs="Arial"/>
        </w:rPr>
        <w:t>-</w:t>
      </w:r>
      <w:r w:rsidR="00690622">
        <w:rPr>
          <w:lang w:val="en-GB"/>
        </w:rPr>
        <w:t>effective for an end-of-life treatment.</w:t>
      </w:r>
    </w:p>
    <w:p w14:paraId="479C232A" w14:textId="77777777" w:rsidR="0070272A" w:rsidRDefault="00D66A24">
      <w:pPr>
        <w:pStyle w:val="Heading2"/>
      </w:pPr>
      <w:r>
        <w:t>Other factors</w:t>
      </w:r>
    </w:p>
    <w:p w14:paraId="4BFDEFCD" w14:textId="77777777" w:rsidR="0070272A" w:rsidRDefault="00D66A24">
      <w:pPr>
        <w:pStyle w:val="Numberedlevel2text"/>
        <w:numPr>
          <w:ilvl w:val="1"/>
          <w:numId w:val="4"/>
        </w:numPr>
        <w:rPr>
          <w:lang w:val="en-GB"/>
        </w:rPr>
      </w:pPr>
      <w:r>
        <w:rPr>
          <w:lang w:val="en-GB"/>
        </w:rPr>
        <w:t>No equality issues were identified.</w:t>
      </w:r>
    </w:p>
    <w:p w14:paraId="69A29ABF" w14:textId="6E06395A" w:rsidR="0070272A" w:rsidRDefault="00D66A24">
      <w:pPr>
        <w:pStyle w:val="Numberedlevel2text"/>
        <w:numPr>
          <w:ilvl w:val="1"/>
          <w:numId w:val="4"/>
        </w:numPr>
        <w:rPr>
          <w:lang w:val="en-GB"/>
        </w:rPr>
      </w:pPr>
      <w:r>
        <w:rPr>
          <w:lang w:val="en-GB"/>
        </w:rPr>
        <w:t>The company did not highlight any additional benefits that had not been captured in the QALY</w:t>
      </w:r>
      <w:r w:rsidR="0040124B">
        <w:rPr>
          <w:lang w:val="en-GB"/>
        </w:rPr>
        <w:t xml:space="preserve"> calculations</w:t>
      </w:r>
      <w:r>
        <w:rPr>
          <w:lang w:val="en-GB"/>
        </w:rPr>
        <w:t>.</w:t>
      </w:r>
    </w:p>
    <w:p w14:paraId="1E17756B" w14:textId="4F1842C6" w:rsidR="0070272A" w:rsidRDefault="00D7157A">
      <w:pPr>
        <w:pStyle w:val="Numberedheading1"/>
        <w:numPr>
          <w:ilvl w:val="0"/>
          <w:numId w:val="4"/>
        </w:numPr>
      </w:pPr>
      <w:r>
        <w:t>R</w:t>
      </w:r>
      <w:r w:rsidR="00D66A24">
        <w:t>eview of guidance</w:t>
      </w:r>
    </w:p>
    <w:p w14:paraId="447B52EE" w14:textId="0942B371" w:rsidR="00B446CB" w:rsidRDefault="00D91D17" w:rsidP="00D91D17">
      <w:pPr>
        <w:pStyle w:val="Numberedlevel2text"/>
        <w:numPr>
          <w:ilvl w:val="1"/>
          <w:numId w:val="4"/>
        </w:numPr>
      </w:pPr>
      <w:r w:rsidRPr="00D91D17">
        <w:t>NICE proposes that the guidance on this technology is considered for review by the guidance executive 3 years after publication of the guidance. NICE welcomes comment on this proposed date.</w:t>
      </w:r>
      <w:r w:rsidR="003C7030">
        <w:rPr>
          <w:lang w:val="en-GB"/>
        </w:rPr>
        <w:t xml:space="preserve"> </w:t>
      </w:r>
      <w:r w:rsidRPr="00D91D17">
        <w:t>The guidance executive will decide whether the technology should be reviewed based on information gathered by NICE, and in consultation with consultees and commentators.</w:t>
      </w:r>
    </w:p>
    <w:p w14:paraId="780FD08A" w14:textId="0D2E9E34" w:rsidR="0070272A" w:rsidRDefault="00AE0E86">
      <w:pPr>
        <w:pStyle w:val="NICEnormal"/>
      </w:pPr>
      <w:r>
        <w:lastRenderedPageBreak/>
        <w:t>Lindsay Smith</w:t>
      </w:r>
      <w:r w:rsidR="00D66A24">
        <w:br/>
      </w:r>
      <w:r>
        <w:t xml:space="preserve">Vice </w:t>
      </w:r>
      <w:r w:rsidR="0054466B">
        <w:t>c</w:t>
      </w:r>
      <w:r w:rsidR="00D66A24">
        <w:t>hair, appraisal committee</w:t>
      </w:r>
      <w:r w:rsidR="00D66A24">
        <w:br/>
      </w:r>
      <w:r w:rsidR="004C1AA3">
        <w:t>November 2019</w:t>
      </w:r>
    </w:p>
    <w:p w14:paraId="11C03F50" w14:textId="77777777" w:rsidR="0070272A" w:rsidRDefault="00D66A24">
      <w:pPr>
        <w:pStyle w:val="Numberedheading1"/>
        <w:numPr>
          <w:ilvl w:val="0"/>
          <w:numId w:val="4"/>
        </w:numPr>
      </w:pPr>
      <w:bookmarkStart w:id="30" w:name="_Ref22910633"/>
      <w:r>
        <w:t>Appraisal committee members and NICE project team</w:t>
      </w:r>
      <w:bookmarkEnd w:id="30"/>
    </w:p>
    <w:p w14:paraId="1749993C" w14:textId="77777777" w:rsidR="0070272A" w:rsidRDefault="00D66A24">
      <w:pPr>
        <w:pStyle w:val="Heading2"/>
      </w:pPr>
      <w:bookmarkStart w:id="31" w:name="_Appraisal_committee_members"/>
      <w:bookmarkEnd w:id="31"/>
      <w:r>
        <w:t>Appraisal committee members</w:t>
      </w:r>
    </w:p>
    <w:p w14:paraId="7D885CF9" w14:textId="54563B14" w:rsidR="0070272A" w:rsidRDefault="00D66A24">
      <w:pPr>
        <w:pStyle w:val="NICEnormal"/>
      </w:pPr>
      <w:r>
        <w:t xml:space="preserve">The 4 technology appraisal committees are standing advisory committees of NICE. This topic was considered by </w:t>
      </w:r>
      <w:hyperlink r:id="rId22">
        <w:r>
          <w:rPr>
            <w:rStyle w:val="InternetLink"/>
          </w:rPr>
          <w:t>committee D</w:t>
        </w:r>
      </w:hyperlink>
      <w:r w:rsidR="00C9298B">
        <w:t>.</w:t>
      </w:r>
    </w:p>
    <w:p w14:paraId="7363B5EA" w14:textId="77777777" w:rsidR="0070272A" w:rsidRDefault="00D66A24">
      <w:pPr>
        <w:pStyle w:val="NICEnormal"/>
      </w:pPr>
      <w:r>
        <w:t>Committee members are asked to declare any interests in the technology to be appraised. If it is considered there is a conflict of interest, the member is excluded from participating further in that appraisal.</w:t>
      </w:r>
    </w:p>
    <w:p w14:paraId="5346BCC8" w14:textId="77777777" w:rsidR="0070272A" w:rsidRDefault="00D66A24">
      <w:pPr>
        <w:pStyle w:val="NICEnormal"/>
      </w:pPr>
      <w:r>
        <w:t xml:space="preserve">The </w:t>
      </w:r>
      <w:hyperlink r:id="rId23">
        <w:r>
          <w:rPr>
            <w:rStyle w:val="InternetLink"/>
            <w:rFonts w:eastAsia="Calibri"/>
          </w:rPr>
          <w:t>minutes</w:t>
        </w:r>
      </w:hyperlink>
      <w:r>
        <w:t xml:space="preserve"> of each appraisal committee meeting, which include the names of the members who attended and their declarations of interests, are posted on the NICE website.</w:t>
      </w:r>
    </w:p>
    <w:p w14:paraId="5BC5185A" w14:textId="77777777" w:rsidR="0070272A" w:rsidRDefault="00D66A24">
      <w:pPr>
        <w:pStyle w:val="Heading2"/>
      </w:pPr>
      <w:r>
        <w:t>NICE project team</w:t>
      </w:r>
    </w:p>
    <w:p w14:paraId="33440A6A" w14:textId="77777777" w:rsidR="0070272A" w:rsidRDefault="00D66A24">
      <w:pPr>
        <w:pStyle w:val="NICEnormal"/>
      </w:pPr>
      <w:r>
        <w:t>Each technology appraisal is assigned to a team consisting of 1 or more health technology analysts (who act as technical leads for the appraisal), a technical adviser and a project manager.</w:t>
      </w:r>
    </w:p>
    <w:p w14:paraId="5450568E" w14:textId="34E1AE0E" w:rsidR="0070272A" w:rsidRDefault="00AB4872">
      <w:pPr>
        <w:pStyle w:val="NICEnormal"/>
      </w:pPr>
      <w:r>
        <w:rPr>
          <w:b/>
        </w:rPr>
        <w:t>Amy Crossley</w:t>
      </w:r>
      <w:r w:rsidR="00D66A24">
        <w:br/>
        <w:t xml:space="preserve">Technical </w:t>
      </w:r>
      <w:r w:rsidR="00C7576F">
        <w:t>l</w:t>
      </w:r>
      <w:r w:rsidR="00D66A24">
        <w:t>ead</w:t>
      </w:r>
    </w:p>
    <w:p w14:paraId="29155B75" w14:textId="64BE9B43" w:rsidR="0070272A" w:rsidRDefault="00AB4872">
      <w:pPr>
        <w:pStyle w:val="NICEnormal"/>
      </w:pPr>
      <w:r>
        <w:rPr>
          <w:b/>
        </w:rPr>
        <w:t>Nicola Hay, Lucy Beggs</w:t>
      </w:r>
      <w:r w:rsidR="00D66A24">
        <w:br/>
        <w:t xml:space="preserve">Technical </w:t>
      </w:r>
      <w:r w:rsidR="00C7576F">
        <w:t>a</w:t>
      </w:r>
      <w:r w:rsidR="00D66A24">
        <w:t>dviser</w:t>
      </w:r>
      <w:r w:rsidR="00C7576F">
        <w:t>s</w:t>
      </w:r>
    </w:p>
    <w:p w14:paraId="33625120" w14:textId="2A73D539" w:rsidR="0070272A" w:rsidRDefault="00D66A24">
      <w:pPr>
        <w:pStyle w:val="NICEnormal"/>
      </w:pPr>
      <w:r>
        <w:rPr>
          <w:b/>
        </w:rPr>
        <w:t>Kate Moore</w:t>
      </w:r>
      <w:bookmarkStart w:id="32" w:name="Text45"/>
      <w:bookmarkEnd w:id="32"/>
      <w:r>
        <w:br/>
        <w:t xml:space="preserve">Project </w:t>
      </w:r>
      <w:r w:rsidR="00C7576F">
        <w:t>m</w:t>
      </w:r>
      <w:r>
        <w:t>anager</w:t>
      </w:r>
    </w:p>
    <w:p w14:paraId="5DCF0640" w14:textId="77777777" w:rsidR="0070272A" w:rsidRDefault="00D66A24">
      <w:pPr>
        <w:pStyle w:val="NICEnormal"/>
      </w:pPr>
      <w:r>
        <w:lastRenderedPageBreak/>
        <w:t xml:space="preserve">ISBN: </w:t>
      </w:r>
      <w:r>
        <w:rPr>
          <w:highlight w:val="green"/>
        </w:rPr>
        <w:t>[to be added at publication]</w:t>
      </w:r>
    </w:p>
    <w:sectPr w:rsidR="0070272A">
      <w:headerReference w:type="default" r:id="rId24"/>
      <w:footerReference w:type="default" r:id="rId25"/>
      <w:pgSz w:w="11906" w:h="16838"/>
      <w:pgMar w:top="1440" w:right="1440" w:bottom="1440" w:left="1440" w:header="709"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E4552" w14:textId="77777777" w:rsidR="00962ADD" w:rsidRDefault="00962ADD">
      <w:r>
        <w:separator/>
      </w:r>
    </w:p>
  </w:endnote>
  <w:endnote w:type="continuationSeparator" w:id="0">
    <w:p w14:paraId="016178E1" w14:textId="77777777" w:rsidR="00962ADD" w:rsidRDefault="0096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0CDD" w14:textId="77777777" w:rsidR="00962ADD" w:rsidRDefault="00962ADD">
    <w:pPr>
      <w:pStyle w:val="NICEnormalsinglespacing"/>
      <w:spacing w:before="240" w:after="120"/>
      <w:ind w:left="6480" w:firstLine="720"/>
    </w:pPr>
    <w:r>
      <w:rPr>
        <w:rStyle w:val="PageNumber"/>
      </w:rPr>
      <w:t xml:space="preserve">Page </w:t>
    </w:r>
    <w:r>
      <w:rPr>
        <w:rStyle w:val="PageNumber"/>
      </w:rPr>
      <w:fldChar w:fldCharType="begin"/>
    </w:r>
    <w:r>
      <w:instrText>PAGE</w:instrText>
    </w:r>
    <w:r>
      <w:fldChar w:fldCharType="separate"/>
    </w:r>
    <w:r>
      <w:rPr>
        <w:noProof/>
      </w:rPr>
      <w:t>21</w:t>
    </w:r>
    <w:r>
      <w:fldChar w:fldCharType="end"/>
    </w:r>
    <w:r>
      <w:rPr>
        <w:rStyle w:val="PageNumber"/>
      </w:rPr>
      <w:t xml:space="preserve"> of </w:t>
    </w:r>
    <w:r>
      <w:rPr>
        <w:rStyle w:val="PageNumber"/>
      </w:rPr>
      <w:fldChar w:fldCharType="begin"/>
    </w:r>
    <w:r>
      <w:instrText>NUMPAGES</w:instrText>
    </w:r>
    <w:r>
      <w:fldChar w:fldCharType="separate"/>
    </w:r>
    <w:r>
      <w:rPr>
        <w:noProof/>
      </w:rPr>
      <w:t>22</w:t>
    </w:r>
    <w:r>
      <w:fldChar w:fldCharType="end"/>
    </w:r>
  </w:p>
  <w:p w14:paraId="70736CA0" w14:textId="11B25864" w:rsidR="00962ADD" w:rsidRDefault="00962ADD">
    <w:pPr>
      <w:pStyle w:val="NICEnormalsinglespacing"/>
      <w:spacing w:before="120" w:after="120"/>
      <w:rPr>
        <w:sz w:val="18"/>
        <w:szCs w:val="18"/>
      </w:rPr>
    </w:pPr>
    <w:r>
      <w:rPr>
        <w:sz w:val="18"/>
        <w:szCs w:val="18"/>
      </w:rPr>
      <w:t>Appraisal consultation document – Pembrolizumab for treating locally advanced or metastatic urothelial carcinoma after platinum-containing chemotherapy (review of TA519)</w:t>
    </w:r>
  </w:p>
  <w:p w14:paraId="171B1703" w14:textId="39BD9378" w:rsidR="00962ADD" w:rsidRDefault="00962ADD">
    <w:pPr>
      <w:pStyle w:val="NICEnormalsinglespacing"/>
      <w:spacing w:before="120" w:after="120"/>
      <w:rPr>
        <w:sz w:val="18"/>
        <w:szCs w:val="18"/>
      </w:rPr>
    </w:pPr>
    <w:r>
      <w:rPr>
        <w:sz w:val="18"/>
        <w:szCs w:val="18"/>
      </w:rPr>
      <w:t>Issue date: November</w:t>
    </w:r>
    <w:r w:rsidRPr="00127BF3">
      <w:rPr>
        <w:sz w:val="18"/>
        <w:szCs w:val="18"/>
      </w:rPr>
      <w:t xml:space="preserve"> </w:t>
    </w:r>
    <w:r>
      <w:rPr>
        <w:sz w:val="18"/>
        <w:szCs w:val="18"/>
      </w:rPr>
      <w:t>2019</w:t>
    </w:r>
  </w:p>
  <w:p w14:paraId="054E7C53" w14:textId="2FF3F1DB" w:rsidR="00962ADD" w:rsidRDefault="00962ADD">
    <w:pPr>
      <w:pStyle w:val="NICEnormalsinglespacing"/>
      <w:spacing w:before="120" w:after="120"/>
      <w:rPr>
        <w:sz w:val="18"/>
        <w:szCs w:val="18"/>
      </w:rPr>
    </w:pPr>
    <w:r>
      <w:rPr>
        <w:sz w:val="18"/>
        <w:szCs w:val="18"/>
      </w:rPr>
      <w:t xml:space="preserve">© NICE 2019. All rights reserved. Subject to </w:t>
    </w:r>
    <w:hyperlink r:id="rId1" w:history="1">
      <w:r>
        <w:rPr>
          <w:rStyle w:val="Hyperlink"/>
          <w:sz w:val="18"/>
          <w:szCs w:val="18"/>
        </w:rPr>
        <w:t>Notice of rights</w:t>
      </w:r>
    </w:hyperlink>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6A281" w14:textId="77777777" w:rsidR="00962ADD" w:rsidRDefault="00962ADD">
      <w:r>
        <w:separator/>
      </w:r>
    </w:p>
  </w:footnote>
  <w:footnote w:type="continuationSeparator" w:id="0">
    <w:p w14:paraId="4D0151C5" w14:textId="77777777" w:rsidR="00962ADD" w:rsidRDefault="0096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2243" w14:textId="77777777" w:rsidR="00962ADD" w:rsidRDefault="00962ADD">
    <w:pPr>
      <w:pStyle w:val="Header"/>
      <w:jc w:val="right"/>
      <w:rPr>
        <w:b/>
      </w:rPr>
    </w:pPr>
    <w:r>
      <w:rPr>
        <w:b/>
      </w:rPr>
      <w:t>CONFIDENTIAL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C2938BA"/>
    <w:multiLevelType w:val="multilevel"/>
    <w:tmpl w:val="075CB294"/>
    <w:lvl w:ilvl="0">
      <w:start w:val="1"/>
      <w:numFmt w:val="bullet"/>
      <w:lvlText w:val=""/>
      <w:lvlJc w:val="left"/>
      <w:pPr>
        <w:tabs>
          <w:tab w:val="num" w:pos="284"/>
        </w:tabs>
        <w:ind w:left="284" w:hanging="284"/>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81218"/>
    <w:multiLevelType w:val="hybridMultilevel"/>
    <w:tmpl w:val="C24C7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15AD3"/>
    <w:multiLevelType w:val="hybridMultilevel"/>
    <w:tmpl w:val="1DC8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8D3711"/>
    <w:multiLevelType w:val="hybridMultilevel"/>
    <w:tmpl w:val="12EE7D60"/>
    <w:lvl w:ilvl="0" w:tplc="C6A8CC88">
      <w:start w:val="4"/>
      <w:numFmt w:val="bulle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54381B"/>
    <w:multiLevelType w:val="multilevel"/>
    <w:tmpl w:val="6B1C9BEC"/>
    <w:lvl w:ilvl="0">
      <w:start w:val="1"/>
      <w:numFmt w:val="bullet"/>
      <w:lvlText w:val=""/>
      <w:lvlJc w:val="left"/>
      <w:pPr>
        <w:tabs>
          <w:tab w:val="num" w:pos="284"/>
        </w:tabs>
        <w:ind w:left="284" w:hanging="284"/>
      </w:pPr>
      <w:rPr>
        <w:rFonts w:ascii="Symbol" w:hAnsi="Symbol" w:cs="Symbol" w:hint="default"/>
        <w:color w:val="00000A"/>
      </w:rPr>
    </w:lvl>
    <w:lvl w:ilvl="1">
      <w:start w:val="1"/>
      <w:numFmt w:val="bullet"/>
      <w:lvlText w:val=""/>
      <w:lvlJc w:val="left"/>
      <w:pPr>
        <w:tabs>
          <w:tab w:val="num" w:pos="567"/>
        </w:tabs>
        <w:ind w:left="567" w:hanging="283"/>
      </w:pPr>
      <w:rPr>
        <w:rFonts w:ascii="Symbol" w:hAnsi="Symbol" w:cs="Symbol" w:hint="default"/>
      </w:rPr>
    </w:lvl>
    <w:lvl w:ilvl="2">
      <w:start w:val="1"/>
      <w:numFmt w:val="bullet"/>
      <w:lvlText w:val=""/>
      <w:lvlJc w:val="left"/>
      <w:pPr>
        <w:tabs>
          <w:tab w:val="num" w:pos="851"/>
        </w:tabs>
        <w:ind w:left="851" w:hanging="284"/>
      </w:pPr>
      <w:rPr>
        <w:rFonts w:ascii="Symbol" w:hAnsi="Symbol" w:cs="Symbol" w:hint="default"/>
        <w:color w:val="00000A"/>
      </w:r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7" w15:restartNumberingAfterBreak="0">
    <w:nsid w:val="22C22BA8"/>
    <w:multiLevelType w:val="hybridMultilevel"/>
    <w:tmpl w:val="191A4934"/>
    <w:lvl w:ilvl="0" w:tplc="E7C28008">
      <w:start w:val="4"/>
      <w:numFmt w:val="bulle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107689"/>
    <w:multiLevelType w:val="multilevel"/>
    <w:tmpl w:val="97FAC38A"/>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rPr>
        <w:b w:val="0"/>
      </w:rPr>
    </w:lvl>
    <w:lvl w:ilvl="2">
      <w:start w:val="1"/>
      <w:numFmt w:val="bullet"/>
      <w:lvlText w:val=""/>
      <w:lvlJc w:val="left"/>
      <w:pPr>
        <w:tabs>
          <w:tab w:val="num" w:pos="1134"/>
        </w:tabs>
        <w:ind w:left="1134" w:hanging="1134"/>
      </w:pPr>
      <w:rPr>
        <w:rFonts w:ascii="Symbol" w:hAnsi="Symbol" w:hint="default"/>
      </w:rPr>
    </w:lvl>
    <w:lvl w:ilvl="3">
      <w:start w:val="1"/>
      <w:numFmt w:val="decimal"/>
      <w:lvlText w:val="%1.%2.%3.%4"/>
      <w:lvlJc w:val="left"/>
      <w:pPr>
        <w:tabs>
          <w:tab w:val="num" w:pos="1134"/>
        </w:tabs>
        <w:ind w:left="1134" w:hanging="1134"/>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9" w15:restartNumberingAfterBreak="0">
    <w:nsid w:val="29CC3584"/>
    <w:multiLevelType w:val="multilevel"/>
    <w:tmpl w:val="D610A91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460C6B6B"/>
    <w:multiLevelType w:val="multilevel"/>
    <w:tmpl w:val="4BEE780E"/>
    <w:lvl w:ilvl="0">
      <w:start w:val="1"/>
      <w:numFmt w:val="bullet"/>
      <w:lvlText w:val=""/>
      <w:lvlJc w:val="left"/>
      <w:pPr>
        <w:tabs>
          <w:tab w:val="num" w:pos="1277"/>
        </w:tabs>
        <w:ind w:left="1277" w:hanging="284"/>
      </w:pPr>
      <w:rPr>
        <w:rFonts w:ascii="Symbol" w:hAnsi="Symbol" w:cs="Symbol" w:hint="default"/>
        <w:color w:val="00000A"/>
      </w:rPr>
    </w:lvl>
    <w:lvl w:ilvl="1">
      <w:start w:val="1"/>
      <w:numFmt w:val="bullet"/>
      <w:lvlText w:val=""/>
      <w:lvlJc w:val="left"/>
      <w:pPr>
        <w:tabs>
          <w:tab w:val="num" w:pos="1701"/>
        </w:tabs>
        <w:ind w:left="1701" w:hanging="283"/>
      </w:pPr>
      <w:rPr>
        <w:rFonts w:ascii="Symbol" w:hAnsi="Symbol" w:cs="Symbol" w:hint="default"/>
      </w:rPr>
    </w:lvl>
    <w:lvl w:ilvl="2">
      <w:start w:val="1"/>
      <w:numFmt w:val="bullet"/>
      <w:lvlText w:val=""/>
      <w:lvlJc w:val="left"/>
      <w:pPr>
        <w:tabs>
          <w:tab w:val="num" w:pos="1985"/>
        </w:tabs>
        <w:ind w:left="1985" w:hanging="284"/>
      </w:pPr>
      <w:rPr>
        <w:rFonts w:ascii="Symbol" w:hAnsi="Symbol" w:cs="Symbol" w:hint="default"/>
        <w:color w:val="00000A"/>
      </w:rPr>
    </w:lvl>
    <w:lvl w:ilvl="3">
      <w:start w:val="1"/>
      <w:numFmt w:val="decimal"/>
      <w:lvlText w:val="%1.%2.%3.%4"/>
      <w:lvlJc w:val="left"/>
      <w:pPr>
        <w:tabs>
          <w:tab w:val="num" w:pos="1968"/>
        </w:tabs>
        <w:ind w:left="1968" w:hanging="964"/>
      </w:pPr>
    </w:lvl>
    <w:lvl w:ilvl="4">
      <w:start w:val="1"/>
      <w:numFmt w:val="decimal"/>
      <w:lvlText w:val="%1.%2.%3.%4.%5."/>
      <w:lvlJc w:val="left"/>
      <w:pPr>
        <w:tabs>
          <w:tab w:val="num" w:pos="5324"/>
        </w:tabs>
        <w:ind w:left="3236" w:hanging="792"/>
      </w:pPr>
    </w:lvl>
    <w:lvl w:ilvl="5">
      <w:start w:val="1"/>
      <w:numFmt w:val="decimal"/>
      <w:lvlText w:val="%1.%2.%3.%4.%5.%6."/>
      <w:lvlJc w:val="left"/>
      <w:pPr>
        <w:tabs>
          <w:tab w:val="num" w:pos="6404"/>
        </w:tabs>
        <w:ind w:left="3740" w:hanging="936"/>
      </w:pPr>
    </w:lvl>
    <w:lvl w:ilvl="6">
      <w:start w:val="1"/>
      <w:numFmt w:val="decimal"/>
      <w:lvlText w:val="%1.%2.%3.%4.%5.%6.%7."/>
      <w:lvlJc w:val="left"/>
      <w:pPr>
        <w:tabs>
          <w:tab w:val="num" w:pos="7484"/>
        </w:tabs>
        <w:ind w:left="4244" w:hanging="1080"/>
      </w:pPr>
    </w:lvl>
    <w:lvl w:ilvl="7">
      <w:start w:val="1"/>
      <w:numFmt w:val="decimal"/>
      <w:lvlText w:val="%1.%2.%3.%4.%5.%6.%7.%8."/>
      <w:lvlJc w:val="left"/>
      <w:pPr>
        <w:tabs>
          <w:tab w:val="num" w:pos="8204"/>
        </w:tabs>
        <w:ind w:left="4748" w:hanging="1224"/>
      </w:pPr>
    </w:lvl>
    <w:lvl w:ilvl="8">
      <w:start w:val="1"/>
      <w:numFmt w:val="decimal"/>
      <w:lvlText w:val="%1.%2.%3.%4.%5.%6.%7.%8.%9."/>
      <w:lvlJc w:val="left"/>
      <w:pPr>
        <w:tabs>
          <w:tab w:val="num" w:pos="9284"/>
        </w:tabs>
        <w:ind w:left="5324" w:hanging="1440"/>
      </w:pPr>
    </w:lvl>
  </w:abstractNum>
  <w:abstractNum w:abstractNumId="11" w15:restartNumberingAfterBreak="0">
    <w:nsid w:val="630E6E89"/>
    <w:multiLevelType w:val="hybridMultilevel"/>
    <w:tmpl w:val="BC5A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FD68BB"/>
    <w:multiLevelType w:val="multilevel"/>
    <w:tmpl w:val="449A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C79BA"/>
    <w:multiLevelType w:val="hybridMultilevel"/>
    <w:tmpl w:val="4F4EE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C6610"/>
    <w:multiLevelType w:val="hybridMultilevel"/>
    <w:tmpl w:val="2AA0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E1934"/>
    <w:multiLevelType w:val="hybridMultilevel"/>
    <w:tmpl w:val="6F56B9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A6805"/>
    <w:multiLevelType w:val="multilevel"/>
    <w:tmpl w:val="CD3E44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0"/>
  </w:num>
  <w:num w:numId="2">
    <w:abstractNumId w:val="6"/>
  </w:num>
  <w:num w:numId="3">
    <w:abstractNumId w:val="1"/>
  </w:num>
  <w:num w:numId="4">
    <w:abstractNumId w:val="8"/>
  </w:num>
  <w:num w:numId="5">
    <w:abstractNumId w:val="16"/>
  </w:num>
  <w:num w:numId="6">
    <w:abstractNumId w:val="9"/>
  </w:num>
  <w:num w:numId="7">
    <w:abstractNumId w:val="4"/>
  </w:num>
  <w:num w:numId="8">
    <w:abstractNumId w:val="0"/>
  </w:num>
  <w:num w:numId="9">
    <w:abstractNumId w:val="7"/>
  </w:num>
  <w:num w:numId="10">
    <w:abstractNumId w:val="2"/>
  </w:num>
  <w:num w:numId="11">
    <w:abstractNumId w:val="5"/>
  </w:num>
  <w:num w:numId="12">
    <w:abstractNumId w:val="3"/>
  </w:num>
  <w:num w:numId="13">
    <w:abstractNumId w:val="15"/>
  </w:num>
  <w:num w:numId="14">
    <w:abstractNumId w:val="13"/>
  </w:num>
  <w:num w:numId="15">
    <w:abstractNumId w:val="11"/>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2A"/>
    <w:rsid w:val="0000140F"/>
    <w:rsid w:val="00002EAF"/>
    <w:rsid w:val="000030FF"/>
    <w:rsid w:val="00003CE9"/>
    <w:rsid w:val="00003EE7"/>
    <w:rsid w:val="000067B0"/>
    <w:rsid w:val="0001123D"/>
    <w:rsid w:val="0001140C"/>
    <w:rsid w:val="00012D0D"/>
    <w:rsid w:val="00024A1D"/>
    <w:rsid w:val="00024DAF"/>
    <w:rsid w:val="000257D6"/>
    <w:rsid w:val="00027022"/>
    <w:rsid w:val="00031050"/>
    <w:rsid w:val="00033503"/>
    <w:rsid w:val="00043311"/>
    <w:rsid w:val="00043F54"/>
    <w:rsid w:val="000445F2"/>
    <w:rsid w:val="00051842"/>
    <w:rsid w:val="0005537A"/>
    <w:rsid w:val="00056113"/>
    <w:rsid w:val="000568D9"/>
    <w:rsid w:val="00056ABF"/>
    <w:rsid w:val="00061523"/>
    <w:rsid w:val="00062B79"/>
    <w:rsid w:val="00064D21"/>
    <w:rsid w:val="000659C7"/>
    <w:rsid w:val="00066B00"/>
    <w:rsid w:val="00073CE9"/>
    <w:rsid w:val="00074817"/>
    <w:rsid w:val="00074895"/>
    <w:rsid w:val="00075B18"/>
    <w:rsid w:val="000763D4"/>
    <w:rsid w:val="00081EC7"/>
    <w:rsid w:val="00082392"/>
    <w:rsid w:val="00082546"/>
    <w:rsid w:val="000827BA"/>
    <w:rsid w:val="00083C42"/>
    <w:rsid w:val="00087712"/>
    <w:rsid w:val="00087990"/>
    <w:rsid w:val="00091A7C"/>
    <w:rsid w:val="000956B8"/>
    <w:rsid w:val="00096F4B"/>
    <w:rsid w:val="000A00DA"/>
    <w:rsid w:val="000A0A4B"/>
    <w:rsid w:val="000A60B4"/>
    <w:rsid w:val="000B0107"/>
    <w:rsid w:val="000B24E7"/>
    <w:rsid w:val="000B581A"/>
    <w:rsid w:val="000B6F6C"/>
    <w:rsid w:val="000C0862"/>
    <w:rsid w:val="000C2844"/>
    <w:rsid w:val="000C3727"/>
    <w:rsid w:val="000C5114"/>
    <w:rsid w:val="000C51FA"/>
    <w:rsid w:val="000C5891"/>
    <w:rsid w:val="000C60C5"/>
    <w:rsid w:val="000D13D4"/>
    <w:rsid w:val="000D344C"/>
    <w:rsid w:val="000D394D"/>
    <w:rsid w:val="000D4F59"/>
    <w:rsid w:val="000D67C5"/>
    <w:rsid w:val="000E0B10"/>
    <w:rsid w:val="000E0E46"/>
    <w:rsid w:val="000E11EB"/>
    <w:rsid w:val="000E368D"/>
    <w:rsid w:val="000E39A4"/>
    <w:rsid w:val="000E600B"/>
    <w:rsid w:val="000E6DC2"/>
    <w:rsid w:val="000E7974"/>
    <w:rsid w:val="000E7F02"/>
    <w:rsid w:val="000F1C55"/>
    <w:rsid w:val="000F24BC"/>
    <w:rsid w:val="000F2C41"/>
    <w:rsid w:val="000F39CA"/>
    <w:rsid w:val="000F4D29"/>
    <w:rsid w:val="000F5F3F"/>
    <w:rsid w:val="0010182B"/>
    <w:rsid w:val="00101EBC"/>
    <w:rsid w:val="001021E2"/>
    <w:rsid w:val="00104269"/>
    <w:rsid w:val="0010429D"/>
    <w:rsid w:val="00104706"/>
    <w:rsid w:val="00105901"/>
    <w:rsid w:val="00105C9C"/>
    <w:rsid w:val="00112A2F"/>
    <w:rsid w:val="00113CEA"/>
    <w:rsid w:val="00116CE0"/>
    <w:rsid w:val="00117FB7"/>
    <w:rsid w:val="001201D1"/>
    <w:rsid w:val="00125C31"/>
    <w:rsid w:val="00126034"/>
    <w:rsid w:val="001266F7"/>
    <w:rsid w:val="00126E69"/>
    <w:rsid w:val="00127BF3"/>
    <w:rsid w:val="001313E6"/>
    <w:rsid w:val="00132695"/>
    <w:rsid w:val="0013273F"/>
    <w:rsid w:val="0013372A"/>
    <w:rsid w:val="00133F92"/>
    <w:rsid w:val="00135DE5"/>
    <w:rsid w:val="001401D3"/>
    <w:rsid w:val="00140D62"/>
    <w:rsid w:val="0014685C"/>
    <w:rsid w:val="001514FE"/>
    <w:rsid w:val="0015185A"/>
    <w:rsid w:val="00154315"/>
    <w:rsid w:val="00157AA8"/>
    <w:rsid w:val="00163522"/>
    <w:rsid w:val="0016681C"/>
    <w:rsid w:val="00167F07"/>
    <w:rsid w:val="001745C6"/>
    <w:rsid w:val="00177FB2"/>
    <w:rsid w:val="001803B0"/>
    <w:rsid w:val="00187B80"/>
    <w:rsid w:val="00193397"/>
    <w:rsid w:val="001939D7"/>
    <w:rsid w:val="001943F1"/>
    <w:rsid w:val="001977EA"/>
    <w:rsid w:val="001A38E6"/>
    <w:rsid w:val="001A4C26"/>
    <w:rsid w:val="001A78AB"/>
    <w:rsid w:val="001B1238"/>
    <w:rsid w:val="001B168E"/>
    <w:rsid w:val="001B1B8C"/>
    <w:rsid w:val="001B4F24"/>
    <w:rsid w:val="001B6768"/>
    <w:rsid w:val="001B7776"/>
    <w:rsid w:val="001C09BC"/>
    <w:rsid w:val="001C16AB"/>
    <w:rsid w:val="001C35E7"/>
    <w:rsid w:val="001C4185"/>
    <w:rsid w:val="001D0B33"/>
    <w:rsid w:val="001D3288"/>
    <w:rsid w:val="001D331C"/>
    <w:rsid w:val="001D48EB"/>
    <w:rsid w:val="001D704B"/>
    <w:rsid w:val="001E1EDF"/>
    <w:rsid w:val="001E45A3"/>
    <w:rsid w:val="001E6DF3"/>
    <w:rsid w:val="001E74EA"/>
    <w:rsid w:val="001E76BB"/>
    <w:rsid w:val="001F5253"/>
    <w:rsid w:val="001F59E5"/>
    <w:rsid w:val="001F7640"/>
    <w:rsid w:val="00201737"/>
    <w:rsid w:val="00201DF5"/>
    <w:rsid w:val="00203C71"/>
    <w:rsid w:val="00203C8D"/>
    <w:rsid w:val="0020660A"/>
    <w:rsid w:val="00212C81"/>
    <w:rsid w:val="0021309E"/>
    <w:rsid w:val="00213109"/>
    <w:rsid w:val="002137CD"/>
    <w:rsid w:val="0021471D"/>
    <w:rsid w:val="00217AE6"/>
    <w:rsid w:val="00220043"/>
    <w:rsid w:val="00220B1E"/>
    <w:rsid w:val="00222649"/>
    <w:rsid w:val="00222AB9"/>
    <w:rsid w:val="00223BB6"/>
    <w:rsid w:val="00223C3C"/>
    <w:rsid w:val="00224255"/>
    <w:rsid w:val="0022438C"/>
    <w:rsid w:val="0022481F"/>
    <w:rsid w:val="00224D05"/>
    <w:rsid w:val="002302CF"/>
    <w:rsid w:val="002328B9"/>
    <w:rsid w:val="00233D87"/>
    <w:rsid w:val="00240135"/>
    <w:rsid w:val="00241E0E"/>
    <w:rsid w:val="002429C1"/>
    <w:rsid w:val="002430E9"/>
    <w:rsid w:val="00244864"/>
    <w:rsid w:val="002449B6"/>
    <w:rsid w:val="00245DB5"/>
    <w:rsid w:val="00245FCD"/>
    <w:rsid w:val="00251750"/>
    <w:rsid w:val="00251C09"/>
    <w:rsid w:val="002539D8"/>
    <w:rsid w:val="002540B2"/>
    <w:rsid w:val="002548BC"/>
    <w:rsid w:val="00254AF7"/>
    <w:rsid w:val="00257AAB"/>
    <w:rsid w:val="00257B6B"/>
    <w:rsid w:val="00260F97"/>
    <w:rsid w:val="00263BD7"/>
    <w:rsid w:val="002647B5"/>
    <w:rsid w:val="00264D2A"/>
    <w:rsid w:val="002731BA"/>
    <w:rsid w:val="002764D4"/>
    <w:rsid w:val="00277984"/>
    <w:rsid w:val="00282604"/>
    <w:rsid w:val="00282B9B"/>
    <w:rsid w:val="00283496"/>
    <w:rsid w:val="00283E7A"/>
    <w:rsid w:val="002862D5"/>
    <w:rsid w:val="00286837"/>
    <w:rsid w:val="002875FB"/>
    <w:rsid w:val="0029130F"/>
    <w:rsid w:val="002939AA"/>
    <w:rsid w:val="002952F4"/>
    <w:rsid w:val="00296DFF"/>
    <w:rsid w:val="002977FA"/>
    <w:rsid w:val="002A0736"/>
    <w:rsid w:val="002A16E5"/>
    <w:rsid w:val="002A1FED"/>
    <w:rsid w:val="002A2EDE"/>
    <w:rsid w:val="002A5A10"/>
    <w:rsid w:val="002A61E0"/>
    <w:rsid w:val="002A7906"/>
    <w:rsid w:val="002B3024"/>
    <w:rsid w:val="002B4EC6"/>
    <w:rsid w:val="002B65B9"/>
    <w:rsid w:val="002C0199"/>
    <w:rsid w:val="002C2E78"/>
    <w:rsid w:val="002C4A70"/>
    <w:rsid w:val="002C4C71"/>
    <w:rsid w:val="002C4F05"/>
    <w:rsid w:val="002C6116"/>
    <w:rsid w:val="002C66DF"/>
    <w:rsid w:val="002D1442"/>
    <w:rsid w:val="002D3C78"/>
    <w:rsid w:val="002D656D"/>
    <w:rsid w:val="002D6C83"/>
    <w:rsid w:val="002E29B8"/>
    <w:rsid w:val="002E2CFC"/>
    <w:rsid w:val="002E7DCC"/>
    <w:rsid w:val="002F0C0D"/>
    <w:rsid w:val="002F1972"/>
    <w:rsid w:val="002F20BA"/>
    <w:rsid w:val="002F2ECB"/>
    <w:rsid w:val="00300919"/>
    <w:rsid w:val="00301EC8"/>
    <w:rsid w:val="00307665"/>
    <w:rsid w:val="00307A41"/>
    <w:rsid w:val="003112EF"/>
    <w:rsid w:val="00311DF1"/>
    <w:rsid w:val="00311FD4"/>
    <w:rsid w:val="00316FE9"/>
    <w:rsid w:val="003200B8"/>
    <w:rsid w:val="00323235"/>
    <w:rsid w:val="003255DF"/>
    <w:rsid w:val="003353A8"/>
    <w:rsid w:val="003416E1"/>
    <w:rsid w:val="00342A53"/>
    <w:rsid w:val="00343DD6"/>
    <w:rsid w:val="00344074"/>
    <w:rsid w:val="00346C3F"/>
    <w:rsid w:val="00346D75"/>
    <w:rsid w:val="00346FA7"/>
    <w:rsid w:val="00347C0A"/>
    <w:rsid w:val="00350185"/>
    <w:rsid w:val="003503D3"/>
    <w:rsid w:val="00352AF1"/>
    <w:rsid w:val="00356DC3"/>
    <w:rsid w:val="00357091"/>
    <w:rsid w:val="00357A4F"/>
    <w:rsid w:val="003602A4"/>
    <w:rsid w:val="0036065F"/>
    <w:rsid w:val="00361C5A"/>
    <w:rsid w:val="003638C0"/>
    <w:rsid w:val="00363FCB"/>
    <w:rsid w:val="00363FCF"/>
    <w:rsid w:val="003651C9"/>
    <w:rsid w:val="00366B52"/>
    <w:rsid w:val="00366C61"/>
    <w:rsid w:val="00366D61"/>
    <w:rsid w:val="003709B9"/>
    <w:rsid w:val="0037170A"/>
    <w:rsid w:val="00376547"/>
    <w:rsid w:val="00376743"/>
    <w:rsid w:val="00376BB7"/>
    <w:rsid w:val="00377EAF"/>
    <w:rsid w:val="00380EA6"/>
    <w:rsid w:val="00382844"/>
    <w:rsid w:val="00382D23"/>
    <w:rsid w:val="00386E51"/>
    <w:rsid w:val="003911B6"/>
    <w:rsid w:val="0039182D"/>
    <w:rsid w:val="00392950"/>
    <w:rsid w:val="00392A4A"/>
    <w:rsid w:val="00394881"/>
    <w:rsid w:val="00394B90"/>
    <w:rsid w:val="00396878"/>
    <w:rsid w:val="003A2270"/>
    <w:rsid w:val="003A7DAE"/>
    <w:rsid w:val="003B142B"/>
    <w:rsid w:val="003B28F4"/>
    <w:rsid w:val="003B4393"/>
    <w:rsid w:val="003B59CA"/>
    <w:rsid w:val="003B6197"/>
    <w:rsid w:val="003B6E2E"/>
    <w:rsid w:val="003B766A"/>
    <w:rsid w:val="003C29C6"/>
    <w:rsid w:val="003C36D6"/>
    <w:rsid w:val="003C409B"/>
    <w:rsid w:val="003C6F59"/>
    <w:rsid w:val="003C7030"/>
    <w:rsid w:val="003D0F44"/>
    <w:rsid w:val="003D4934"/>
    <w:rsid w:val="003D4A75"/>
    <w:rsid w:val="003D6D24"/>
    <w:rsid w:val="003E0AD3"/>
    <w:rsid w:val="003E0B56"/>
    <w:rsid w:val="003E3C7F"/>
    <w:rsid w:val="003E3CBF"/>
    <w:rsid w:val="003E5CD3"/>
    <w:rsid w:val="003E6D06"/>
    <w:rsid w:val="003E7FF7"/>
    <w:rsid w:val="003F0429"/>
    <w:rsid w:val="003F4161"/>
    <w:rsid w:val="003F72E7"/>
    <w:rsid w:val="0040124B"/>
    <w:rsid w:val="004032AF"/>
    <w:rsid w:val="00403D2A"/>
    <w:rsid w:val="00407C9F"/>
    <w:rsid w:val="00410B82"/>
    <w:rsid w:val="00412906"/>
    <w:rsid w:val="00413A6F"/>
    <w:rsid w:val="00414DED"/>
    <w:rsid w:val="00415FF0"/>
    <w:rsid w:val="0041673C"/>
    <w:rsid w:val="00417EDD"/>
    <w:rsid w:val="00420D44"/>
    <w:rsid w:val="00421340"/>
    <w:rsid w:val="004215CB"/>
    <w:rsid w:val="00431D26"/>
    <w:rsid w:val="00432181"/>
    <w:rsid w:val="0043284F"/>
    <w:rsid w:val="004329C5"/>
    <w:rsid w:val="004332F5"/>
    <w:rsid w:val="0043457B"/>
    <w:rsid w:val="00436DAF"/>
    <w:rsid w:val="00443D51"/>
    <w:rsid w:val="00445417"/>
    <w:rsid w:val="0044554A"/>
    <w:rsid w:val="00445D6D"/>
    <w:rsid w:val="00447041"/>
    <w:rsid w:val="00451513"/>
    <w:rsid w:val="00451EF9"/>
    <w:rsid w:val="00452B0C"/>
    <w:rsid w:val="00452CE3"/>
    <w:rsid w:val="00453D77"/>
    <w:rsid w:val="004551C8"/>
    <w:rsid w:val="0046284A"/>
    <w:rsid w:val="004649AE"/>
    <w:rsid w:val="00467248"/>
    <w:rsid w:val="004721C5"/>
    <w:rsid w:val="004731FA"/>
    <w:rsid w:val="00473833"/>
    <w:rsid w:val="00475DDD"/>
    <w:rsid w:val="004815C9"/>
    <w:rsid w:val="00481C70"/>
    <w:rsid w:val="00482701"/>
    <w:rsid w:val="00484AA1"/>
    <w:rsid w:val="004939FA"/>
    <w:rsid w:val="004940A4"/>
    <w:rsid w:val="00494AEA"/>
    <w:rsid w:val="0049520D"/>
    <w:rsid w:val="0049717C"/>
    <w:rsid w:val="004A1BA2"/>
    <w:rsid w:val="004A4369"/>
    <w:rsid w:val="004B03E3"/>
    <w:rsid w:val="004B1831"/>
    <w:rsid w:val="004B3177"/>
    <w:rsid w:val="004B3433"/>
    <w:rsid w:val="004B3D0F"/>
    <w:rsid w:val="004B5350"/>
    <w:rsid w:val="004B6826"/>
    <w:rsid w:val="004C0592"/>
    <w:rsid w:val="004C1AA3"/>
    <w:rsid w:val="004C23A5"/>
    <w:rsid w:val="004C3FA0"/>
    <w:rsid w:val="004C4535"/>
    <w:rsid w:val="004C7CE7"/>
    <w:rsid w:val="004D03C9"/>
    <w:rsid w:val="004D0D2E"/>
    <w:rsid w:val="004D1637"/>
    <w:rsid w:val="004D2CE4"/>
    <w:rsid w:val="004D4084"/>
    <w:rsid w:val="004D4960"/>
    <w:rsid w:val="004D5F24"/>
    <w:rsid w:val="004D61AB"/>
    <w:rsid w:val="004D763F"/>
    <w:rsid w:val="004E0867"/>
    <w:rsid w:val="004E0E27"/>
    <w:rsid w:val="004E1179"/>
    <w:rsid w:val="004E39C5"/>
    <w:rsid w:val="004E6306"/>
    <w:rsid w:val="004E6C61"/>
    <w:rsid w:val="004F0323"/>
    <w:rsid w:val="004F1FB8"/>
    <w:rsid w:val="004F2AC0"/>
    <w:rsid w:val="004F2B03"/>
    <w:rsid w:val="004F3DDC"/>
    <w:rsid w:val="004F50AA"/>
    <w:rsid w:val="004F5B78"/>
    <w:rsid w:val="00503862"/>
    <w:rsid w:val="00505C3F"/>
    <w:rsid w:val="0050744B"/>
    <w:rsid w:val="00507B72"/>
    <w:rsid w:val="00513E86"/>
    <w:rsid w:val="0051425B"/>
    <w:rsid w:val="00514899"/>
    <w:rsid w:val="00515A1B"/>
    <w:rsid w:val="00516C18"/>
    <w:rsid w:val="00516CC9"/>
    <w:rsid w:val="0052058E"/>
    <w:rsid w:val="005206D2"/>
    <w:rsid w:val="0052111D"/>
    <w:rsid w:val="0052138F"/>
    <w:rsid w:val="00522DCC"/>
    <w:rsid w:val="005265F7"/>
    <w:rsid w:val="00527A65"/>
    <w:rsid w:val="00530776"/>
    <w:rsid w:val="00530C86"/>
    <w:rsid w:val="005366DD"/>
    <w:rsid w:val="00542118"/>
    <w:rsid w:val="005426C9"/>
    <w:rsid w:val="0054465A"/>
    <w:rsid w:val="0054466B"/>
    <w:rsid w:val="005462AA"/>
    <w:rsid w:val="00547730"/>
    <w:rsid w:val="005514D3"/>
    <w:rsid w:val="00554EE6"/>
    <w:rsid w:val="005567BF"/>
    <w:rsid w:val="005572B4"/>
    <w:rsid w:val="00557EB0"/>
    <w:rsid w:val="00562060"/>
    <w:rsid w:val="00563F98"/>
    <w:rsid w:val="005640D2"/>
    <w:rsid w:val="00567FC8"/>
    <w:rsid w:val="0057027C"/>
    <w:rsid w:val="00573A38"/>
    <w:rsid w:val="00577CB2"/>
    <w:rsid w:val="00577DFC"/>
    <w:rsid w:val="00583025"/>
    <w:rsid w:val="0058491F"/>
    <w:rsid w:val="00584A13"/>
    <w:rsid w:val="00590365"/>
    <w:rsid w:val="005913E6"/>
    <w:rsid w:val="00593AE7"/>
    <w:rsid w:val="0059765C"/>
    <w:rsid w:val="005A08DF"/>
    <w:rsid w:val="005A25DD"/>
    <w:rsid w:val="005A5D1C"/>
    <w:rsid w:val="005A689F"/>
    <w:rsid w:val="005A6AED"/>
    <w:rsid w:val="005B059E"/>
    <w:rsid w:val="005B08DF"/>
    <w:rsid w:val="005B148E"/>
    <w:rsid w:val="005C4368"/>
    <w:rsid w:val="005C47FB"/>
    <w:rsid w:val="005C7DC1"/>
    <w:rsid w:val="005D0DF0"/>
    <w:rsid w:val="005D2622"/>
    <w:rsid w:val="005D5046"/>
    <w:rsid w:val="005D60E2"/>
    <w:rsid w:val="005E0C13"/>
    <w:rsid w:val="005E0EB7"/>
    <w:rsid w:val="005E2C29"/>
    <w:rsid w:val="005E332B"/>
    <w:rsid w:val="005E6E24"/>
    <w:rsid w:val="005F0DA4"/>
    <w:rsid w:val="005F56A2"/>
    <w:rsid w:val="005F6EFE"/>
    <w:rsid w:val="00603123"/>
    <w:rsid w:val="0060534D"/>
    <w:rsid w:val="00611C55"/>
    <w:rsid w:val="00615019"/>
    <w:rsid w:val="006155FA"/>
    <w:rsid w:val="00615764"/>
    <w:rsid w:val="00617E7A"/>
    <w:rsid w:val="00623D04"/>
    <w:rsid w:val="006245A9"/>
    <w:rsid w:val="00625912"/>
    <w:rsid w:val="00626107"/>
    <w:rsid w:val="00626DF4"/>
    <w:rsid w:val="00627CB7"/>
    <w:rsid w:val="00630015"/>
    <w:rsid w:val="006330FF"/>
    <w:rsid w:val="00634CAF"/>
    <w:rsid w:val="00643871"/>
    <w:rsid w:val="00644FD1"/>
    <w:rsid w:val="00646E2A"/>
    <w:rsid w:val="00647D06"/>
    <w:rsid w:val="00650BA4"/>
    <w:rsid w:val="00650D61"/>
    <w:rsid w:val="00651686"/>
    <w:rsid w:val="00653400"/>
    <w:rsid w:val="00653EDA"/>
    <w:rsid w:val="006546F1"/>
    <w:rsid w:val="00657D34"/>
    <w:rsid w:val="006619AB"/>
    <w:rsid w:val="006627CE"/>
    <w:rsid w:val="00666FC5"/>
    <w:rsid w:val="0067113B"/>
    <w:rsid w:val="00671A43"/>
    <w:rsid w:val="00671E1F"/>
    <w:rsid w:val="00673197"/>
    <w:rsid w:val="006753B0"/>
    <w:rsid w:val="00675E8E"/>
    <w:rsid w:val="00681A9C"/>
    <w:rsid w:val="00681F8D"/>
    <w:rsid w:val="00686161"/>
    <w:rsid w:val="0068749A"/>
    <w:rsid w:val="006879C2"/>
    <w:rsid w:val="00687AD7"/>
    <w:rsid w:val="00690622"/>
    <w:rsid w:val="006919E4"/>
    <w:rsid w:val="00692B2C"/>
    <w:rsid w:val="00694D8F"/>
    <w:rsid w:val="00695659"/>
    <w:rsid w:val="0069698C"/>
    <w:rsid w:val="00697B43"/>
    <w:rsid w:val="006A0137"/>
    <w:rsid w:val="006A46BC"/>
    <w:rsid w:val="006A4B4E"/>
    <w:rsid w:val="006A56F6"/>
    <w:rsid w:val="006A61BE"/>
    <w:rsid w:val="006A6EC4"/>
    <w:rsid w:val="006B23DC"/>
    <w:rsid w:val="006B26EC"/>
    <w:rsid w:val="006B32EB"/>
    <w:rsid w:val="006B73B9"/>
    <w:rsid w:val="006C28A3"/>
    <w:rsid w:val="006C2E1B"/>
    <w:rsid w:val="006C38AF"/>
    <w:rsid w:val="006C3ECE"/>
    <w:rsid w:val="006C5024"/>
    <w:rsid w:val="006D2214"/>
    <w:rsid w:val="006D6206"/>
    <w:rsid w:val="006D68A3"/>
    <w:rsid w:val="006E61EB"/>
    <w:rsid w:val="006E62B8"/>
    <w:rsid w:val="006E7AF6"/>
    <w:rsid w:val="006F111E"/>
    <w:rsid w:val="006F6E97"/>
    <w:rsid w:val="00701C79"/>
    <w:rsid w:val="0070272A"/>
    <w:rsid w:val="00702A9B"/>
    <w:rsid w:val="0070413E"/>
    <w:rsid w:val="00704B85"/>
    <w:rsid w:val="00704BE1"/>
    <w:rsid w:val="0070666D"/>
    <w:rsid w:val="00710742"/>
    <w:rsid w:val="00710DD9"/>
    <w:rsid w:val="0071118C"/>
    <w:rsid w:val="0071121D"/>
    <w:rsid w:val="00711D9F"/>
    <w:rsid w:val="007122B5"/>
    <w:rsid w:val="00714575"/>
    <w:rsid w:val="00714C9D"/>
    <w:rsid w:val="00715734"/>
    <w:rsid w:val="00715A14"/>
    <w:rsid w:val="007162FD"/>
    <w:rsid w:val="00717D82"/>
    <w:rsid w:val="0072306B"/>
    <w:rsid w:val="00724AB5"/>
    <w:rsid w:val="007259A6"/>
    <w:rsid w:val="00726EF8"/>
    <w:rsid w:val="007274E6"/>
    <w:rsid w:val="007307C2"/>
    <w:rsid w:val="00731431"/>
    <w:rsid w:val="007341E6"/>
    <w:rsid w:val="00734A08"/>
    <w:rsid w:val="0073724D"/>
    <w:rsid w:val="00737B1F"/>
    <w:rsid w:val="007402BB"/>
    <w:rsid w:val="00741A1E"/>
    <w:rsid w:val="00741B42"/>
    <w:rsid w:val="00741D07"/>
    <w:rsid w:val="0074414A"/>
    <w:rsid w:val="00744301"/>
    <w:rsid w:val="00744BC5"/>
    <w:rsid w:val="007512CC"/>
    <w:rsid w:val="00753B60"/>
    <w:rsid w:val="00756C6D"/>
    <w:rsid w:val="00761B7A"/>
    <w:rsid w:val="0076232D"/>
    <w:rsid w:val="00764356"/>
    <w:rsid w:val="00765555"/>
    <w:rsid w:val="00765EAB"/>
    <w:rsid w:val="00767A96"/>
    <w:rsid w:val="0077256F"/>
    <w:rsid w:val="007726F5"/>
    <w:rsid w:val="00775052"/>
    <w:rsid w:val="007772D1"/>
    <w:rsid w:val="0078006D"/>
    <w:rsid w:val="007801B8"/>
    <w:rsid w:val="00783D6C"/>
    <w:rsid w:val="0078630D"/>
    <w:rsid w:val="00790072"/>
    <w:rsid w:val="00791DA3"/>
    <w:rsid w:val="007A0419"/>
    <w:rsid w:val="007A04A0"/>
    <w:rsid w:val="007A39A2"/>
    <w:rsid w:val="007A3D3D"/>
    <w:rsid w:val="007A4D94"/>
    <w:rsid w:val="007A734F"/>
    <w:rsid w:val="007B602C"/>
    <w:rsid w:val="007B704D"/>
    <w:rsid w:val="007C4447"/>
    <w:rsid w:val="007D5238"/>
    <w:rsid w:val="007D5349"/>
    <w:rsid w:val="007E0B32"/>
    <w:rsid w:val="007E0B5B"/>
    <w:rsid w:val="007E1005"/>
    <w:rsid w:val="007E1B7F"/>
    <w:rsid w:val="007E1D1A"/>
    <w:rsid w:val="007E5719"/>
    <w:rsid w:val="007E624A"/>
    <w:rsid w:val="007E66E8"/>
    <w:rsid w:val="007F0130"/>
    <w:rsid w:val="007F2651"/>
    <w:rsid w:val="007F2F4F"/>
    <w:rsid w:val="007F4E40"/>
    <w:rsid w:val="007F50C7"/>
    <w:rsid w:val="007F7EDD"/>
    <w:rsid w:val="0080086C"/>
    <w:rsid w:val="00802908"/>
    <w:rsid w:val="0080329D"/>
    <w:rsid w:val="00804325"/>
    <w:rsid w:val="00805A29"/>
    <w:rsid w:val="00807CF7"/>
    <w:rsid w:val="00807DDF"/>
    <w:rsid w:val="00811E6D"/>
    <w:rsid w:val="00813DC0"/>
    <w:rsid w:val="008167F2"/>
    <w:rsid w:val="00817BB3"/>
    <w:rsid w:val="008220C2"/>
    <w:rsid w:val="00822CE4"/>
    <w:rsid w:val="00823E1F"/>
    <w:rsid w:val="008245B6"/>
    <w:rsid w:val="008270E9"/>
    <w:rsid w:val="0082739E"/>
    <w:rsid w:val="00830668"/>
    <w:rsid w:val="00831A31"/>
    <w:rsid w:val="00831F24"/>
    <w:rsid w:val="0083396C"/>
    <w:rsid w:val="00837067"/>
    <w:rsid w:val="0084006A"/>
    <w:rsid w:val="00840514"/>
    <w:rsid w:val="00841D7B"/>
    <w:rsid w:val="008420CE"/>
    <w:rsid w:val="00842F21"/>
    <w:rsid w:val="008442C0"/>
    <w:rsid w:val="008477D4"/>
    <w:rsid w:val="008505A3"/>
    <w:rsid w:val="00850D1A"/>
    <w:rsid w:val="008517B3"/>
    <w:rsid w:val="00851E3B"/>
    <w:rsid w:val="008528AA"/>
    <w:rsid w:val="00853520"/>
    <w:rsid w:val="00853E5C"/>
    <w:rsid w:val="008563F4"/>
    <w:rsid w:val="008573B0"/>
    <w:rsid w:val="00860400"/>
    <w:rsid w:val="0086373A"/>
    <w:rsid w:val="00864777"/>
    <w:rsid w:val="00864799"/>
    <w:rsid w:val="00865583"/>
    <w:rsid w:val="00867374"/>
    <w:rsid w:val="0087214F"/>
    <w:rsid w:val="00875CDA"/>
    <w:rsid w:val="00877586"/>
    <w:rsid w:val="00877AFC"/>
    <w:rsid w:val="00880B98"/>
    <w:rsid w:val="008824A6"/>
    <w:rsid w:val="00883713"/>
    <w:rsid w:val="00886D66"/>
    <w:rsid w:val="00887B56"/>
    <w:rsid w:val="0089021C"/>
    <w:rsid w:val="008932DF"/>
    <w:rsid w:val="00893585"/>
    <w:rsid w:val="00897F42"/>
    <w:rsid w:val="008A20E6"/>
    <w:rsid w:val="008A2F2C"/>
    <w:rsid w:val="008A59DD"/>
    <w:rsid w:val="008A5A88"/>
    <w:rsid w:val="008B2814"/>
    <w:rsid w:val="008B2FB1"/>
    <w:rsid w:val="008B3813"/>
    <w:rsid w:val="008B4C69"/>
    <w:rsid w:val="008C06F6"/>
    <w:rsid w:val="008C08FE"/>
    <w:rsid w:val="008C129F"/>
    <w:rsid w:val="008C213D"/>
    <w:rsid w:val="008C3966"/>
    <w:rsid w:val="008C4213"/>
    <w:rsid w:val="008C6954"/>
    <w:rsid w:val="008C6A81"/>
    <w:rsid w:val="008C77B9"/>
    <w:rsid w:val="008D096E"/>
    <w:rsid w:val="008D1A56"/>
    <w:rsid w:val="008D1B90"/>
    <w:rsid w:val="008D1C2E"/>
    <w:rsid w:val="008D2829"/>
    <w:rsid w:val="008D5746"/>
    <w:rsid w:val="008E1975"/>
    <w:rsid w:val="008E4020"/>
    <w:rsid w:val="008E5663"/>
    <w:rsid w:val="008E590D"/>
    <w:rsid w:val="008F052A"/>
    <w:rsid w:val="008F0EF9"/>
    <w:rsid w:val="008F1654"/>
    <w:rsid w:val="008F16B7"/>
    <w:rsid w:val="00902432"/>
    <w:rsid w:val="00904E46"/>
    <w:rsid w:val="00911919"/>
    <w:rsid w:val="00913318"/>
    <w:rsid w:val="00914EEA"/>
    <w:rsid w:val="00915CAF"/>
    <w:rsid w:val="00916439"/>
    <w:rsid w:val="0092060A"/>
    <w:rsid w:val="009217A9"/>
    <w:rsid w:val="009219B6"/>
    <w:rsid w:val="009222E8"/>
    <w:rsid w:val="0092313F"/>
    <w:rsid w:val="00924D43"/>
    <w:rsid w:val="00924E79"/>
    <w:rsid w:val="00924FF0"/>
    <w:rsid w:val="0093031A"/>
    <w:rsid w:val="00930483"/>
    <w:rsid w:val="00930846"/>
    <w:rsid w:val="00931FDE"/>
    <w:rsid w:val="009363E0"/>
    <w:rsid w:val="00937AF3"/>
    <w:rsid w:val="00937BA9"/>
    <w:rsid w:val="009444F4"/>
    <w:rsid w:val="00945669"/>
    <w:rsid w:val="00946551"/>
    <w:rsid w:val="0094696E"/>
    <w:rsid w:val="00947AC5"/>
    <w:rsid w:val="00950EA5"/>
    <w:rsid w:val="009539A1"/>
    <w:rsid w:val="00954211"/>
    <w:rsid w:val="009545C5"/>
    <w:rsid w:val="0095512F"/>
    <w:rsid w:val="00955F7E"/>
    <w:rsid w:val="00956885"/>
    <w:rsid w:val="00960A77"/>
    <w:rsid w:val="009616BC"/>
    <w:rsid w:val="00962ADD"/>
    <w:rsid w:val="00962DCD"/>
    <w:rsid w:val="009654A0"/>
    <w:rsid w:val="0096576E"/>
    <w:rsid w:val="009672D8"/>
    <w:rsid w:val="00970104"/>
    <w:rsid w:val="00970CB6"/>
    <w:rsid w:val="009710C3"/>
    <w:rsid w:val="00971D51"/>
    <w:rsid w:val="009726AD"/>
    <w:rsid w:val="00972801"/>
    <w:rsid w:val="00973F01"/>
    <w:rsid w:val="0098538A"/>
    <w:rsid w:val="009902FD"/>
    <w:rsid w:val="00990BD1"/>
    <w:rsid w:val="00991409"/>
    <w:rsid w:val="009922A9"/>
    <w:rsid w:val="00992F52"/>
    <w:rsid w:val="00994107"/>
    <w:rsid w:val="0099439D"/>
    <w:rsid w:val="0099548A"/>
    <w:rsid w:val="009A0E65"/>
    <w:rsid w:val="009A3713"/>
    <w:rsid w:val="009A3B77"/>
    <w:rsid w:val="009A547A"/>
    <w:rsid w:val="009A55DF"/>
    <w:rsid w:val="009A6101"/>
    <w:rsid w:val="009A72CC"/>
    <w:rsid w:val="009B19D0"/>
    <w:rsid w:val="009B39C8"/>
    <w:rsid w:val="009B3F5C"/>
    <w:rsid w:val="009B4409"/>
    <w:rsid w:val="009B59F1"/>
    <w:rsid w:val="009B6C2E"/>
    <w:rsid w:val="009C310C"/>
    <w:rsid w:val="009C4A1E"/>
    <w:rsid w:val="009C4FD2"/>
    <w:rsid w:val="009D0EE3"/>
    <w:rsid w:val="009D151A"/>
    <w:rsid w:val="009D1A34"/>
    <w:rsid w:val="009D4765"/>
    <w:rsid w:val="009D75C2"/>
    <w:rsid w:val="009E224C"/>
    <w:rsid w:val="009E4284"/>
    <w:rsid w:val="009E5D5A"/>
    <w:rsid w:val="009F2B05"/>
    <w:rsid w:val="009F309F"/>
    <w:rsid w:val="009F4399"/>
    <w:rsid w:val="009F5A1D"/>
    <w:rsid w:val="009F748B"/>
    <w:rsid w:val="00A0140A"/>
    <w:rsid w:val="00A01590"/>
    <w:rsid w:val="00A03535"/>
    <w:rsid w:val="00A04391"/>
    <w:rsid w:val="00A0589D"/>
    <w:rsid w:val="00A107F5"/>
    <w:rsid w:val="00A11657"/>
    <w:rsid w:val="00A16F66"/>
    <w:rsid w:val="00A20AE8"/>
    <w:rsid w:val="00A22675"/>
    <w:rsid w:val="00A22BB7"/>
    <w:rsid w:val="00A26092"/>
    <w:rsid w:val="00A27524"/>
    <w:rsid w:val="00A302D4"/>
    <w:rsid w:val="00A318D9"/>
    <w:rsid w:val="00A31FC0"/>
    <w:rsid w:val="00A32B39"/>
    <w:rsid w:val="00A340F1"/>
    <w:rsid w:val="00A34483"/>
    <w:rsid w:val="00A34B11"/>
    <w:rsid w:val="00A35B55"/>
    <w:rsid w:val="00A4289E"/>
    <w:rsid w:val="00A45045"/>
    <w:rsid w:val="00A46A08"/>
    <w:rsid w:val="00A50611"/>
    <w:rsid w:val="00A506EA"/>
    <w:rsid w:val="00A52F54"/>
    <w:rsid w:val="00A53CF6"/>
    <w:rsid w:val="00A54AD6"/>
    <w:rsid w:val="00A572CD"/>
    <w:rsid w:val="00A573D9"/>
    <w:rsid w:val="00A61089"/>
    <w:rsid w:val="00A66B85"/>
    <w:rsid w:val="00A673EB"/>
    <w:rsid w:val="00A678BE"/>
    <w:rsid w:val="00A70213"/>
    <w:rsid w:val="00A70E41"/>
    <w:rsid w:val="00A714F6"/>
    <w:rsid w:val="00A740A1"/>
    <w:rsid w:val="00A77229"/>
    <w:rsid w:val="00A80F4D"/>
    <w:rsid w:val="00A83596"/>
    <w:rsid w:val="00A871CE"/>
    <w:rsid w:val="00A87FFA"/>
    <w:rsid w:val="00A912AA"/>
    <w:rsid w:val="00A946B6"/>
    <w:rsid w:val="00A95DF4"/>
    <w:rsid w:val="00A96366"/>
    <w:rsid w:val="00AA0D7D"/>
    <w:rsid w:val="00AA3621"/>
    <w:rsid w:val="00AA6C73"/>
    <w:rsid w:val="00AA7F98"/>
    <w:rsid w:val="00AB34AA"/>
    <w:rsid w:val="00AB3588"/>
    <w:rsid w:val="00AB4166"/>
    <w:rsid w:val="00AB4872"/>
    <w:rsid w:val="00AB66D0"/>
    <w:rsid w:val="00AC49F3"/>
    <w:rsid w:val="00AD0D8E"/>
    <w:rsid w:val="00AD1845"/>
    <w:rsid w:val="00AD54FF"/>
    <w:rsid w:val="00AD68B4"/>
    <w:rsid w:val="00AD69D1"/>
    <w:rsid w:val="00AE069E"/>
    <w:rsid w:val="00AE0E86"/>
    <w:rsid w:val="00AE2897"/>
    <w:rsid w:val="00AE3805"/>
    <w:rsid w:val="00AE52E7"/>
    <w:rsid w:val="00AE63D6"/>
    <w:rsid w:val="00AE7C8F"/>
    <w:rsid w:val="00AF1DD8"/>
    <w:rsid w:val="00AF4F7B"/>
    <w:rsid w:val="00AF65AD"/>
    <w:rsid w:val="00AF77F4"/>
    <w:rsid w:val="00B00AE9"/>
    <w:rsid w:val="00B023C0"/>
    <w:rsid w:val="00B02F80"/>
    <w:rsid w:val="00B030EE"/>
    <w:rsid w:val="00B0364A"/>
    <w:rsid w:val="00B10395"/>
    <w:rsid w:val="00B115E4"/>
    <w:rsid w:val="00B13551"/>
    <w:rsid w:val="00B14270"/>
    <w:rsid w:val="00B155A8"/>
    <w:rsid w:val="00B16E2D"/>
    <w:rsid w:val="00B1747E"/>
    <w:rsid w:val="00B175B9"/>
    <w:rsid w:val="00B2054F"/>
    <w:rsid w:val="00B21A8E"/>
    <w:rsid w:val="00B23041"/>
    <w:rsid w:val="00B231D4"/>
    <w:rsid w:val="00B25A76"/>
    <w:rsid w:val="00B26C79"/>
    <w:rsid w:val="00B30FCC"/>
    <w:rsid w:val="00B31B7D"/>
    <w:rsid w:val="00B32C46"/>
    <w:rsid w:val="00B32ECB"/>
    <w:rsid w:val="00B34B65"/>
    <w:rsid w:val="00B35CAD"/>
    <w:rsid w:val="00B36F02"/>
    <w:rsid w:val="00B37A5E"/>
    <w:rsid w:val="00B41165"/>
    <w:rsid w:val="00B41FB0"/>
    <w:rsid w:val="00B446CB"/>
    <w:rsid w:val="00B44764"/>
    <w:rsid w:val="00B45BE3"/>
    <w:rsid w:val="00B50272"/>
    <w:rsid w:val="00B50606"/>
    <w:rsid w:val="00B54422"/>
    <w:rsid w:val="00B55945"/>
    <w:rsid w:val="00B562B0"/>
    <w:rsid w:val="00B575C6"/>
    <w:rsid w:val="00B601FD"/>
    <w:rsid w:val="00B6676D"/>
    <w:rsid w:val="00B67291"/>
    <w:rsid w:val="00B73945"/>
    <w:rsid w:val="00B7466A"/>
    <w:rsid w:val="00B772B8"/>
    <w:rsid w:val="00B804FB"/>
    <w:rsid w:val="00B829EE"/>
    <w:rsid w:val="00B83489"/>
    <w:rsid w:val="00B8501E"/>
    <w:rsid w:val="00B93D2A"/>
    <w:rsid w:val="00B97034"/>
    <w:rsid w:val="00B970FF"/>
    <w:rsid w:val="00BA2BCB"/>
    <w:rsid w:val="00BA3C2E"/>
    <w:rsid w:val="00BA5E33"/>
    <w:rsid w:val="00BA6176"/>
    <w:rsid w:val="00BA6235"/>
    <w:rsid w:val="00BA6FC4"/>
    <w:rsid w:val="00BA7019"/>
    <w:rsid w:val="00BA7528"/>
    <w:rsid w:val="00BA7635"/>
    <w:rsid w:val="00BA7C07"/>
    <w:rsid w:val="00BB0D75"/>
    <w:rsid w:val="00BB307E"/>
    <w:rsid w:val="00BB30CD"/>
    <w:rsid w:val="00BB3743"/>
    <w:rsid w:val="00BB431B"/>
    <w:rsid w:val="00BB5D38"/>
    <w:rsid w:val="00BB7128"/>
    <w:rsid w:val="00BB7668"/>
    <w:rsid w:val="00BC16FE"/>
    <w:rsid w:val="00BC5DB3"/>
    <w:rsid w:val="00BC671F"/>
    <w:rsid w:val="00BC76D3"/>
    <w:rsid w:val="00BC7930"/>
    <w:rsid w:val="00BD09D7"/>
    <w:rsid w:val="00BD24AD"/>
    <w:rsid w:val="00BD3EE8"/>
    <w:rsid w:val="00BD7828"/>
    <w:rsid w:val="00BE10CB"/>
    <w:rsid w:val="00BE2589"/>
    <w:rsid w:val="00BE40F5"/>
    <w:rsid w:val="00BE43D9"/>
    <w:rsid w:val="00BE4C36"/>
    <w:rsid w:val="00BE5705"/>
    <w:rsid w:val="00BE5FC4"/>
    <w:rsid w:val="00BE6617"/>
    <w:rsid w:val="00BF3171"/>
    <w:rsid w:val="00BF39EA"/>
    <w:rsid w:val="00BF68EA"/>
    <w:rsid w:val="00C0105B"/>
    <w:rsid w:val="00C02138"/>
    <w:rsid w:val="00C0408D"/>
    <w:rsid w:val="00C042E8"/>
    <w:rsid w:val="00C049AB"/>
    <w:rsid w:val="00C06A08"/>
    <w:rsid w:val="00C07C36"/>
    <w:rsid w:val="00C109D3"/>
    <w:rsid w:val="00C116EE"/>
    <w:rsid w:val="00C11A08"/>
    <w:rsid w:val="00C14914"/>
    <w:rsid w:val="00C17113"/>
    <w:rsid w:val="00C17B8F"/>
    <w:rsid w:val="00C21725"/>
    <w:rsid w:val="00C22AAB"/>
    <w:rsid w:val="00C23903"/>
    <w:rsid w:val="00C255FA"/>
    <w:rsid w:val="00C259AB"/>
    <w:rsid w:val="00C261F9"/>
    <w:rsid w:val="00C26411"/>
    <w:rsid w:val="00C270AA"/>
    <w:rsid w:val="00C27B71"/>
    <w:rsid w:val="00C30287"/>
    <w:rsid w:val="00C3175B"/>
    <w:rsid w:val="00C3784D"/>
    <w:rsid w:val="00C410FF"/>
    <w:rsid w:val="00C41695"/>
    <w:rsid w:val="00C41C31"/>
    <w:rsid w:val="00C422EF"/>
    <w:rsid w:val="00C42E37"/>
    <w:rsid w:val="00C435D4"/>
    <w:rsid w:val="00C448F5"/>
    <w:rsid w:val="00C449E2"/>
    <w:rsid w:val="00C44A67"/>
    <w:rsid w:val="00C47B98"/>
    <w:rsid w:val="00C50C70"/>
    <w:rsid w:val="00C55C92"/>
    <w:rsid w:val="00C56F20"/>
    <w:rsid w:val="00C625F2"/>
    <w:rsid w:val="00C6342D"/>
    <w:rsid w:val="00C64DAA"/>
    <w:rsid w:val="00C72176"/>
    <w:rsid w:val="00C72D80"/>
    <w:rsid w:val="00C75720"/>
    <w:rsid w:val="00C7576F"/>
    <w:rsid w:val="00C77C4A"/>
    <w:rsid w:val="00C80551"/>
    <w:rsid w:val="00C81941"/>
    <w:rsid w:val="00C8235D"/>
    <w:rsid w:val="00C833E2"/>
    <w:rsid w:val="00C8714E"/>
    <w:rsid w:val="00C87FDF"/>
    <w:rsid w:val="00C9298B"/>
    <w:rsid w:val="00C93618"/>
    <w:rsid w:val="00C95020"/>
    <w:rsid w:val="00C96B31"/>
    <w:rsid w:val="00C97620"/>
    <w:rsid w:val="00CA1359"/>
    <w:rsid w:val="00CA1FBA"/>
    <w:rsid w:val="00CA23CE"/>
    <w:rsid w:val="00CA34AB"/>
    <w:rsid w:val="00CA375A"/>
    <w:rsid w:val="00CA4C7D"/>
    <w:rsid w:val="00CB1A96"/>
    <w:rsid w:val="00CB36FE"/>
    <w:rsid w:val="00CB6059"/>
    <w:rsid w:val="00CB6702"/>
    <w:rsid w:val="00CC240D"/>
    <w:rsid w:val="00CC2B2E"/>
    <w:rsid w:val="00CC3491"/>
    <w:rsid w:val="00CC3C3D"/>
    <w:rsid w:val="00CC6331"/>
    <w:rsid w:val="00CC6E9D"/>
    <w:rsid w:val="00CD02E0"/>
    <w:rsid w:val="00CD090B"/>
    <w:rsid w:val="00CD160D"/>
    <w:rsid w:val="00CD1FEE"/>
    <w:rsid w:val="00CD34D3"/>
    <w:rsid w:val="00CD47F3"/>
    <w:rsid w:val="00CD53CE"/>
    <w:rsid w:val="00CD63F3"/>
    <w:rsid w:val="00CE49F7"/>
    <w:rsid w:val="00CE598F"/>
    <w:rsid w:val="00CE5B96"/>
    <w:rsid w:val="00CF0C48"/>
    <w:rsid w:val="00CF1CB0"/>
    <w:rsid w:val="00CF6479"/>
    <w:rsid w:val="00CF6EEF"/>
    <w:rsid w:val="00D007D8"/>
    <w:rsid w:val="00D016C9"/>
    <w:rsid w:val="00D06554"/>
    <w:rsid w:val="00D07A99"/>
    <w:rsid w:val="00D126CA"/>
    <w:rsid w:val="00D1326E"/>
    <w:rsid w:val="00D208DF"/>
    <w:rsid w:val="00D210A4"/>
    <w:rsid w:val="00D21269"/>
    <w:rsid w:val="00D24551"/>
    <w:rsid w:val="00D24906"/>
    <w:rsid w:val="00D26EEE"/>
    <w:rsid w:val="00D279F5"/>
    <w:rsid w:val="00D301F0"/>
    <w:rsid w:val="00D30AC7"/>
    <w:rsid w:val="00D32161"/>
    <w:rsid w:val="00D32370"/>
    <w:rsid w:val="00D33533"/>
    <w:rsid w:val="00D351C0"/>
    <w:rsid w:val="00D35D85"/>
    <w:rsid w:val="00D35F2E"/>
    <w:rsid w:val="00D4157B"/>
    <w:rsid w:val="00D41D2F"/>
    <w:rsid w:val="00D42558"/>
    <w:rsid w:val="00D42F09"/>
    <w:rsid w:val="00D47794"/>
    <w:rsid w:val="00D50AFE"/>
    <w:rsid w:val="00D5295E"/>
    <w:rsid w:val="00D5332D"/>
    <w:rsid w:val="00D53DCB"/>
    <w:rsid w:val="00D54310"/>
    <w:rsid w:val="00D6148E"/>
    <w:rsid w:val="00D64E11"/>
    <w:rsid w:val="00D6627C"/>
    <w:rsid w:val="00D66A24"/>
    <w:rsid w:val="00D70BBF"/>
    <w:rsid w:val="00D7157A"/>
    <w:rsid w:val="00D71885"/>
    <w:rsid w:val="00D72ABA"/>
    <w:rsid w:val="00D74C8E"/>
    <w:rsid w:val="00D76331"/>
    <w:rsid w:val="00D7747A"/>
    <w:rsid w:val="00D80C5A"/>
    <w:rsid w:val="00D83027"/>
    <w:rsid w:val="00D8760A"/>
    <w:rsid w:val="00D906E1"/>
    <w:rsid w:val="00D907BF"/>
    <w:rsid w:val="00D90F51"/>
    <w:rsid w:val="00D91D17"/>
    <w:rsid w:val="00D95D86"/>
    <w:rsid w:val="00DA285A"/>
    <w:rsid w:val="00DA321C"/>
    <w:rsid w:val="00DA35DB"/>
    <w:rsid w:val="00DA3D05"/>
    <w:rsid w:val="00DA4FD5"/>
    <w:rsid w:val="00DA78E8"/>
    <w:rsid w:val="00DB2549"/>
    <w:rsid w:val="00DB344C"/>
    <w:rsid w:val="00DC0819"/>
    <w:rsid w:val="00DC2170"/>
    <w:rsid w:val="00DC237C"/>
    <w:rsid w:val="00DC2541"/>
    <w:rsid w:val="00DC34B7"/>
    <w:rsid w:val="00DC40FC"/>
    <w:rsid w:val="00DC76A8"/>
    <w:rsid w:val="00DD1BBD"/>
    <w:rsid w:val="00DD1C1A"/>
    <w:rsid w:val="00DD27F1"/>
    <w:rsid w:val="00DD36A2"/>
    <w:rsid w:val="00DD513D"/>
    <w:rsid w:val="00DD5148"/>
    <w:rsid w:val="00DD71F2"/>
    <w:rsid w:val="00DE1338"/>
    <w:rsid w:val="00DE3CB9"/>
    <w:rsid w:val="00DE649F"/>
    <w:rsid w:val="00DF0142"/>
    <w:rsid w:val="00DF6262"/>
    <w:rsid w:val="00E0109A"/>
    <w:rsid w:val="00E03D30"/>
    <w:rsid w:val="00E03E21"/>
    <w:rsid w:val="00E04329"/>
    <w:rsid w:val="00E1436E"/>
    <w:rsid w:val="00E15434"/>
    <w:rsid w:val="00E21991"/>
    <w:rsid w:val="00E220A7"/>
    <w:rsid w:val="00E22E4C"/>
    <w:rsid w:val="00E23F14"/>
    <w:rsid w:val="00E24213"/>
    <w:rsid w:val="00E24DDC"/>
    <w:rsid w:val="00E260F2"/>
    <w:rsid w:val="00E27678"/>
    <w:rsid w:val="00E30184"/>
    <w:rsid w:val="00E304D0"/>
    <w:rsid w:val="00E30B58"/>
    <w:rsid w:val="00E36077"/>
    <w:rsid w:val="00E378F8"/>
    <w:rsid w:val="00E37D08"/>
    <w:rsid w:val="00E4026D"/>
    <w:rsid w:val="00E50AE2"/>
    <w:rsid w:val="00E5123B"/>
    <w:rsid w:val="00E51397"/>
    <w:rsid w:val="00E5170D"/>
    <w:rsid w:val="00E52DD7"/>
    <w:rsid w:val="00E542C9"/>
    <w:rsid w:val="00E566FA"/>
    <w:rsid w:val="00E56EFB"/>
    <w:rsid w:val="00E572C3"/>
    <w:rsid w:val="00E65C92"/>
    <w:rsid w:val="00E70924"/>
    <w:rsid w:val="00E7160D"/>
    <w:rsid w:val="00E7238A"/>
    <w:rsid w:val="00E77403"/>
    <w:rsid w:val="00E778BF"/>
    <w:rsid w:val="00E77BC1"/>
    <w:rsid w:val="00E77F20"/>
    <w:rsid w:val="00E83481"/>
    <w:rsid w:val="00E85AB9"/>
    <w:rsid w:val="00E87565"/>
    <w:rsid w:val="00E93564"/>
    <w:rsid w:val="00E95139"/>
    <w:rsid w:val="00E959B5"/>
    <w:rsid w:val="00E966AC"/>
    <w:rsid w:val="00E974B2"/>
    <w:rsid w:val="00EA0076"/>
    <w:rsid w:val="00EA53A6"/>
    <w:rsid w:val="00EA58C5"/>
    <w:rsid w:val="00EB6987"/>
    <w:rsid w:val="00EB7665"/>
    <w:rsid w:val="00EB7763"/>
    <w:rsid w:val="00EB7EFA"/>
    <w:rsid w:val="00EC0CEF"/>
    <w:rsid w:val="00EC1042"/>
    <w:rsid w:val="00EC2455"/>
    <w:rsid w:val="00EC2527"/>
    <w:rsid w:val="00EC3C82"/>
    <w:rsid w:val="00EC4B1D"/>
    <w:rsid w:val="00EC55F4"/>
    <w:rsid w:val="00EC6054"/>
    <w:rsid w:val="00EC74FB"/>
    <w:rsid w:val="00EC7A97"/>
    <w:rsid w:val="00ED05A8"/>
    <w:rsid w:val="00ED06CB"/>
    <w:rsid w:val="00ED2ABC"/>
    <w:rsid w:val="00ED2FE5"/>
    <w:rsid w:val="00ED3846"/>
    <w:rsid w:val="00ED396F"/>
    <w:rsid w:val="00ED621D"/>
    <w:rsid w:val="00ED664E"/>
    <w:rsid w:val="00ED6857"/>
    <w:rsid w:val="00ED6AB9"/>
    <w:rsid w:val="00ED6E1D"/>
    <w:rsid w:val="00EE14E1"/>
    <w:rsid w:val="00EE6FAD"/>
    <w:rsid w:val="00EE71ED"/>
    <w:rsid w:val="00EF0CA7"/>
    <w:rsid w:val="00EF1093"/>
    <w:rsid w:val="00EF51D0"/>
    <w:rsid w:val="00EF5D8C"/>
    <w:rsid w:val="00EF6890"/>
    <w:rsid w:val="00EF74C5"/>
    <w:rsid w:val="00F00B56"/>
    <w:rsid w:val="00F01A60"/>
    <w:rsid w:val="00F02A9B"/>
    <w:rsid w:val="00F02E37"/>
    <w:rsid w:val="00F04133"/>
    <w:rsid w:val="00F04769"/>
    <w:rsid w:val="00F05A89"/>
    <w:rsid w:val="00F06C97"/>
    <w:rsid w:val="00F0759D"/>
    <w:rsid w:val="00F1053C"/>
    <w:rsid w:val="00F11135"/>
    <w:rsid w:val="00F11912"/>
    <w:rsid w:val="00F11CAA"/>
    <w:rsid w:val="00F128BD"/>
    <w:rsid w:val="00F13BBE"/>
    <w:rsid w:val="00F14974"/>
    <w:rsid w:val="00F16E7A"/>
    <w:rsid w:val="00F230F2"/>
    <w:rsid w:val="00F26D43"/>
    <w:rsid w:val="00F32B85"/>
    <w:rsid w:val="00F33128"/>
    <w:rsid w:val="00F37BF5"/>
    <w:rsid w:val="00F416E2"/>
    <w:rsid w:val="00F41B16"/>
    <w:rsid w:val="00F41CF2"/>
    <w:rsid w:val="00F421BC"/>
    <w:rsid w:val="00F42BBE"/>
    <w:rsid w:val="00F431BF"/>
    <w:rsid w:val="00F43785"/>
    <w:rsid w:val="00F44CDB"/>
    <w:rsid w:val="00F47099"/>
    <w:rsid w:val="00F5697D"/>
    <w:rsid w:val="00F56E90"/>
    <w:rsid w:val="00F60D6A"/>
    <w:rsid w:val="00F616C6"/>
    <w:rsid w:val="00F64802"/>
    <w:rsid w:val="00F655E2"/>
    <w:rsid w:val="00F66741"/>
    <w:rsid w:val="00F67545"/>
    <w:rsid w:val="00F6794B"/>
    <w:rsid w:val="00F71C51"/>
    <w:rsid w:val="00F71FA2"/>
    <w:rsid w:val="00F7285B"/>
    <w:rsid w:val="00F72FB5"/>
    <w:rsid w:val="00F73DC0"/>
    <w:rsid w:val="00F747FE"/>
    <w:rsid w:val="00F7480F"/>
    <w:rsid w:val="00F8181E"/>
    <w:rsid w:val="00F84F26"/>
    <w:rsid w:val="00F91D96"/>
    <w:rsid w:val="00F91F3C"/>
    <w:rsid w:val="00F9617D"/>
    <w:rsid w:val="00FA2056"/>
    <w:rsid w:val="00FA2271"/>
    <w:rsid w:val="00FA64FE"/>
    <w:rsid w:val="00FB07D1"/>
    <w:rsid w:val="00FB7E33"/>
    <w:rsid w:val="00FC06AA"/>
    <w:rsid w:val="00FC4001"/>
    <w:rsid w:val="00FC6232"/>
    <w:rsid w:val="00FC6E62"/>
    <w:rsid w:val="00FD1DB3"/>
    <w:rsid w:val="00FD2202"/>
    <w:rsid w:val="00FD488E"/>
    <w:rsid w:val="00FD5CD7"/>
    <w:rsid w:val="00FE362C"/>
    <w:rsid w:val="00FE4934"/>
    <w:rsid w:val="00FE5127"/>
    <w:rsid w:val="00FE72E5"/>
    <w:rsid w:val="00FE78AB"/>
    <w:rsid w:val="00FF01A1"/>
    <w:rsid w:val="00FF1F6C"/>
    <w:rsid w:val="00FF65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4E32893F"/>
  <w15:docId w15:val="{1EE80068-50E7-42D8-8FEE-6ABD1BAE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A"/>
      <w:sz w:val="24"/>
      <w:szCs w:val="24"/>
      <w:lang w:eastAsia="en-US"/>
    </w:rPr>
  </w:style>
  <w:style w:type="paragraph" w:styleId="Heading1">
    <w:name w:val="heading 1"/>
    <w:basedOn w:val="Normal"/>
    <w:qFormat/>
    <w:pPr>
      <w:keepNext/>
      <w:spacing w:before="240" w:after="120" w:line="360" w:lineRule="auto"/>
      <w:outlineLvl w:val="0"/>
    </w:pPr>
    <w:rPr>
      <w:rFonts w:ascii="Arial" w:hAnsi="Arial" w:cs="Arial"/>
      <w:b/>
      <w:bCs/>
      <w:sz w:val="32"/>
      <w:szCs w:val="32"/>
      <w:lang w:val="en-US"/>
    </w:rPr>
  </w:style>
  <w:style w:type="paragraph" w:styleId="Heading2">
    <w:name w:val="heading 2"/>
    <w:basedOn w:val="Normal"/>
    <w:qFormat/>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qFormat/>
    <w:pPr>
      <w:keepNext/>
      <w:spacing w:before="240" w:after="60" w:line="360" w:lineRule="auto"/>
      <w:outlineLvl w:val="2"/>
    </w:pPr>
    <w:rPr>
      <w:rFonts w:ascii="Arial" w:hAnsi="Arial" w:cs="Arial"/>
      <w:b/>
      <w:bCs/>
    </w:rPr>
  </w:style>
  <w:style w:type="paragraph" w:styleId="Heading4">
    <w:name w:val="heading 4"/>
    <w:basedOn w:val="Normal"/>
    <w:qFormat/>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CEnormalChar">
    <w:name w:val="NICE normal Char"/>
    <w:qFormat/>
    <w:rPr>
      <w:rFonts w:ascii="Arial" w:hAnsi="Arial"/>
      <w:sz w:val="24"/>
      <w:szCs w:val="24"/>
      <w:lang w:val="en-GB" w:eastAsia="en-US" w:bidi="ar-SA"/>
    </w:rPr>
  </w:style>
  <w:style w:type="character" w:customStyle="1" w:styleId="Heading1Char">
    <w:name w:val="Heading 1 Char"/>
    <w:qFormat/>
    <w:rPr>
      <w:rFonts w:ascii="Arial" w:hAnsi="Arial" w:cs="Arial"/>
      <w:b/>
      <w:bCs/>
      <w:sz w:val="32"/>
      <w:szCs w:val="32"/>
      <w:lang w:val="en-US" w:eastAsia="en-US" w:bidi="ar-SA"/>
    </w:rPr>
  </w:style>
  <w:style w:type="character" w:customStyle="1" w:styleId="Heading2Char">
    <w:name w:val="Heading 2 Char"/>
    <w:qFormat/>
    <w:rPr>
      <w:rFonts w:ascii="Arial" w:hAnsi="Arial" w:cs="Arial"/>
      <w:b/>
      <w:bCs/>
      <w:i/>
      <w:iCs/>
      <w:sz w:val="28"/>
      <w:szCs w:val="28"/>
      <w:lang w:val="en-GB" w:eastAsia="en-US" w:bidi="ar-SA"/>
    </w:rPr>
  </w:style>
  <w:style w:type="character" w:customStyle="1" w:styleId="Numberedheading1CharChar">
    <w:name w:val="Numbered heading 1 Char Char"/>
    <w:qFormat/>
    <w:rPr>
      <w:rFonts w:ascii="Arial" w:hAnsi="Arial" w:cs="Arial"/>
      <w:b/>
      <w:bCs/>
      <w:sz w:val="32"/>
      <w:szCs w:val="24"/>
      <w:lang w:val="en-US" w:eastAsia="en-US" w:bidi="ar-SA"/>
    </w:rPr>
  </w:style>
  <w:style w:type="character" w:customStyle="1" w:styleId="Bulletindent1Char">
    <w:name w:val="Bullet indent 1 Char"/>
    <w:qFormat/>
    <w:rPr>
      <w:rFonts w:ascii="Arial" w:hAnsi="Arial"/>
      <w:sz w:val="24"/>
      <w:szCs w:val="24"/>
      <w:lang w:eastAsia="en-US"/>
    </w:rPr>
  </w:style>
  <w:style w:type="character" w:customStyle="1" w:styleId="Numberedlevel2textChar">
    <w:name w:val="Numbered level 2 text Char"/>
    <w:qFormat/>
    <w:rPr>
      <w:rFonts w:ascii="Arial" w:hAnsi="Arial" w:cs="Arial"/>
      <w:bCs/>
      <w:iCs/>
      <w:sz w:val="24"/>
      <w:szCs w:val="28"/>
      <w:lang w:eastAsia="en-US"/>
    </w:rPr>
  </w:style>
  <w:style w:type="character" w:styleId="PageNumber">
    <w:name w:val="page number"/>
    <w:qFormat/>
    <w:rPr>
      <w:rFonts w:ascii="Arial" w:hAnsi="Arial"/>
      <w:sz w:val="24"/>
    </w:rPr>
  </w:style>
  <w:style w:type="character" w:customStyle="1" w:styleId="CommentTextChar">
    <w:name w:val="Comment Text Char"/>
    <w:qFormat/>
    <w:rPr>
      <w:lang w:eastAsia="en-US"/>
    </w:rPr>
  </w:style>
  <w:style w:type="character" w:customStyle="1" w:styleId="InternetLink">
    <w:name w:val="Internet Link"/>
    <w:basedOn w:val="DefaultParagraphFont"/>
    <w:rPr>
      <w:color w:val="0563C1"/>
      <w:u w:val="single"/>
    </w:rPr>
  </w:style>
  <w:style w:type="character" w:styleId="CommentReference">
    <w:name w:val="annotation reference"/>
    <w:qFormat/>
    <w:rPr>
      <w:sz w:val="16"/>
      <w:szCs w:val="16"/>
    </w:rPr>
  </w:style>
  <w:style w:type="character" w:styleId="FollowedHyperlink">
    <w:name w:val="FollowedHyperlink"/>
    <w:qFormat/>
    <w:rPr>
      <w:color w:val="800080"/>
      <w:u w:val="single"/>
    </w:rPr>
  </w:style>
  <w:style w:type="character" w:customStyle="1" w:styleId="Bulletleft1lastChar">
    <w:name w:val="Bullet left 1 last Char"/>
    <w:qFormat/>
    <w:rPr>
      <w:rFonts w:ascii="Arial" w:hAnsi="Arial" w:cs="Arial"/>
      <w:sz w:val="24"/>
      <w:szCs w:val="24"/>
      <w:lang w:eastAsia="en-US"/>
    </w:rPr>
  </w:style>
  <w:style w:type="character" w:customStyle="1" w:styleId="FootnoteTextChar">
    <w:name w:val="Footnote Text Char"/>
    <w:qFormat/>
    <w:rPr>
      <w:lang w:eastAsia="en-US"/>
    </w:rPr>
  </w:style>
  <w:style w:type="character" w:styleId="FootnoteReference">
    <w:name w:val="footnote reference"/>
    <w:qFormat/>
    <w:rPr>
      <w:vertAlign w:val="superscript"/>
    </w:rPr>
  </w:style>
  <w:style w:type="character" w:customStyle="1" w:styleId="TabletextChar">
    <w:name w:val="Table text Char"/>
    <w:qFormat/>
    <w:rPr>
      <w:rFonts w:ascii="Arial" w:hAnsi="Arial"/>
      <w:sz w:val="22"/>
      <w:szCs w:val="24"/>
      <w:lang w:eastAsia="en-US"/>
    </w:rPr>
  </w:style>
  <w:style w:type="character" w:customStyle="1" w:styleId="ListLabel1">
    <w:name w:val="ListLabel 1"/>
    <w:qFormat/>
    <w:rPr>
      <w:b/>
    </w:rPr>
  </w:style>
  <w:style w:type="character" w:customStyle="1" w:styleId="ListLabel2">
    <w:name w:val="ListLabel 2"/>
    <w:qFormat/>
    <w:rPr>
      <w:color w:val="00000A"/>
    </w:rPr>
  </w:style>
  <w:style w:type="character" w:customStyle="1" w:styleId="ListLabel3">
    <w:name w:val="ListLabel 3"/>
    <w:qFormat/>
    <w:rPr>
      <w:sz w:val="24"/>
      <w:szCs w:val="24"/>
    </w:rPr>
  </w:style>
  <w:style w:type="character" w:customStyle="1" w:styleId="ListLabel4">
    <w:name w:val="ListLabel 4"/>
    <w:qFormat/>
    <w:rPr>
      <w:rFonts w:cs="Courier New"/>
    </w:rPr>
  </w:style>
  <w:style w:type="character" w:customStyle="1" w:styleId="ListLabel5">
    <w:name w:val="ListLabel 5"/>
    <w:qFormat/>
    <w:rPr>
      <w:color w:val="00000A"/>
      <w:sz w:val="24"/>
      <w:szCs w:val="24"/>
    </w:rPr>
  </w:style>
  <w:style w:type="character" w:customStyle="1" w:styleId="ListLabel6">
    <w:name w:val="ListLabel 6"/>
    <w:qFormat/>
    <w:rPr>
      <w:b w:val="0"/>
      <w:i w:val="0"/>
      <w:sz w:val="22"/>
      <w:szCs w:val="22"/>
    </w:rPr>
  </w:style>
  <w:style w:type="character" w:customStyle="1" w:styleId="ListLabel7">
    <w:name w:val="ListLabel 7"/>
    <w:qFormat/>
    <w:rPr>
      <w:sz w:val="22"/>
      <w:szCs w:val="22"/>
    </w:rPr>
  </w:style>
  <w:style w:type="character" w:customStyle="1" w:styleId="ListLabel8">
    <w:name w:val="ListLabel 8"/>
    <w:qFormat/>
    <w:rPr>
      <w:b w:val="0"/>
      <w:i w:val="0"/>
      <w:sz w:val="20"/>
      <w:szCs w:val="20"/>
    </w:rPr>
  </w:style>
  <w:style w:type="character" w:customStyle="1" w:styleId="ListLabel9">
    <w:name w:val="ListLabel 9"/>
    <w:qFormat/>
    <w:rPr>
      <w:rFonts w:eastAsia="Times New Roman" w:cs="Arial"/>
    </w:rPr>
  </w:style>
  <w:style w:type="character" w:customStyle="1" w:styleId="ListLabel10">
    <w:name w:val="ListLabel 10"/>
    <w:qFormat/>
    <w:rPr>
      <w:rFonts w:eastAsia="Times New Roman" w:cs="Times New Roman"/>
    </w:rPr>
  </w:style>
  <w:style w:type="character" w:customStyle="1" w:styleId="Bullets">
    <w:name w:val="Bullets"/>
    <w:qFormat/>
    <w:rPr>
      <w:rFonts w:ascii="OpenSymbol" w:eastAsia="OpenSymbol" w:hAnsi="OpenSymbol" w:cs="OpenSymbol"/>
    </w:rPr>
  </w:style>
  <w:style w:type="character" w:customStyle="1" w:styleId="ListLabel11">
    <w:name w:val="ListLabel 11"/>
    <w:qFormat/>
    <w:rPr>
      <w:b/>
    </w:rPr>
  </w:style>
  <w:style w:type="character" w:customStyle="1" w:styleId="ListLabel12">
    <w:name w:val="ListLabel 12"/>
    <w:qFormat/>
    <w:rPr>
      <w:rFonts w:cs="Symbol"/>
      <w:color w:val="00000A"/>
    </w:rPr>
  </w:style>
  <w:style w:type="character" w:customStyle="1" w:styleId="ListLabel13">
    <w:name w:val="ListLabel 13"/>
    <w:qFormat/>
    <w:rPr>
      <w:rFonts w:cs="Symbol"/>
    </w:rPr>
  </w:style>
  <w:style w:type="character" w:customStyle="1" w:styleId="ListLabel14">
    <w:name w:val="ListLabel 14"/>
    <w:qFormat/>
    <w:rPr>
      <w:rFonts w:cs="Symbol"/>
      <w:sz w:val="24"/>
      <w:szCs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color w:val="00000A"/>
      <w:sz w:val="24"/>
      <w:szCs w:val="24"/>
    </w:rPr>
  </w:style>
  <w:style w:type="character" w:styleId="Emphasis">
    <w:name w:val="Emphasis"/>
    <w:qFormat/>
    <w:rPr>
      <w:i/>
      <w:iCs/>
    </w:rPr>
  </w:style>
  <w:style w:type="character" w:customStyle="1" w:styleId="ListLabel18">
    <w:name w:val="ListLabel 18"/>
    <w:qFormat/>
    <w:rPr>
      <w:b/>
    </w:rPr>
  </w:style>
  <w:style w:type="character" w:customStyle="1" w:styleId="ListLabel19">
    <w:name w:val="ListLabel 19"/>
    <w:qFormat/>
    <w:rPr>
      <w:rFonts w:cs="Symbol"/>
      <w:color w:val="00000A"/>
    </w:rPr>
  </w:style>
  <w:style w:type="character" w:customStyle="1" w:styleId="ListLabel20">
    <w:name w:val="ListLabel 20"/>
    <w:qFormat/>
    <w:rPr>
      <w:rFonts w:cs="Symbol"/>
    </w:rPr>
  </w:style>
  <w:style w:type="character" w:customStyle="1" w:styleId="ListLabel21">
    <w:name w:val="ListLabel 21"/>
    <w:qFormat/>
    <w:rPr>
      <w:rFonts w:cs="Symbol"/>
      <w:sz w:val="24"/>
      <w:szCs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color w:val="00000A"/>
      <w:sz w:val="24"/>
      <w:szCs w:val="24"/>
    </w:rPr>
  </w:style>
  <w:style w:type="character" w:customStyle="1" w:styleId="ListLabel25">
    <w:name w:val="ListLabel 25"/>
    <w:qFormat/>
    <w:rPr>
      <w:b/>
    </w:rPr>
  </w:style>
  <w:style w:type="character" w:customStyle="1" w:styleId="ListLabel26">
    <w:name w:val="ListLabel 26"/>
    <w:qFormat/>
    <w:rPr>
      <w:rFonts w:cs="Symbol"/>
      <w:color w:val="00000A"/>
    </w:rPr>
  </w:style>
  <w:style w:type="character" w:customStyle="1" w:styleId="ListLabel27">
    <w:name w:val="ListLabel 27"/>
    <w:qFormat/>
    <w:rPr>
      <w:rFonts w:cs="Symbol"/>
    </w:rPr>
  </w:style>
  <w:style w:type="character" w:customStyle="1" w:styleId="ListLabel28">
    <w:name w:val="ListLabel 28"/>
    <w:qFormat/>
    <w:rPr>
      <w:rFonts w:cs="Symbol"/>
      <w:sz w:val="24"/>
      <w:szCs w:val="24"/>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color w:val="00000A"/>
      <w:sz w:val="24"/>
      <w:szCs w:val="24"/>
    </w:rPr>
  </w:style>
  <w:style w:type="character" w:customStyle="1" w:styleId="ListLabel32">
    <w:name w:val="ListLabel 32"/>
    <w:qFormat/>
    <w:rPr>
      <w:b/>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NICEnormal">
    <w:name w:val="NICE normal"/>
    <w:qFormat/>
    <w:pPr>
      <w:spacing w:after="240" w:line="360" w:lineRule="auto"/>
    </w:pPr>
    <w:rPr>
      <w:rFonts w:ascii="Arial" w:hAnsi="Arial"/>
      <w:color w:val="00000A"/>
      <w:sz w:val="24"/>
      <w:szCs w:val="24"/>
      <w:lang w:eastAsia="en-US"/>
    </w:rPr>
  </w:style>
  <w:style w:type="paragraph" w:customStyle="1" w:styleId="NICEnormalsinglespacing">
    <w:name w:val="NICE normal single spacing"/>
    <w:basedOn w:val="NICEnormal"/>
    <w:qFormat/>
    <w:pPr>
      <w:spacing w:line="240" w:lineRule="auto"/>
    </w:pPr>
  </w:style>
  <w:style w:type="paragraph" w:customStyle="1" w:styleId="Title2">
    <w:name w:val="Title 2"/>
    <w:basedOn w:val="Normal"/>
    <w:qFormat/>
    <w:pPr>
      <w:keepNext/>
      <w:spacing w:before="240" w:after="240"/>
      <w:jc w:val="center"/>
      <w:outlineLvl w:val="0"/>
    </w:pPr>
    <w:rPr>
      <w:rFonts w:ascii="Arial" w:hAnsi="Arial" w:cs="Arial"/>
      <w:b/>
      <w:bCs/>
      <w:sz w:val="32"/>
      <w:szCs w:val="32"/>
    </w:rPr>
  </w:style>
  <w:style w:type="paragraph" w:customStyle="1" w:styleId="Numberedheading1">
    <w:name w:val="Numbered heading 1"/>
    <w:basedOn w:val="Heading1"/>
    <w:qFormat/>
    <w:rPr>
      <w:szCs w:val="24"/>
    </w:rPr>
  </w:style>
  <w:style w:type="paragraph" w:customStyle="1" w:styleId="Bulletindent2">
    <w:name w:val="Bullet indent 2"/>
    <w:basedOn w:val="NICEnormal"/>
    <w:qFormat/>
    <w:pPr>
      <w:spacing w:after="0"/>
      <w:ind w:left="1702" w:hanging="284"/>
    </w:pPr>
  </w:style>
  <w:style w:type="paragraph" w:customStyle="1" w:styleId="Bulletleft1">
    <w:name w:val="Bullet left 1"/>
    <w:basedOn w:val="NICEnormal"/>
    <w:qFormat/>
    <w:pPr>
      <w:spacing w:after="0"/>
    </w:pPr>
  </w:style>
  <w:style w:type="paragraph" w:customStyle="1" w:styleId="Bulletleft2">
    <w:name w:val="Bullet left 2"/>
    <w:basedOn w:val="NICEnormal"/>
    <w:qFormat/>
    <w:pPr>
      <w:spacing w:after="0"/>
      <w:ind w:left="568" w:hanging="284"/>
    </w:pPr>
  </w:style>
  <w:style w:type="paragraph" w:customStyle="1" w:styleId="Bulletleft3">
    <w:name w:val="Bullet left 3"/>
    <w:basedOn w:val="NICEnormal"/>
    <w:qFormat/>
    <w:pPr>
      <w:spacing w:after="0"/>
    </w:pPr>
  </w:style>
  <w:style w:type="paragraph" w:customStyle="1" w:styleId="Bulletindent1">
    <w:name w:val="Bullet indent 1"/>
    <w:basedOn w:val="NICEnormal"/>
    <w:qFormat/>
    <w:pPr>
      <w:tabs>
        <w:tab w:val="left" w:pos="1418"/>
      </w:tabs>
      <w:spacing w:after="0"/>
      <w:ind w:left="1418"/>
    </w:pPr>
    <w:rPr>
      <w:lang w:val="x-none"/>
    </w:rPr>
  </w:style>
  <w:style w:type="paragraph" w:customStyle="1" w:styleId="Bulletindent3">
    <w:name w:val="Bullet indent 3"/>
    <w:basedOn w:val="NICEnormal"/>
    <w:qFormat/>
    <w:pPr>
      <w:spacing w:after="0"/>
    </w:pPr>
  </w:style>
  <w:style w:type="paragraph" w:customStyle="1" w:styleId="Numberedlevel2text">
    <w:name w:val="Numbered level 2 text"/>
    <w:basedOn w:val="Normal"/>
    <w:qFormat/>
    <w:pPr>
      <w:spacing w:after="240" w:line="360" w:lineRule="auto"/>
    </w:pPr>
    <w:rPr>
      <w:rFonts w:ascii="Arial" w:hAnsi="Arial"/>
      <w:bCs/>
      <w:iCs/>
      <w:szCs w:val="28"/>
      <w:lang w:val="x-none"/>
    </w:rPr>
  </w:style>
  <w:style w:type="paragraph" w:customStyle="1" w:styleId="Bulletleft1last">
    <w:name w:val="Bullet left 1 last"/>
    <w:basedOn w:val="NICEnormal"/>
    <w:qFormat/>
    <w:rPr>
      <w:rFonts w:cs="Arial"/>
    </w:rPr>
  </w:style>
  <w:style w:type="paragraph" w:styleId="Header">
    <w:name w:val="header"/>
    <w:basedOn w:val="NICEnormalsinglespacing"/>
    <w:pPr>
      <w:tabs>
        <w:tab w:val="center" w:pos="4153"/>
        <w:tab w:val="right" w:pos="8306"/>
      </w:tabs>
    </w:pPr>
  </w:style>
  <w:style w:type="paragraph" w:styleId="Footer">
    <w:name w:val="footer"/>
    <w:basedOn w:val="NICEnormalsinglespacing"/>
    <w:pPr>
      <w:tabs>
        <w:tab w:val="center" w:pos="4153"/>
        <w:tab w:val="right" w:pos="8306"/>
      </w:tabs>
      <w:spacing w:before="240" w:after="0"/>
    </w:pPr>
  </w:style>
  <w:style w:type="paragraph" w:customStyle="1" w:styleId="Bulletindent1last">
    <w:name w:val="Bullet indent 1 last"/>
    <w:basedOn w:val="NICEnormal"/>
    <w:qFormat/>
  </w:style>
  <w:style w:type="paragraph" w:customStyle="1" w:styleId="NICEnormalindented">
    <w:name w:val="NICE normal indented"/>
    <w:basedOn w:val="NICEnormal"/>
    <w:qFormat/>
    <w:pPr>
      <w:tabs>
        <w:tab w:val="left" w:pos="1134"/>
      </w:tabs>
      <w:ind w:left="1134"/>
    </w:pPr>
  </w:style>
  <w:style w:type="paragraph" w:customStyle="1" w:styleId="Tabletext">
    <w:name w:val="Table text"/>
    <w:basedOn w:val="NICEnormalsinglespacing"/>
    <w:qFormat/>
    <w:pPr>
      <w:keepNext/>
      <w:spacing w:after="60"/>
    </w:pPr>
    <w:rPr>
      <w:sz w:val="22"/>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customStyle="1" w:styleId="Title1">
    <w:name w:val="Title 1"/>
    <w:basedOn w:val="Normal"/>
    <w:qFormat/>
    <w:pPr>
      <w:keepNext/>
      <w:spacing w:before="240" w:after="240"/>
      <w:jc w:val="center"/>
      <w:outlineLvl w:val="0"/>
    </w:pPr>
    <w:rPr>
      <w:rFonts w:ascii="Arial" w:hAnsi="Arial" w:cs="Arial"/>
      <w:b/>
      <w:bCs/>
      <w:sz w:val="40"/>
      <w:szCs w:val="32"/>
    </w:rPr>
  </w:style>
  <w:style w:type="paragraph" w:customStyle="1" w:styleId="Guidanceissuedate">
    <w:name w:val="Guidance issue date"/>
    <w:basedOn w:val="NICEnormal"/>
    <w:qFormat/>
    <w:rPr>
      <w:lang w:val="en-US"/>
    </w:rPr>
  </w:style>
  <w:style w:type="paragraph" w:customStyle="1" w:styleId="Documentissuedate">
    <w:name w:val="Document issue date"/>
    <w:basedOn w:val="NICEnormal"/>
    <w:qFormat/>
    <w:rPr>
      <w:lang w:val="en-US"/>
    </w:rPr>
  </w:style>
  <w:style w:type="paragraph" w:styleId="ListParagraph">
    <w:name w:val="List Paragraph"/>
    <w:basedOn w:val="Normal"/>
    <w:qFormat/>
    <w:pPr>
      <w:ind w:left="720"/>
      <w:contextualSpacing/>
    </w:pPr>
    <w:rPr>
      <w:lang w:eastAsia="en-GB"/>
    </w:rPr>
  </w:style>
  <w:style w:type="paragraph" w:styleId="FootnoteText">
    <w:name w:val="footnote text"/>
    <w:basedOn w:val="Normal"/>
    <w:qFormat/>
    <w:rPr>
      <w:sz w:val="20"/>
      <w:szCs w:val="20"/>
    </w:rPr>
  </w:style>
  <w:style w:type="paragraph" w:styleId="Revision">
    <w:name w:val="Revision"/>
    <w:qFormat/>
    <w:rPr>
      <w:color w:val="00000A"/>
      <w:sz w:val="24"/>
      <w:szCs w:val="24"/>
      <w:lang w:eastAsia="en-US"/>
    </w:rPr>
  </w:style>
  <w:style w:type="paragraph" w:customStyle="1" w:styleId="Paragraphnonumbers">
    <w:name w:val="Paragraph no numbers"/>
    <w:basedOn w:val="Normal"/>
    <w:qFormat/>
    <w:pPr>
      <w:spacing w:after="240" w:line="276" w:lineRule="auto"/>
    </w:pPr>
    <w:rPr>
      <w:rFonts w:ascii="Arial" w:hAnsi="Arial"/>
      <w:lang w:eastAsia="en-GB"/>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Hyperlink">
    <w:name w:val="Hyperlink"/>
    <w:rsid w:val="00056ABF"/>
    <w:rPr>
      <w:color w:val="0000FF"/>
      <w:u w:val="single"/>
    </w:rPr>
  </w:style>
  <w:style w:type="paragraph" w:customStyle="1" w:styleId="Default">
    <w:name w:val="Default"/>
    <w:rsid w:val="00F6794B"/>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1313E6"/>
    <w:rPr>
      <w:color w:val="605E5C"/>
      <w:shd w:val="clear" w:color="auto" w:fill="E1DFDD"/>
    </w:rPr>
  </w:style>
  <w:style w:type="character" w:styleId="UnresolvedMention">
    <w:name w:val="Unresolved Mention"/>
    <w:basedOn w:val="DefaultParagraphFont"/>
    <w:uiPriority w:val="99"/>
    <w:semiHidden/>
    <w:unhideWhenUsed/>
    <w:rsid w:val="00DD36A2"/>
    <w:rPr>
      <w:color w:val="605E5C"/>
      <w:shd w:val="clear" w:color="auto" w:fill="E1DFDD"/>
    </w:rPr>
  </w:style>
  <w:style w:type="paragraph" w:styleId="NormalWeb">
    <w:name w:val="Normal (Web)"/>
    <w:basedOn w:val="Normal"/>
    <w:uiPriority w:val="99"/>
    <w:semiHidden/>
    <w:unhideWhenUsed/>
    <w:rsid w:val="009C4A1E"/>
    <w:pPr>
      <w:spacing w:after="180"/>
    </w:pPr>
    <w:rPr>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133042">
      <w:bodyDiv w:val="1"/>
      <w:marLeft w:val="0"/>
      <w:marRight w:val="0"/>
      <w:marTop w:val="0"/>
      <w:marBottom w:val="0"/>
      <w:divBdr>
        <w:top w:val="none" w:sz="0" w:space="0" w:color="auto"/>
        <w:left w:val="none" w:sz="0" w:space="0" w:color="auto"/>
        <w:bottom w:val="none" w:sz="0" w:space="0" w:color="auto"/>
        <w:right w:val="none" w:sz="0" w:space="0" w:color="auto"/>
      </w:divBdr>
    </w:div>
    <w:div w:id="1875536603">
      <w:bodyDiv w:val="1"/>
      <w:marLeft w:val="0"/>
      <w:marRight w:val="0"/>
      <w:marTop w:val="0"/>
      <w:marBottom w:val="0"/>
      <w:divBdr>
        <w:top w:val="none" w:sz="0" w:space="0" w:color="auto"/>
        <w:left w:val="none" w:sz="0" w:space="0" w:color="auto"/>
        <w:bottom w:val="none" w:sz="0" w:space="0" w:color="auto"/>
        <w:right w:val="none" w:sz="0" w:space="0" w:color="auto"/>
      </w:divBdr>
      <w:divsChild>
        <w:div w:id="985937620">
          <w:marLeft w:val="0"/>
          <w:marRight w:val="0"/>
          <w:marTop w:val="0"/>
          <w:marBottom w:val="0"/>
          <w:divBdr>
            <w:top w:val="none" w:sz="0" w:space="0" w:color="auto"/>
            <w:left w:val="none" w:sz="0" w:space="0" w:color="auto"/>
            <w:bottom w:val="none" w:sz="0" w:space="0" w:color="auto"/>
            <w:right w:val="none" w:sz="0" w:space="0" w:color="auto"/>
          </w:divBdr>
          <w:divsChild>
            <w:div w:id="24718134">
              <w:marLeft w:val="0"/>
              <w:marRight w:val="0"/>
              <w:marTop w:val="0"/>
              <w:marBottom w:val="0"/>
              <w:divBdr>
                <w:top w:val="none" w:sz="0" w:space="0" w:color="auto"/>
                <w:left w:val="none" w:sz="0" w:space="0" w:color="auto"/>
                <w:bottom w:val="none" w:sz="0" w:space="0" w:color="auto"/>
                <w:right w:val="none" w:sz="0" w:space="0" w:color="auto"/>
              </w:divBdr>
              <w:divsChild>
                <w:div w:id="1751193862">
                  <w:marLeft w:val="0"/>
                  <w:marRight w:val="0"/>
                  <w:marTop w:val="0"/>
                  <w:marBottom w:val="0"/>
                  <w:divBdr>
                    <w:top w:val="none" w:sz="0" w:space="0" w:color="auto"/>
                    <w:left w:val="none" w:sz="0" w:space="0" w:color="auto"/>
                    <w:bottom w:val="none" w:sz="0" w:space="0" w:color="auto"/>
                    <w:right w:val="none" w:sz="0" w:space="0" w:color="auto"/>
                  </w:divBdr>
                  <w:divsChild>
                    <w:div w:id="1489203210">
                      <w:marLeft w:val="0"/>
                      <w:marRight w:val="0"/>
                      <w:marTop w:val="0"/>
                      <w:marBottom w:val="0"/>
                      <w:divBdr>
                        <w:top w:val="none" w:sz="0" w:space="0" w:color="auto"/>
                        <w:left w:val="none" w:sz="0" w:space="0" w:color="auto"/>
                        <w:bottom w:val="none" w:sz="0" w:space="0" w:color="auto"/>
                        <w:right w:val="none" w:sz="0" w:space="0" w:color="auto"/>
                      </w:divBdr>
                      <w:divsChild>
                        <w:div w:id="396050012">
                          <w:marLeft w:val="0"/>
                          <w:marRight w:val="0"/>
                          <w:marTop w:val="0"/>
                          <w:marBottom w:val="0"/>
                          <w:divBdr>
                            <w:top w:val="none" w:sz="0" w:space="0" w:color="auto"/>
                            <w:left w:val="none" w:sz="0" w:space="0" w:color="auto"/>
                            <w:bottom w:val="none" w:sz="0" w:space="0" w:color="auto"/>
                            <w:right w:val="none" w:sz="0" w:space="0" w:color="auto"/>
                          </w:divBdr>
                          <w:divsChild>
                            <w:div w:id="1322663901">
                              <w:marLeft w:val="0"/>
                              <w:marRight w:val="0"/>
                              <w:marTop w:val="0"/>
                              <w:marBottom w:val="0"/>
                              <w:divBdr>
                                <w:top w:val="none" w:sz="0" w:space="0" w:color="auto"/>
                                <w:left w:val="none" w:sz="0" w:space="0" w:color="auto"/>
                                <w:bottom w:val="none" w:sz="0" w:space="0" w:color="auto"/>
                                <w:right w:val="none" w:sz="0" w:space="0" w:color="auto"/>
                              </w:divBdr>
                              <w:divsChild>
                                <w:div w:id="174197653">
                                  <w:marLeft w:val="360"/>
                                  <w:marRight w:val="360"/>
                                  <w:marTop w:val="0"/>
                                  <w:marBottom w:val="0"/>
                                  <w:divBdr>
                                    <w:top w:val="none" w:sz="0" w:space="0" w:color="auto"/>
                                    <w:left w:val="none" w:sz="0" w:space="0" w:color="auto"/>
                                    <w:bottom w:val="none" w:sz="0" w:space="0" w:color="auto"/>
                                    <w:right w:val="none" w:sz="0" w:space="0" w:color="auto"/>
                                  </w:divBdr>
                                  <w:divsChild>
                                    <w:div w:id="139882727">
                                      <w:marLeft w:val="0"/>
                                      <w:marRight w:val="0"/>
                                      <w:marTop w:val="0"/>
                                      <w:marBottom w:val="0"/>
                                      <w:divBdr>
                                        <w:top w:val="none" w:sz="0" w:space="0" w:color="auto"/>
                                        <w:left w:val="none" w:sz="0" w:space="0" w:color="auto"/>
                                        <w:bottom w:val="none" w:sz="0" w:space="0" w:color="auto"/>
                                        <w:right w:val="none" w:sz="0" w:space="0" w:color="auto"/>
                                      </w:divBdr>
                                      <w:divsChild>
                                        <w:div w:id="1258712572">
                                          <w:marLeft w:val="0"/>
                                          <w:marRight w:val="0"/>
                                          <w:marTop w:val="0"/>
                                          <w:marBottom w:val="300"/>
                                          <w:divBdr>
                                            <w:top w:val="none" w:sz="0" w:space="0" w:color="auto"/>
                                            <w:left w:val="none" w:sz="0" w:space="0" w:color="auto"/>
                                            <w:bottom w:val="none" w:sz="0" w:space="0" w:color="auto"/>
                                            <w:right w:val="none" w:sz="0" w:space="0" w:color="auto"/>
                                          </w:divBdr>
                                          <w:divsChild>
                                            <w:div w:id="1038891758">
                                              <w:marLeft w:val="0"/>
                                              <w:marRight w:val="0"/>
                                              <w:marTop w:val="0"/>
                                              <w:marBottom w:val="0"/>
                                              <w:divBdr>
                                                <w:top w:val="none" w:sz="0" w:space="0" w:color="auto"/>
                                                <w:left w:val="none" w:sz="0" w:space="0" w:color="auto"/>
                                                <w:bottom w:val="none" w:sz="0" w:space="0" w:color="auto"/>
                                                <w:right w:val="none" w:sz="0" w:space="0" w:color="auto"/>
                                              </w:divBdr>
                                              <w:divsChild>
                                                <w:div w:id="1225145053">
                                                  <w:marLeft w:val="0"/>
                                                  <w:marRight w:val="0"/>
                                                  <w:marTop w:val="0"/>
                                                  <w:marBottom w:val="0"/>
                                                  <w:divBdr>
                                                    <w:top w:val="none" w:sz="0" w:space="0" w:color="auto"/>
                                                    <w:left w:val="none" w:sz="0" w:space="0" w:color="auto"/>
                                                    <w:bottom w:val="none" w:sz="0" w:space="0" w:color="auto"/>
                                                    <w:right w:val="none" w:sz="0" w:space="0" w:color="auto"/>
                                                  </w:divBdr>
                                                  <w:divsChild>
                                                    <w:div w:id="220949643">
                                                      <w:marLeft w:val="0"/>
                                                      <w:marRight w:val="0"/>
                                                      <w:marTop w:val="0"/>
                                                      <w:marBottom w:val="0"/>
                                                      <w:divBdr>
                                                        <w:top w:val="none" w:sz="0" w:space="0" w:color="auto"/>
                                                        <w:left w:val="none" w:sz="0" w:space="0" w:color="auto"/>
                                                        <w:bottom w:val="none" w:sz="0" w:space="0" w:color="auto"/>
                                                        <w:right w:val="none" w:sz="0" w:space="0" w:color="auto"/>
                                                      </w:divBdr>
                                                      <w:divsChild>
                                                        <w:div w:id="1242759635">
                                                          <w:marLeft w:val="0"/>
                                                          <w:marRight w:val="0"/>
                                                          <w:marTop w:val="0"/>
                                                          <w:marBottom w:val="0"/>
                                                          <w:divBdr>
                                                            <w:top w:val="none" w:sz="0" w:space="0" w:color="auto"/>
                                                            <w:left w:val="none" w:sz="0" w:space="0" w:color="auto"/>
                                                            <w:bottom w:val="none" w:sz="0" w:space="0" w:color="auto"/>
                                                            <w:right w:val="none" w:sz="0" w:space="0" w:color="auto"/>
                                                          </w:divBdr>
                                                          <w:divsChild>
                                                            <w:div w:id="7648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66/documents" TargetMode="External"/><Relationship Id="rId13" Type="http://schemas.openxmlformats.org/officeDocument/2006/relationships/hyperlink" Target="https://www.nice.org.uk/guidance/ta519" TargetMode="External"/><Relationship Id="rId18" Type="http://schemas.openxmlformats.org/officeDocument/2006/relationships/hyperlink" Target="http://nicedsu.org.uk/wp-content/uploads/2016/03/NICE-DSU-TSD-Survival-analysis.updated-March-2013.v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ice.org.uk/process/pmg19/chapter/reviews" TargetMode="External"/><Relationship Id="rId7" Type="http://schemas.openxmlformats.org/officeDocument/2006/relationships/endnotes" Target="endnotes.xml"/><Relationship Id="rId12" Type="http://schemas.openxmlformats.org/officeDocument/2006/relationships/hyperlink" Target="https://www.nice.org.uk/guidance/indevelopment/gid-ta10466/documents" TargetMode="External"/><Relationship Id="rId17" Type="http://schemas.openxmlformats.org/officeDocument/2006/relationships/hyperlink" Target="https://www.nice.org.uk/guidance/ta53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guidance/ta525" TargetMode="External"/><Relationship Id="rId20" Type="http://schemas.openxmlformats.org/officeDocument/2006/relationships/hyperlink" Target="https://www.nice.org.uk/process/pmg9/chapter/the-appraisal-of-the-evidence-and-structured-decision-ma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ta51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ice.org.uk/process/pmg19/chapter/reviews" TargetMode="External"/><Relationship Id="rId23" Type="http://schemas.openxmlformats.org/officeDocument/2006/relationships/hyperlink" Target="https://www.nice.org.uk/get-involved/meetings-in-public/technology-appraisal-committee" TargetMode="External"/><Relationship Id="rId10" Type="http://schemas.openxmlformats.org/officeDocument/2006/relationships/hyperlink" Target="http://www.nice.org.uk/guidance/ta519" TargetMode="External"/><Relationship Id="rId19" Type="http://schemas.openxmlformats.org/officeDocument/2006/relationships/hyperlink" Target="https://www.nice.org.uk/guidance/ta525"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uidance/ta525" TargetMode="External"/><Relationship Id="rId22" Type="http://schemas.openxmlformats.org/officeDocument/2006/relationships/hyperlink" Target="https://www.nice.org.uk/Get-Involved/Meetings-in-public/Technology-appraisal-Committee/Committee-D-Member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C215-6293-4DEF-8A7B-2082B18F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C491A7FD</Template>
  <TotalTime>416</TotalTime>
  <Pages>22</Pages>
  <Words>5739</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Ross Dent</dc:creator>
  <cp:keywords/>
  <dc:description/>
  <cp:lastModifiedBy>Amy Crossley</cp:lastModifiedBy>
  <cp:revision>69</cp:revision>
  <cp:lastPrinted>2015-11-27T14:15:00Z</cp:lastPrinted>
  <dcterms:created xsi:type="dcterms:W3CDTF">2019-11-05T12:49:00Z</dcterms:created>
  <dcterms:modified xsi:type="dcterms:W3CDTF">2019-11-06T14:43:00Z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Happy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