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89D76" w14:textId="6AFA3659" w:rsidR="000F48EC" w:rsidRPr="00302EB4" w:rsidRDefault="00A02EBA" w:rsidP="00004D16">
      <w:pPr>
        <w:pStyle w:val="Title1"/>
        <w:rPr>
          <w:i/>
        </w:rPr>
      </w:pPr>
      <w:r w:rsidRPr="00302EB4">
        <w:t xml:space="preserve">Ozanimod for treating relapsing–remitting multiple </w:t>
      </w:r>
      <w:proofErr w:type="gramStart"/>
      <w:r w:rsidRPr="00302EB4">
        <w:t>sclerosis</w:t>
      </w:r>
      <w:proofErr w:type="gramEnd"/>
    </w:p>
    <w:p w14:paraId="24770F4B" w14:textId="77777777" w:rsidR="000F48EC" w:rsidRPr="00302EB4" w:rsidRDefault="00B379C5" w:rsidP="00F130AD">
      <w:pPr>
        <w:pStyle w:val="Numberedheading1"/>
      </w:pPr>
      <w:r w:rsidRPr="00302EB4">
        <w:t>Recommendations</w:t>
      </w:r>
    </w:p>
    <w:p w14:paraId="0A751722" w14:textId="25E6C67B" w:rsidR="007220ED" w:rsidRPr="00302EB4" w:rsidRDefault="007220ED" w:rsidP="007220ED">
      <w:pPr>
        <w:pStyle w:val="Numberedlevel2text"/>
        <w:rPr>
          <w:lang w:val="en-GB"/>
        </w:rPr>
      </w:pPr>
      <w:r w:rsidRPr="00302EB4">
        <w:rPr>
          <w:lang w:val="en-GB"/>
        </w:rPr>
        <w:t>Ozanimod</w:t>
      </w:r>
      <w:r w:rsidR="007A2801" w:rsidRPr="00302EB4">
        <w:rPr>
          <w:lang w:val="en-GB"/>
        </w:rPr>
        <w:t xml:space="preserve"> is not recommended, within its marketing authorisation, for treating </w:t>
      </w:r>
      <w:r w:rsidRPr="00302EB4">
        <w:rPr>
          <w:lang w:val="en-GB"/>
        </w:rPr>
        <w:t>relapsing</w:t>
      </w:r>
      <w:r w:rsidR="000E5BF6" w:rsidRPr="00302EB4">
        <w:rPr>
          <w:lang w:val="en-GB"/>
        </w:rPr>
        <w:t>–</w:t>
      </w:r>
      <w:r w:rsidRPr="00302EB4">
        <w:rPr>
          <w:lang w:val="en-GB"/>
        </w:rPr>
        <w:t xml:space="preserve">remitting multiple sclerosis </w:t>
      </w:r>
      <w:r w:rsidR="00DF5D0B">
        <w:rPr>
          <w:lang w:val="en-GB"/>
        </w:rPr>
        <w:t xml:space="preserve">in adults </w:t>
      </w:r>
      <w:r w:rsidRPr="00302EB4">
        <w:rPr>
          <w:lang w:val="en-GB"/>
        </w:rPr>
        <w:t xml:space="preserve">with </w:t>
      </w:r>
      <w:r w:rsidR="00210624">
        <w:rPr>
          <w:lang w:val="en-GB"/>
        </w:rPr>
        <w:t>clinical or imaging features</w:t>
      </w:r>
      <w:r w:rsidR="00210624" w:rsidRPr="00302EB4">
        <w:rPr>
          <w:lang w:val="en-GB"/>
        </w:rPr>
        <w:t xml:space="preserve"> </w:t>
      </w:r>
      <w:r w:rsidRPr="00302EB4">
        <w:rPr>
          <w:lang w:val="en-GB"/>
        </w:rPr>
        <w:t>of active disease</w:t>
      </w:r>
      <w:r w:rsidR="007A2801" w:rsidRPr="00302EB4">
        <w:rPr>
          <w:lang w:val="en-GB"/>
        </w:rPr>
        <w:t>.</w:t>
      </w:r>
    </w:p>
    <w:p w14:paraId="56E4E7D2" w14:textId="068BF751" w:rsidR="002F2C1A" w:rsidRPr="00302EB4" w:rsidRDefault="002F2C1A" w:rsidP="007220ED">
      <w:pPr>
        <w:pStyle w:val="Numberedlevel2text"/>
        <w:rPr>
          <w:lang w:val="en-GB"/>
        </w:rPr>
      </w:pPr>
      <w:r w:rsidRPr="00302EB4">
        <w:rPr>
          <w:lang w:val="en-GB"/>
        </w:rPr>
        <w:t>This</w:t>
      </w:r>
      <w:r w:rsidR="007220ED" w:rsidRPr="00302EB4">
        <w:rPr>
          <w:lang w:val="en-GB"/>
        </w:rPr>
        <w:t xml:space="preserve"> </w:t>
      </w:r>
      <w:r w:rsidRPr="00302EB4">
        <w:rPr>
          <w:lang w:val="en-GB"/>
        </w:rPr>
        <w:t xml:space="preserve">recommendation is not intended to affect treatment with </w:t>
      </w:r>
      <w:r w:rsidR="007220ED" w:rsidRPr="00302EB4">
        <w:rPr>
          <w:lang w:val="en-GB"/>
        </w:rPr>
        <w:t>ozanimod</w:t>
      </w:r>
      <w:r w:rsidRPr="00302EB4">
        <w:rPr>
          <w:lang w:val="en-GB"/>
        </w:rPr>
        <w:t xml:space="preserve"> that was started in the NHS before this guidance was published. People</w:t>
      </w:r>
      <w:r w:rsidR="007220ED" w:rsidRPr="00302EB4">
        <w:rPr>
          <w:lang w:val="en-GB"/>
        </w:rPr>
        <w:t xml:space="preserve"> </w:t>
      </w:r>
      <w:r w:rsidRPr="00302EB4">
        <w:rPr>
          <w:lang w:val="en-GB"/>
        </w:rPr>
        <w:t>having treatment outside this recommendation may continue without change to the funding arrangements in place for them before this guidance was published, until they and their NHS clinician consider it appropriate to stop</w:t>
      </w:r>
      <w:r w:rsidR="007220ED" w:rsidRPr="00302EB4">
        <w:rPr>
          <w:lang w:val="en-GB"/>
        </w:rPr>
        <w:t>.</w:t>
      </w:r>
    </w:p>
    <w:p w14:paraId="325682E1" w14:textId="77777777" w:rsidR="00C11F58" w:rsidRPr="00302EB4" w:rsidRDefault="00C11F58" w:rsidP="008522C6">
      <w:pPr>
        <w:pStyle w:val="NICEnormal"/>
        <w:rPr>
          <w:b/>
        </w:rPr>
      </w:pPr>
      <w:r w:rsidRPr="00302EB4">
        <w:rPr>
          <w:b/>
        </w:rPr>
        <w:t xml:space="preserve">Why the committee made these </w:t>
      </w:r>
      <w:proofErr w:type="gramStart"/>
      <w:r w:rsidRPr="00302EB4">
        <w:rPr>
          <w:b/>
        </w:rPr>
        <w:t>recommendations</w:t>
      </w:r>
      <w:proofErr w:type="gramEnd"/>
    </w:p>
    <w:p w14:paraId="00BDA007" w14:textId="0B445AA4" w:rsidR="00046D27" w:rsidRPr="00302EB4" w:rsidRDefault="00A837FB" w:rsidP="00C52CE9">
      <w:pPr>
        <w:pStyle w:val="NICEnormal"/>
      </w:pPr>
      <w:bookmarkStart w:id="0" w:name="_Hlk61267879"/>
      <w:r>
        <w:t>D</w:t>
      </w:r>
      <w:r w:rsidR="00046D27" w:rsidRPr="00302EB4">
        <w:t>isease-modifying treatments for relapsing–remitting multiple sclerosis</w:t>
      </w:r>
      <w:r>
        <w:t xml:space="preserve"> include</w:t>
      </w:r>
      <w:r w:rsidR="00004D16">
        <w:t xml:space="preserve"> alemtuzumab,</w:t>
      </w:r>
      <w:r w:rsidRPr="00A837FB">
        <w:t xml:space="preserve"> beta interferons, </w:t>
      </w:r>
      <w:r w:rsidR="00004D16">
        <w:t xml:space="preserve">cladribine, </w:t>
      </w:r>
      <w:r w:rsidRPr="00A837FB">
        <w:t>dimethyl fumarate, fingolimod, glatiramer acetate,</w:t>
      </w:r>
      <w:r w:rsidR="00004D16">
        <w:t xml:space="preserve"> natalizumab,</w:t>
      </w:r>
      <w:r w:rsidRPr="00A837FB">
        <w:t xml:space="preserve"> </w:t>
      </w:r>
      <w:r w:rsidR="002C0F98">
        <w:t>ocrelizu</w:t>
      </w:r>
      <w:r w:rsidRPr="00A837FB">
        <w:t>mab and teriflunomide</w:t>
      </w:r>
      <w:r w:rsidR="00046D27" w:rsidRPr="00302EB4">
        <w:t xml:space="preserve">. Treatments aim to reduce the number of relapses, slow </w:t>
      </w:r>
      <w:r w:rsidR="002C0F98">
        <w:t>the</w:t>
      </w:r>
      <w:r w:rsidR="00046D27" w:rsidRPr="00302EB4">
        <w:t xml:space="preserve"> progression </w:t>
      </w:r>
      <w:r w:rsidR="002C0F98">
        <w:t xml:space="preserve">of </w:t>
      </w:r>
      <w:proofErr w:type="gramStart"/>
      <w:r w:rsidR="002C0F98">
        <w:t>disability</w:t>
      </w:r>
      <w:proofErr w:type="gramEnd"/>
      <w:r w:rsidR="002C0F98">
        <w:t xml:space="preserve"> </w:t>
      </w:r>
      <w:r w:rsidR="00046D27" w:rsidRPr="00302EB4">
        <w:t>and maintain or improve quality of life.</w:t>
      </w:r>
    </w:p>
    <w:p w14:paraId="2E2984EC" w14:textId="1CCC3E97" w:rsidR="00046D27" w:rsidRPr="00302EB4" w:rsidRDefault="0029649E" w:rsidP="00C52CE9">
      <w:pPr>
        <w:pStyle w:val="NICEnormal"/>
      </w:pPr>
      <w:r>
        <w:t>Clinical trial evidence shows that o</w:t>
      </w:r>
      <w:r w:rsidR="003D0517" w:rsidRPr="00302EB4">
        <w:t>zanimod reduce</w:t>
      </w:r>
      <w:r>
        <w:t>s</w:t>
      </w:r>
      <w:r w:rsidR="003D0517" w:rsidRPr="00302EB4">
        <w:t xml:space="preserve"> the number of relapses and brain lesions compared with interferon beta</w:t>
      </w:r>
      <w:r w:rsidR="00FC57A5">
        <w:noBreakHyphen/>
      </w:r>
      <w:r w:rsidR="003D0517" w:rsidRPr="00302EB4">
        <w:t xml:space="preserve">1a. However, </w:t>
      </w:r>
      <w:r w:rsidR="009E2F49" w:rsidRPr="00302EB4">
        <w:t>ozanimod</w:t>
      </w:r>
      <w:r>
        <w:t>’s effect</w:t>
      </w:r>
      <w:r w:rsidR="009E2F49" w:rsidRPr="00302EB4">
        <w:t xml:space="preserve"> on </w:t>
      </w:r>
      <w:r w:rsidR="002C0F98">
        <w:t xml:space="preserve">the </w:t>
      </w:r>
      <w:r w:rsidR="009E2F49" w:rsidRPr="00302EB4">
        <w:t xml:space="preserve">progression </w:t>
      </w:r>
      <w:r w:rsidR="002C0F98">
        <w:t xml:space="preserve">of </w:t>
      </w:r>
      <w:r w:rsidR="002C0F98" w:rsidRPr="00302EB4">
        <w:t>disability</w:t>
      </w:r>
      <w:r w:rsidR="002C0F98">
        <w:t xml:space="preserve"> </w:t>
      </w:r>
      <w:r>
        <w:t>i</w:t>
      </w:r>
      <w:r w:rsidR="00936ACF" w:rsidRPr="00302EB4">
        <w:t>s</w:t>
      </w:r>
      <w:r w:rsidR="009E2F49" w:rsidRPr="00302EB4">
        <w:t xml:space="preserve"> unclear.</w:t>
      </w:r>
      <w:r w:rsidR="00174090">
        <w:t xml:space="preserve"> </w:t>
      </w:r>
      <w:r w:rsidR="00174090" w:rsidRPr="00174090">
        <w:t xml:space="preserve">It is uncertain how effective </w:t>
      </w:r>
      <w:r w:rsidR="00174090">
        <w:t>ozanimod</w:t>
      </w:r>
      <w:r w:rsidR="00174090" w:rsidRPr="00174090">
        <w:t xml:space="preserve"> is compared with </w:t>
      </w:r>
      <w:r w:rsidR="00174090">
        <w:t>other treatments</w:t>
      </w:r>
      <w:r w:rsidR="00174090" w:rsidRPr="00174090">
        <w:t xml:space="preserve"> because there is no evidence directly comparing them</w:t>
      </w:r>
      <w:r w:rsidR="00174090">
        <w:t>.</w:t>
      </w:r>
    </w:p>
    <w:p w14:paraId="79919602" w14:textId="06CEC513" w:rsidR="003D0517" w:rsidRDefault="009047A3" w:rsidP="00C52CE9">
      <w:pPr>
        <w:pStyle w:val="NICEnormal"/>
      </w:pPr>
      <w:bookmarkStart w:id="1" w:name="_Hlk61267547"/>
      <w:r w:rsidRPr="009047A3">
        <w:t xml:space="preserve">The cost-effectiveness estimates are uncertain because of limitations in the clinical effectiveness </w:t>
      </w:r>
      <w:r w:rsidR="00494599">
        <w:t>evidence and a</w:t>
      </w:r>
      <w:r w:rsidR="00494599" w:rsidRPr="00494599">
        <w:t>re above what NICE normally considers an acceptable use of NHS resources</w:t>
      </w:r>
      <w:r w:rsidRPr="009047A3">
        <w:t>. Therefore, ozanimod is not recommended</w:t>
      </w:r>
      <w:bookmarkEnd w:id="1"/>
      <w:bookmarkEnd w:id="0"/>
      <w:r>
        <w:t>.</w:t>
      </w:r>
    </w:p>
    <w:p w14:paraId="426EECFF" w14:textId="01D87BB0" w:rsidR="00EA1CB1" w:rsidRPr="00302EB4" w:rsidRDefault="00EA1CB1" w:rsidP="00EA1CB1">
      <w:pPr>
        <w:pStyle w:val="Numberedheading1"/>
        <w:keepLines/>
      </w:pPr>
      <w:r w:rsidRPr="00302EB4">
        <w:lastRenderedPageBreak/>
        <w:t xml:space="preserve">Information about </w:t>
      </w:r>
      <w:r w:rsidR="00676F8F" w:rsidRPr="00302EB4">
        <w:t>ozanimod</w:t>
      </w:r>
    </w:p>
    <w:p w14:paraId="3486BF70" w14:textId="2465B1E3" w:rsidR="00B82A82" w:rsidRPr="00302EB4" w:rsidRDefault="00B82A82" w:rsidP="00B82A82">
      <w:pPr>
        <w:pStyle w:val="Heading2"/>
      </w:pPr>
      <w:r w:rsidRPr="00302EB4">
        <w:t>Marketing authorisation indication</w:t>
      </w:r>
    </w:p>
    <w:p w14:paraId="221774DF" w14:textId="6C7CA380" w:rsidR="003C5E33" w:rsidRPr="00302EB4" w:rsidRDefault="003C5E33" w:rsidP="00B2610C">
      <w:pPr>
        <w:pStyle w:val="Numberedlevel2text"/>
        <w:rPr>
          <w:rStyle w:val="NICEnormalChar"/>
          <w:szCs w:val="28"/>
        </w:rPr>
      </w:pPr>
      <w:r w:rsidRPr="00302EB4">
        <w:rPr>
          <w:rStyle w:val="NICEnormalChar"/>
          <w:szCs w:val="28"/>
        </w:rPr>
        <w:t>Ozanimod (</w:t>
      </w:r>
      <w:proofErr w:type="spellStart"/>
      <w:r w:rsidRPr="00302EB4">
        <w:rPr>
          <w:rStyle w:val="NICEnormalChar"/>
          <w:szCs w:val="28"/>
        </w:rPr>
        <w:t>Zeposia</w:t>
      </w:r>
      <w:proofErr w:type="spellEnd"/>
      <w:r w:rsidRPr="00302EB4">
        <w:rPr>
          <w:rStyle w:val="NICEnormalChar"/>
          <w:szCs w:val="28"/>
        </w:rPr>
        <w:t xml:space="preserve">, </w:t>
      </w:r>
      <w:r w:rsidR="00004D16">
        <w:rPr>
          <w:rStyle w:val="NICEnormalChar"/>
          <w:szCs w:val="28"/>
        </w:rPr>
        <w:t>Celgene</w:t>
      </w:r>
      <w:r w:rsidRPr="00302EB4">
        <w:rPr>
          <w:rStyle w:val="NICEnormalChar"/>
          <w:szCs w:val="28"/>
        </w:rPr>
        <w:t xml:space="preserve">) is indicated for ‘the treatment of adult patients with relapsing remitting multiple sclerosis with active disease as defined by clinical or imaging </w:t>
      </w:r>
      <w:proofErr w:type="gramStart"/>
      <w:r w:rsidRPr="00302EB4">
        <w:rPr>
          <w:rStyle w:val="NICEnormalChar"/>
          <w:szCs w:val="28"/>
        </w:rPr>
        <w:t>features’</w:t>
      </w:r>
      <w:proofErr w:type="gramEnd"/>
      <w:r w:rsidRPr="00302EB4">
        <w:rPr>
          <w:rStyle w:val="NICEnormalChar"/>
          <w:szCs w:val="28"/>
        </w:rPr>
        <w:t>.</w:t>
      </w:r>
    </w:p>
    <w:p w14:paraId="7993F217" w14:textId="77777777" w:rsidR="00B82A82" w:rsidRPr="00302EB4" w:rsidRDefault="00B82A82" w:rsidP="00B82A82">
      <w:pPr>
        <w:pStyle w:val="Heading2"/>
      </w:pPr>
      <w:r w:rsidRPr="00302EB4">
        <w:t>Dosage in the marketing authorisation</w:t>
      </w:r>
    </w:p>
    <w:p w14:paraId="3BBB603B" w14:textId="34CE1629" w:rsidR="00B82A82" w:rsidRPr="00302EB4" w:rsidRDefault="00FE2CE3" w:rsidP="001A5561">
      <w:pPr>
        <w:pStyle w:val="Numberedlevel2text"/>
        <w:numPr>
          <w:ilvl w:val="1"/>
          <w:numId w:val="1"/>
        </w:numPr>
        <w:rPr>
          <w:rStyle w:val="Numberedlevel2textChar"/>
          <w:lang w:val="en-GB"/>
        </w:rPr>
      </w:pPr>
      <w:r w:rsidRPr="00302EB4">
        <w:rPr>
          <w:lang w:val="en-GB"/>
        </w:rPr>
        <w:t xml:space="preserve">The dosage schedule is </w:t>
      </w:r>
      <w:r w:rsidR="00570524" w:rsidRPr="00302EB4">
        <w:rPr>
          <w:lang w:val="en-GB"/>
        </w:rPr>
        <w:t>available in the</w:t>
      </w:r>
      <w:r w:rsidR="00CD104A">
        <w:rPr>
          <w:lang w:val="en-GB"/>
        </w:rPr>
        <w:t xml:space="preserve"> </w:t>
      </w:r>
      <w:hyperlink r:id="rId8" w:history="1">
        <w:r w:rsidR="00CD104A" w:rsidRPr="00CD104A">
          <w:rPr>
            <w:rStyle w:val="Hyperlink"/>
            <w:lang w:val="en-GB"/>
          </w:rPr>
          <w:t>summary of product characteristics</w:t>
        </w:r>
      </w:hyperlink>
      <w:r w:rsidR="00CD104A">
        <w:rPr>
          <w:lang w:val="en-GB"/>
        </w:rPr>
        <w:t>.</w:t>
      </w:r>
    </w:p>
    <w:p w14:paraId="1E678549" w14:textId="77777777" w:rsidR="00B82A82" w:rsidRPr="00302EB4" w:rsidRDefault="00B82A82" w:rsidP="00B82A82">
      <w:pPr>
        <w:pStyle w:val="Heading2"/>
      </w:pPr>
      <w:r w:rsidRPr="00302EB4">
        <w:t>Price</w:t>
      </w:r>
    </w:p>
    <w:p w14:paraId="4672B7A6" w14:textId="23D395A6" w:rsidR="00E51529" w:rsidRPr="00E51529" w:rsidRDefault="00A2148D" w:rsidP="00AB286E">
      <w:pPr>
        <w:pStyle w:val="Numberedlevel2text"/>
        <w:rPr>
          <w:rStyle w:val="NICEnormalChar"/>
          <w:rFonts w:cs="Arial"/>
          <w:b/>
          <w:iCs w:val="0"/>
          <w:szCs w:val="28"/>
        </w:rPr>
      </w:pPr>
      <w:r w:rsidRPr="00302EB4">
        <w:rPr>
          <w:rStyle w:val="NICEnormalChar"/>
        </w:rPr>
        <w:t xml:space="preserve">The list </w:t>
      </w:r>
      <w:r w:rsidRPr="00AB286E">
        <w:rPr>
          <w:rStyle w:val="NICEnormalChar"/>
          <w:szCs w:val="28"/>
          <w:lang w:val="x-none"/>
        </w:rPr>
        <w:t>price</w:t>
      </w:r>
      <w:r w:rsidRPr="00302EB4">
        <w:rPr>
          <w:rStyle w:val="NICEnormalChar"/>
        </w:rPr>
        <w:t xml:space="preserve"> for ozanimod is</w:t>
      </w:r>
      <w:r w:rsidR="00E51529">
        <w:rPr>
          <w:rStyle w:val="NICEnormalChar"/>
        </w:rPr>
        <w:t xml:space="preserve"> (</w:t>
      </w:r>
      <w:r w:rsidR="00E51529" w:rsidRPr="00302EB4">
        <w:rPr>
          <w:rStyle w:val="NICEnormalChar"/>
        </w:rPr>
        <w:t>price</w:t>
      </w:r>
      <w:r w:rsidR="00E51529">
        <w:rPr>
          <w:rStyle w:val="NICEnormalChar"/>
        </w:rPr>
        <w:t>s</w:t>
      </w:r>
      <w:r w:rsidR="00E51529" w:rsidRPr="00302EB4">
        <w:rPr>
          <w:rStyle w:val="NICEnormalChar"/>
        </w:rPr>
        <w:t xml:space="preserve"> exclude VAT;</w:t>
      </w:r>
      <w:r w:rsidR="00E51529">
        <w:rPr>
          <w:rStyle w:val="NICEnormalChar"/>
        </w:rPr>
        <w:t xml:space="preserve"> company submission): </w:t>
      </w:r>
    </w:p>
    <w:p w14:paraId="381ED118" w14:textId="779458E5" w:rsidR="00E51529" w:rsidRPr="00E51529" w:rsidRDefault="00E51529" w:rsidP="00AB286E">
      <w:pPr>
        <w:pStyle w:val="Bulletindent1"/>
        <w:rPr>
          <w:rStyle w:val="NICEnormalChar"/>
        </w:rPr>
      </w:pPr>
      <w:r>
        <w:rPr>
          <w:rStyle w:val="NICEnormalChar"/>
        </w:rPr>
        <w:t>£343.25 per i</w:t>
      </w:r>
      <w:r w:rsidRPr="00E51529">
        <w:rPr>
          <w:rStyle w:val="NICEnormalChar"/>
        </w:rPr>
        <w:t>nitiation pack</w:t>
      </w:r>
      <w:r w:rsidR="007825AF">
        <w:rPr>
          <w:rStyle w:val="NICEnormalChar"/>
        </w:rPr>
        <w:t>:</w:t>
      </w:r>
      <w:r>
        <w:rPr>
          <w:rStyle w:val="NICEnormalChar"/>
        </w:rPr>
        <w:t xml:space="preserve"> </w:t>
      </w:r>
      <w:r w:rsidRPr="00E51529">
        <w:rPr>
          <w:rStyle w:val="NICEnormalChar"/>
        </w:rPr>
        <w:t>4</w:t>
      </w:r>
      <w:r w:rsidR="00B31E48">
        <w:rPr>
          <w:rStyle w:val="NICEnormalChar"/>
        </w:rPr>
        <w:t> </w:t>
      </w:r>
      <w:r>
        <w:rPr>
          <w:rStyle w:val="NICEnormalChar"/>
        </w:rPr>
        <w:t>capsules containing</w:t>
      </w:r>
      <w:r w:rsidRPr="00E51529">
        <w:rPr>
          <w:rStyle w:val="NICEnormalChar"/>
        </w:rPr>
        <w:t xml:space="preserve"> 0.25</w:t>
      </w:r>
      <w:r w:rsidR="00B31E48">
        <w:rPr>
          <w:rStyle w:val="NICEnormalChar"/>
        </w:rPr>
        <w:t> </w:t>
      </w:r>
      <w:r w:rsidRPr="00E51529">
        <w:rPr>
          <w:rStyle w:val="NICEnormalChar"/>
        </w:rPr>
        <w:t xml:space="preserve">mg </w:t>
      </w:r>
      <w:r w:rsidRPr="00302EB4">
        <w:rPr>
          <w:rStyle w:val="NICEnormalChar"/>
        </w:rPr>
        <w:t>ozanimod hydrochloride (equivalent to 0.</w:t>
      </w:r>
      <w:r w:rsidR="00BC2599">
        <w:rPr>
          <w:rStyle w:val="NICEnormalChar"/>
        </w:rPr>
        <w:t>23</w:t>
      </w:r>
      <w:r>
        <w:rPr>
          <w:rStyle w:val="NICEnormalChar"/>
        </w:rPr>
        <w:t> </w:t>
      </w:r>
      <w:r w:rsidRPr="00302EB4">
        <w:rPr>
          <w:rStyle w:val="NICEnormalChar"/>
        </w:rPr>
        <w:t>mg of ozanimod</w:t>
      </w:r>
      <w:r>
        <w:rPr>
          <w:rStyle w:val="NICEnormalChar"/>
        </w:rPr>
        <w:t xml:space="preserve">) and </w:t>
      </w:r>
      <w:r w:rsidRPr="00E51529">
        <w:rPr>
          <w:rStyle w:val="NICEnormalChar"/>
        </w:rPr>
        <w:t>3</w:t>
      </w:r>
      <w:r w:rsidR="00B31E48">
        <w:rPr>
          <w:rStyle w:val="NICEnormalChar"/>
        </w:rPr>
        <w:t> </w:t>
      </w:r>
      <w:r>
        <w:rPr>
          <w:rStyle w:val="NICEnormalChar"/>
        </w:rPr>
        <w:t>capsules containing</w:t>
      </w:r>
      <w:r w:rsidRPr="00E51529">
        <w:rPr>
          <w:rStyle w:val="NICEnormalChar"/>
        </w:rPr>
        <w:t xml:space="preserve"> 0.5</w:t>
      </w:r>
      <w:r w:rsidR="00B31E48">
        <w:rPr>
          <w:rStyle w:val="NICEnormalChar"/>
        </w:rPr>
        <w:t> </w:t>
      </w:r>
      <w:r w:rsidRPr="00E51529">
        <w:rPr>
          <w:rStyle w:val="NICEnormalChar"/>
        </w:rPr>
        <w:t xml:space="preserve">mg </w:t>
      </w:r>
      <w:r w:rsidRPr="00302EB4">
        <w:rPr>
          <w:rStyle w:val="NICEnormalChar"/>
        </w:rPr>
        <w:t>ozanimod hydrochloride (equivalent to 0.</w:t>
      </w:r>
      <w:r w:rsidR="00BC2599">
        <w:rPr>
          <w:rStyle w:val="NICEnormalChar"/>
        </w:rPr>
        <w:t>46</w:t>
      </w:r>
      <w:r>
        <w:rPr>
          <w:rStyle w:val="NICEnormalChar"/>
        </w:rPr>
        <w:t> </w:t>
      </w:r>
      <w:r w:rsidRPr="00302EB4">
        <w:rPr>
          <w:rStyle w:val="NICEnormalChar"/>
        </w:rPr>
        <w:t>mg of ozanimod</w:t>
      </w:r>
      <w:r>
        <w:rPr>
          <w:rStyle w:val="NICEnormalChar"/>
        </w:rPr>
        <w:t>)</w:t>
      </w:r>
    </w:p>
    <w:p w14:paraId="25B21649" w14:textId="2C98DF62" w:rsidR="00E51529" w:rsidRPr="00E51529" w:rsidRDefault="00E51529" w:rsidP="00AB286E">
      <w:pPr>
        <w:pStyle w:val="Bulletindent1"/>
        <w:rPr>
          <w:rStyle w:val="NICEnormalChar"/>
        </w:rPr>
      </w:pPr>
      <w:r w:rsidRPr="00302EB4">
        <w:rPr>
          <w:rStyle w:val="NICEnormalChar"/>
        </w:rPr>
        <w:t xml:space="preserve">£1,373 per </w:t>
      </w:r>
      <w:r>
        <w:rPr>
          <w:rStyle w:val="NICEnormalChar"/>
        </w:rPr>
        <w:t xml:space="preserve">maintenance </w:t>
      </w:r>
      <w:r w:rsidRPr="00302EB4">
        <w:rPr>
          <w:rStyle w:val="NICEnormalChar"/>
        </w:rPr>
        <w:t>pack of 28</w:t>
      </w:r>
      <w:r>
        <w:rPr>
          <w:rStyle w:val="NICEnormalChar"/>
        </w:rPr>
        <w:t> capsules</w:t>
      </w:r>
      <w:r w:rsidRPr="00302EB4">
        <w:rPr>
          <w:rStyle w:val="NICEnormalChar"/>
        </w:rPr>
        <w:t>, each containing 1</w:t>
      </w:r>
      <w:r>
        <w:rPr>
          <w:rStyle w:val="NICEnormalChar"/>
        </w:rPr>
        <w:t> </w:t>
      </w:r>
      <w:r w:rsidRPr="00302EB4">
        <w:rPr>
          <w:rStyle w:val="NICEnormalChar"/>
        </w:rPr>
        <w:t>mg ozanimod hydrochloride (equivalent to 0.92</w:t>
      </w:r>
      <w:r>
        <w:rPr>
          <w:rStyle w:val="NICEnormalChar"/>
        </w:rPr>
        <w:t> </w:t>
      </w:r>
      <w:r w:rsidRPr="00302EB4">
        <w:rPr>
          <w:rStyle w:val="NICEnormalChar"/>
        </w:rPr>
        <w:t>mg of ozanimod</w:t>
      </w:r>
      <w:r>
        <w:rPr>
          <w:rStyle w:val="NICEnormalChar"/>
        </w:rPr>
        <w:t>)</w:t>
      </w:r>
      <w:r w:rsidR="00952329">
        <w:rPr>
          <w:rStyle w:val="NICEnormalChar"/>
        </w:rPr>
        <w:t>.</w:t>
      </w:r>
    </w:p>
    <w:p w14:paraId="558E77CF" w14:textId="0D65FDEB" w:rsidR="00B82A82" w:rsidRPr="00302EB4" w:rsidRDefault="00B82A82" w:rsidP="00AB286E">
      <w:pPr>
        <w:pStyle w:val="NICEnormalindented"/>
      </w:pPr>
      <w:bookmarkStart w:id="2" w:name="_Hlk24530292"/>
      <w:r w:rsidRPr="00302EB4">
        <w:t>The company has a commercial arrangement, which would have applied if the technology had been recommended.</w:t>
      </w:r>
    </w:p>
    <w:bookmarkEnd w:id="2"/>
    <w:p w14:paraId="29A280D2" w14:textId="77777777" w:rsidR="00F130AD" w:rsidRPr="00302EB4" w:rsidRDefault="00222BEA" w:rsidP="00F130AD">
      <w:pPr>
        <w:pStyle w:val="Numberedheading1"/>
      </w:pPr>
      <w:r w:rsidRPr="00302EB4">
        <w:t>Committee discussion</w:t>
      </w:r>
    </w:p>
    <w:p w14:paraId="5A34BF3F" w14:textId="0F046813" w:rsidR="002B5772" w:rsidRPr="00302EB4" w:rsidRDefault="00BC7D9E" w:rsidP="002B5772">
      <w:pPr>
        <w:pStyle w:val="NICEnormal"/>
      </w:pPr>
      <w:r w:rsidRPr="00302EB4">
        <w:t xml:space="preserve">The </w:t>
      </w:r>
      <w:hyperlink w:anchor="_Appraisal_committee_members" w:history="1">
        <w:r w:rsidR="00343B53" w:rsidRPr="00302EB4">
          <w:rPr>
            <w:rStyle w:val="Hyperlink"/>
          </w:rPr>
          <w:t>a</w:t>
        </w:r>
        <w:r w:rsidRPr="00302EB4">
          <w:rPr>
            <w:rStyle w:val="Hyperlink"/>
          </w:rPr>
          <w:t xml:space="preserve">ppraisal </w:t>
        </w:r>
        <w:r w:rsidR="00343B53" w:rsidRPr="00302EB4">
          <w:rPr>
            <w:rStyle w:val="Hyperlink"/>
          </w:rPr>
          <w:t>c</w:t>
        </w:r>
        <w:r w:rsidRPr="00302EB4">
          <w:rPr>
            <w:rStyle w:val="Hyperlink"/>
          </w:rPr>
          <w:t>ommittee</w:t>
        </w:r>
      </w:hyperlink>
      <w:r w:rsidRPr="00302EB4">
        <w:t xml:space="preserve"> considered evidence submitted by </w:t>
      </w:r>
      <w:r w:rsidR="00D73D03" w:rsidRPr="00302EB4">
        <w:t>Celgene</w:t>
      </w:r>
      <w:r w:rsidR="002B5772" w:rsidRPr="00302EB4">
        <w:t>,</w:t>
      </w:r>
      <w:r w:rsidRPr="00302EB4">
        <w:t xml:space="preserve"> a review of this submission by the </w:t>
      </w:r>
      <w:r w:rsidR="00343B53" w:rsidRPr="00302EB4">
        <w:t>e</w:t>
      </w:r>
      <w:r w:rsidRPr="00302EB4">
        <w:t xml:space="preserve">vidence </w:t>
      </w:r>
      <w:r w:rsidR="00343B53" w:rsidRPr="00302EB4">
        <w:t>r</w:t>
      </w:r>
      <w:r w:rsidRPr="00302EB4">
        <w:t xml:space="preserve">eview </w:t>
      </w:r>
      <w:r w:rsidR="00343B53" w:rsidRPr="00302EB4">
        <w:t>g</w:t>
      </w:r>
      <w:r w:rsidRPr="00302EB4">
        <w:t>roup (ERG)</w:t>
      </w:r>
      <w:r w:rsidR="002B5772" w:rsidRPr="00302EB4">
        <w:t xml:space="preserve">, </w:t>
      </w:r>
      <w:r w:rsidR="00E24CDE" w:rsidRPr="00302EB4">
        <w:t>NICE’s</w:t>
      </w:r>
      <w:r w:rsidR="002B5772" w:rsidRPr="00302EB4">
        <w:t xml:space="preserve"> technical </w:t>
      </w:r>
      <w:r w:rsidR="00E9265B" w:rsidRPr="00302EB4">
        <w:t>report</w:t>
      </w:r>
      <w:r w:rsidR="000B1027" w:rsidRPr="00302EB4">
        <w:t>, and responses from</w:t>
      </w:r>
      <w:r w:rsidR="00E9265B" w:rsidRPr="00302EB4">
        <w:t xml:space="preserve"> stakeholders</w:t>
      </w:r>
      <w:r w:rsidRPr="00302EB4">
        <w:t>.</w:t>
      </w:r>
      <w:r w:rsidR="00C63D4E" w:rsidRPr="00302EB4">
        <w:t xml:space="preserve"> </w:t>
      </w:r>
      <w:r w:rsidR="002B5772" w:rsidRPr="00302EB4">
        <w:t xml:space="preserve">See the </w:t>
      </w:r>
      <w:hyperlink r:id="rId9" w:history="1">
        <w:r w:rsidR="002B5772" w:rsidRPr="00302EB4">
          <w:rPr>
            <w:rStyle w:val="Hyperlink"/>
          </w:rPr>
          <w:t>committee papers</w:t>
        </w:r>
      </w:hyperlink>
      <w:r w:rsidR="002B5772" w:rsidRPr="00302EB4">
        <w:t xml:space="preserve"> for full details of the evidence.</w:t>
      </w:r>
    </w:p>
    <w:p w14:paraId="570601A5" w14:textId="0BE6B24D" w:rsidR="00643582" w:rsidRPr="00302EB4" w:rsidRDefault="00D73D03" w:rsidP="00643582">
      <w:pPr>
        <w:pStyle w:val="Heading2"/>
      </w:pPr>
      <w:r w:rsidRPr="00302EB4">
        <w:lastRenderedPageBreak/>
        <w:t>Treatment pathway</w:t>
      </w:r>
      <w:r w:rsidR="00A2148D" w:rsidRPr="00302EB4">
        <w:t xml:space="preserve">, </w:t>
      </w:r>
      <w:proofErr w:type="gramStart"/>
      <w:r w:rsidR="00A2148D" w:rsidRPr="00302EB4">
        <w:t>population</w:t>
      </w:r>
      <w:proofErr w:type="gramEnd"/>
      <w:r w:rsidR="00A2148D" w:rsidRPr="00302EB4">
        <w:t xml:space="preserve"> and comparators</w:t>
      </w:r>
    </w:p>
    <w:p w14:paraId="1C7A02FE" w14:textId="20BAB904" w:rsidR="00723AF0" w:rsidRPr="00302EB4" w:rsidRDefault="00DB1CAB" w:rsidP="004A28D5">
      <w:pPr>
        <w:pStyle w:val="Heading3"/>
      </w:pPr>
      <w:r w:rsidRPr="00302EB4">
        <w:t xml:space="preserve">Ozanimod </w:t>
      </w:r>
      <w:r w:rsidR="00413DC1">
        <w:t>is</w:t>
      </w:r>
      <w:r w:rsidR="00413DC1" w:rsidRPr="00302EB4">
        <w:t xml:space="preserve"> </w:t>
      </w:r>
      <w:r w:rsidRPr="00302EB4">
        <w:t xml:space="preserve">likely </w:t>
      </w:r>
      <w:r w:rsidR="00413DC1">
        <w:t xml:space="preserve">to </w:t>
      </w:r>
      <w:r w:rsidRPr="00302EB4">
        <w:t>be used</w:t>
      </w:r>
      <w:r w:rsidR="00CC3A10" w:rsidRPr="00302EB4">
        <w:t xml:space="preserve"> a</w:t>
      </w:r>
      <w:r w:rsidR="00AE7EA9" w:rsidRPr="00302EB4">
        <w:t>s a</w:t>
      </w:r>
      <w:r w:rsidR="00CC3A10" w:rsidRPr="00302EB4">
        <w:t xml:space="preserve"> first</w:t>
      </w:r>
      <w:r w:rsidR="007469B9" w:rsidRPr="00302EB4">
        <w:t>-</w:t>
      </w:r>
      <w:r w:rsidR="00CC3A10" w:rsidRPr="00302EB4">
        <w:t xml:space="preserve"> or second</w:t>
      </w:r>
      <w:r w:rsidR="007469B9" w:rsidRPr="00302EB4">
        <w:t>-</w:t>
      </w:r>
      <w:r w:rsidR="00CC3A10" w:rsidRPr="00302EB4">
        <w:t>line</w:t>
      </w:r>
      <w:r w:rsidR="00AE7EA9" w:rsidRPr="00302EB4">
        <w:t xml:space="preserve"> treatment</w:t>
      </w:r>
      <w:r w:rsidRPr="00302EB4">
        <w:t xml:space="preserve"> </w:t>
      </w:r>
      <w:r w:rsidR="00CD2ECC">
        <w:t>for</w:t>
      </w:r>
      <w:r w:rsidRPr="00302EB4">
        <w:t xml:space="preserve"> active relapsing–remitting multiple </w:t>
      </w:r>
      <w:proofErr w:type="gramStart"/>
      <w:r w:rsidRPr="00302EB4">
        <w:t>sclerosis</w:t>
      </w:r>
      <w:proofErr w:type="gramEnd"/>
    </w:p>
    <w:p w14:paraId="549725D1" w14:textId="7547B8B7" w:rsidR="006909A1" w:rsidRPr="006909A1" w:rsidRDefault="00D13314" w:rsidP="00AE7EA9">
      <w:pPr>
        <w:pStyle w:val="Numberedlevel2text"/>
        <w:rPr>
          <w:rStyle w:val="NICEnormalChar"/>
        </w:rPr>
      </w:pPr>
      <w:r>
        <w:rPr>
          <w:lang w:val="en-GB"/>
        </w:rPr>
        <w:t>O</w:t>
      </w:r>
      <w:r w:rsidR="00DB1CAB" w:rsidRPr="00302EB4">
        <w:rPr>
          <w:lang w:val="en-GB"/>
        </w:rPr>
        <w:t xml:space="preserve">zanimod’s marketing authorisation is for </w:t>
      </w:r>
      <w:r w:rsidR="00DB1CAB" w:rsidRPr="00302EB4">
        <w:rPr>
          <w:rStyle w:val="NICEnormalChar"/>
          <w:szCs w:val="28"/>
        </w:rPr>
        <w:t>active disease</w:t>
      </w:r>
      <w:r>
        <w:rPr>
          <w:rStyle w:val="NICEnormalChar"/>
          <w:szCs w:val="28"/>
        </w:rPr>
        <w:t>,</w:t>
      </w:r>
      <w:r w:rsidR="00DB1CAB" w:rsidRPr="00302EB4">
        <w:rPr>
          <w:rStyle w:val="NICEnormalChar"/>
          <w:szCs w:val="28"/>
        </w:rPr>
        <w:t xml:space="preserve"> as defined by clinical or imaging features. The company explained that </w:t>
      </w:r>
      <w:r w:rsidR="00A856FA">
        <w:rPr>
          <w:rStyle w:val="NICEnormalChar"/>
          <w:szCs w:val="28"/>
        </w:rPr>
        <w:t xml:space="preserve">the </w:t>
      </w:r>
      <w:r w:rsidR="00DB1CAB" w:rsidRPr="00302EB4">
        <w:rPr>
          <w:rStyle w:val="NICEnormalChar"/>
          <w:szCs w:val="28"/>
        </w:rPr>
        <w:t>ozanimod clinical trial</w:t>
      </w:r>
      <w:r w:rsidR="00A856FA">
        <w:rPr>
          <w:rStyle w:val="NICEnormalChar"/>
          <w:szCs w:val="28"/>
        </w:rPr>
        <w:t>s</w:t>
      </w:r>
      <w:r w:rsidR="00DB1CAB" w:rsidRPr="00302EB4">
        <w:rPr>
          <w:rStyle w:val="NICEnormalChar"/>
          <w:szCs w:val="28"/>
        </w:rPr>
        <w:t xml:space="preserve"> included people </w:t>
      </w:r>
      <w:r w:rsidR="006B2B79" w:rsidRPr="00302EB4">
        <w:rPr>
          <w:rStyle w:val="NICEnormalChar"/>
          <w:szCs w:val="28"/>
        </w:rPr>
        <w:t>who had active disease</w:t>
      </w:r>
      <w:r w:rsidR="002B1D69">
        <w:rPr>
          <w:rStyle w:val="NICEnormalChar"/>
          <w:szCs w:val="28"/>
        </w:rPr>
        <w:t>,</w:t>
      </w:r>
      <w:r w:rsidR="006B2B79" w:rsidRPr="00302EB4">
        <w:rPr>
          <w:rStyle w:val="NICEnormalChar"/>
          <w:szCs w:val="28"/>
        </w:rPr>
        <w:t xml:space="preserve"> defined as</w:t>
      </w:r>
      <w:r w:rsidR="006909A1">
        <w:rPr>
          <w:rStyle w:val="NICEnormalChar"/>
          <w:szCs w:val="28"/>
        </w:rPr>
        <w:t>:</w:t>
      </w:r>
    </w:p>
    <w:p w14:paraId="585F0966" w14:textId="6B8C7757" w:rsidR="006909A1" w:rsidRPr="006909A1" w:rsidRDefault="006B2B79" w:rsidP="006909A1">
      <w:pPr>
        <w:pStyle w:val="Bulletindent1"/>
        <w:rPr>
          <w:rStyle w:val="NICEnormalChar"/>
        </w:rPr>
      </w:pPr>
      <w:r w:rsidRPr="00302EB4">
        <w:rPr>
          <w:rStyle w:val="NICEnormalChar"/>
          <w:szCs w:val="28"/>
        </w:rPr>
        <w:t>at least 1</w:t>
      </w:r>
      <w:r w:rsidR="00CD2ECC">
        <w:rPr>
          <w:rStyle w:val="NICEnormalChar"/>
          <w:szCs w:val="28"/>
        </w:rPr>
        <w:t> </w:t>
      </w:r>
      <w:r w:rsidRPr="00302EB4">
        <w:rPr>
          <w:rStyle w:val="NICEnormalChar"/>
          <w:szCs w:val="28"/>
        </w:rPr>
        <w:t>relapse within the past year or</w:t>
      </w:r>
    </w:p>
    <w:p w14:paraId="686B232F" w14:textId="2976ABFF" w:rsidR="006909A1" w:rsidRPr="006909A1" w:rsidRDefault="00CC3A10" w:rsidP="00004D16">
      <w:pPr>
        <w:pStyle w:val="Bulletindent1last"/>
        <w:rPr>
          <w:rStyle w:val="NICEnormalChar"/>
        </w:rPr>
      </w:pPr>
      <w:r w:rsidRPr="00302EB4">
        <w:rPr>
          <w:rStyle w:val="NICEnormalChar"/>
          <w:szCs w:val="28"/>
        </w:rPr>
        <w:t xml:space="preserve">at least </w:t>
      </w:r>
      <w:r w:rsidR="006B2B79" w:rsidRPr="00302EB4">
        <w:rPr>
          <w:rStyle w:val="NICEnormalChar"/>
          <w:szCs w:val="28"/>
        </w:rPr>
        <w:t>1</w:t>
      </w:r>
      <w:r w:rsidR="00CD2ECC">
        <w:rPr>
          <w:rStyle w:val="NICEnormalChar"/>
          <w:szCs w:val="28"/>
        </w:rPr>
        <w:t> </w:t>
      </w:r>
      <w:r w:rsidR="006B2B79" w:rsidRPr="00302EB4">
        <w:rPr>
          <w:rStyle w:val="NICEnormalChar"/>
          <w:szCs w:val="28"/>
        </w:rPr>
        <w:t>relapse within the last 2</w:t>
      </w:r>
      <w:r w:rsidR="00CD2ECC">
        <w:rPr>
          <w:rStyle w:val="NICEnormalChar"/>
          <w:szCs w:val="28"/>
        </w:rPr>
        <w:t> </w:t>
      </w:r>
      <w:r w:rsidR="006B2B79" w:rsidRPr="00302EB4">
        <w:rPr>
          <w:rStyle w:val="NICEnormalChar"/>
          <w:szCs w:val="28"/>
        </w:rPr>
        <w:t xml:space="preserve">years </w:t>
      </w:r>
      <w:r w:rsidRPr="00302EB4">
        <w:rPr>
          <w:rStyle w:val="NICEnormalChar"/>
          <w:szCs w:val="28"/>
        </w:rPr>
        <w:t>and</w:t>
      </w:r>
      <w:r w:rsidR="006B2B79" w:rsidRPr="00302EB4">
        <w:rPr>
          <w:rStyle w:val="NICEnormalChar"/>
          <w:szCs w:val="28"/>
        </w:rPr>
        <w:t xml:space="preserve"> evidence of at least 1</w:t>
      </w:r>
      <w:r w:rsidR="00CD2ECC">
        <w:rPr>
          <w:rStyle w:val="NICEnormalChar"/>
          <w:szCs w:val="28"/>
        </w:rPr>
        <w:t> </w:t>
      </w:r>
      <w:r w:rsidR="006B2B79" w:rsidRPr="00302EB4">
        <w:rPr>
          <w:rStyle w:val="NICEnormalChar"/>
          <w:szCs w:val="28"/>
        </w:rPr>
        <w:t>gadolinium-enhancing lesion in the last year.</w:t>
      </w:r>
    </w:p>
    <w:p w14:paraId="73EE1C96" w14:textId="0258DED6" w:rsidR="003B205C" w:rsidRPr="003B205C" w:rsidRDefault="00763AB5" w:rsidP="00004D16">
      <w:pPr>
        <w:pStyle w:val="NICEnormalindented"/>
        <w:rPr>
          <w:rStyle w:val="NICEnormalChar"/>
          <w:bCs/>
          <w:iCs/>
        </w:rPr>
      </w:pPr>
      <w:r>
        <w:rPr>
          <w:rStyle w:val="NICEnormalChar"/>
          <w:szCs w:val="28"/>
        </w:rPr>
        <w:t>T</w:t>
      </w:r>
      <w:r w:rsidR="00CC3A10" w:rsidRPr="00302EB4">
        <w:rPr>
          <w:rStyle w:val="NICEnormalChar"/>
          <w:szCs w:val="28"/>
        </w:rPr>
        <w:t xml:space="preserve">he company </w:t>
      </w:r>
      <w:r w:rsidR="00A36F0F">
        <w:rPr>
          <w:rStyle w:val="NICEnormalChar"/>
          <w:szCs w:val="28"/>
        </w:rPr>
        <w:t xml:space="preserve">originally </w:t>
      </w:r>
      <w:r w:rsidR="002F4A69" w:rsidRPr="00302EB4">
        <w:rPr>
          <w:rStyle w:val="NICEnormalChar"/>
          <w:szCs w:val="28"/>
        </w:rPr>
        <w:t>positioned</w:t>
      </w:r>
      <w:r w:rsidR="0030717B" w:rsidRPr="00302EB4">
        <w:rPr>
          <w:rStyle w:val="NICEnormalChar"/>
          <w:szCs w:val="28"/>
        </w:rPr>
        <w:t xml:space="preserve"> ozanimod</w:t>
      </w:r>
      <w:r w:rsidR="002F4A69" w:rsidRPr="00302EB4">
        <w:rPr>
          <w:rStyle w:val="NICEnormalChar"/>
          <w:szCs w:val="28"/>
        </w:rPr>
        <w:t xml:space="preserve"> as a first-line treatment, stating it would not </w:t>
      </w:r>
      <w:r w:rsidR="0030717B" w:rsidRPr="00302EB4">
        <w:rPr>
          <w:rStyle w:val="NICEnormalChar"/>
          <w:szCs w:val="28"/>
        </w:rPr>
        <w:t xml:space="preserve">be used </w:t>
      </w:r>
      <w:r w:rsidR="00CD2ECC">
        <w:rPr>
          <w:rStyle w:val="NICEnormalChar"/>
          <w:szCs w:val="28"/>
        </w:rPr>
        <w:t>for</w:t>
      </w:r>
      <w:r w:rsidR="0030717B" w:rsidRPr="00302EB4">
        <w:rPr>
          <w:rStyle w:val="NICEnormalChar"/>
          <w:szCs w:val="28"/>
        </w:rPr>
        <w:t xml:space="preserve"> highly active or rapidly evolving severe</w:t>
      </w:r>
      <w:r w:rsidR="00CD2ECC">
        <w:rPr>
          <w:rStyle w:val="NICEnormalChar"/>
          <w:szCs w:val="28"/>
        </w:rPr>
        <w:t xml:space="preserve"> disease.</w:t>
      </w:r>
      <w:r w:rsidR="002F4A69" w:rsidRPr="00302EB4">
        <w:rPr>
          <w:rStyle w:val="NICEnormalChar"/>
          <w:szCs w:val="28"/>
        </w:rPr>
        <w:t xml:space="preserve"> </w:t>
      </w:r>
      <w:proofErr w:type="gramStart"/>
      <w:r w:rsidR="00CD2ECC">
        <w:rPr>
          <w:rStyle w:val="NICEnormalChar"/>
          <w:szCs w:val="28"/>
        </w:rPr>
        <w:t>So</w:t>
      </w:r>
      <w:proofErr w:type="gramEnd"/>
      <w:r w:rsidR="00CD2ECC">
        <w:rPr>
          <w:rStyle w:val="NICEnormalChar"/>
          <w:szCs w:val="28"/>
        </w:rPr>
        <w:t xml:space="preserve"> it</w:t>
      </w:r>
      <w:r w:rsidR="00CD2ECC" w:rsidRPr="00302EB4">
        <w:rPr>
          <w:rStyle w:val="NICEnormalChar"/>
          <w:szCs w:val="28"/>
        </w:rPr>
        <w:t xml:space="preserve"> </w:t>
      </w:r>
      <w:r w:rsidR="00FF0CDD" w:rsidRPr="00302EB4">
        <w:rPr>
          <w:rStyle w:val="NICEnormalChar"/>
          <w:szCs w:val="28"/>
        </w:rPr>
        <w:t>chose</w:t>
      </w:r>
      <w:r w:rsidR="000E5BF6" w:rsidRPr="00302EB4">
        <w:rPr>
          <w:rStyle w:val="NICEnormalChar"/>
          <w:szCs w:val="28"/>
        </w:rPr>
        <w:t xml:space="preserve"> the</w:t>
      </w:r>
      <w:r w:rsidR="00FF0CDD" w:rsidRPr="00302EB4">
        <w:rPr>
          <w:rStyle w:val="NICEnormalChar"/>
          <w:szCs w:val="28"/>
        </w:rPr>
        <w:t xml:space="preserve"> comparators</w:t>
      </w:r>
      <w:r w:rsidR="000E5BF6" w:rsidRPr="00302EB4">
        <w:rPr>
          <w:rStyle w:val="NICEnormalChar"/>
          <w:szCs w:val="28"/>
        </w:rPr>
        <w:t xml:space="preserve"> for this appraisal</w:t>
      </w:r>
      <w:r w:rsidR="00FF0CDD" w:rsidRPr="00302EB4">
        <w:rPr>
          <w:rStyle w:val="NICEnormalChar"/>
          <w:szCs w:val="28"/>
        </w:rPr>
        <w:t xml:space="preserve"> accordingly (see section</w:t>
      </w:r>
      <w:r w:rsidR="00D35879">
        <w:rPr>
          <w:rStyle w:val="NICEnormalChar"/>
          <w:szCs w:val="28"/>
        </w:rPr>
        <w:t> </w:t>
      </w:r>
      <w:r w:rsidR="006A57F2">
        <w:rPr>
          <w:rStyle w:val="NICEnormalChar"/>
          <w:szCs w:val="28"/>
        </w:rPr>
        <w:t>3.3</w:t>
      </w:r>
      <w:r w:rsidR="00FF0CDD" w:rsidRPr="00302EB4">
        <w:rPr>
          <w:rStyle w:val="NICEnormalChar"/>
          <w:szCs w:val="28"/>
        </w:rPr>
        <w:t xml:space="preserve">). </w:t>
      </w:r>
      <w:r w:rsidR="00CC3A10" w:rsidRPr="00302EB4">
        <w:rPr>
          <w:rStyle w:val="NICEnormalChar"/>
          <w:szCs w:val="28"/>
        </w:rPr>
        <w:t xml:space="preserve">The ERG agreed with the company’s </w:t>
      </w:r>
      <w:r w:rsidR="000E5BF6" w:rsidRPr="00302EB4">
        <w:rPr>
          <w:rStyle w:val="NICEnormalChar"/>
          <w:szCs w:val="28"/>
        </w:rPr>
        <w:t>positioning of ozanimod</w:t>
      </w:r>
      <w:r w:rsidR="00CC3A10" w:rsidRPr="00302EB4">
        <w:rPr>
          <w:rStyle w:val="NICEnormalChar"/>
          <w:szCs w:val="28"/>
        </w:rPr>
        <w:t xml:space="preserve">. </w:t>
      </w:r>
      <w:r w:rsidR="004D1A95" w:rsidRPr="00302EB4">
        <w:t xml:space="preserve">At technical </w:t>
      </w:r>
      <w:proofErr w:type="gramStart"/>
      <w:r w:rsidR="004D1A95" w:rsidRPr="00302EB4">
        <w:t>engagement</w:t>
      </w:r>
      <w:proofErr w:type="gramEnd"/>
      <w:r w:rsidR="004D1A95" w:rsidRPr="00302EB4">
        <w:rPr>
          <w:rStyle w:val="NICEnormalChar"/>
          <w:szCs w:val="28"/>
        </w:rPr>
        <w:t xml:space="preserve"> the company updated its positioning of ozanimod </w:t>
      </w:r>
      <w:r w:rsidR="0044686D" w:rsidRPr="00302EB4">
        <w:rPr>
          <w:rStyle w:val="NICEnormalChar"/>
          <w:szCs w:val="28"/>
        </w:rPr>
        <w:t>to</w:t>
      </w:r>
      <w:r w:rsidR="003B205C">
        <w:rPr>
          <w:rStyle w:val="NICEnormalChar"/>
          <w:szCs w:val="28"/>
        </w:rPr>
        <w:t>:</w:t>
      </w:r>
    </w:p>
    <w:p w14:paraId="5A9067A1" w14:textId="3CFD1BB2" w:rsidR="003B205C" w:rsidRDefault="004D1A95" w:rsidP="003B205C">
      <w:pPr>
        <w:pStyle w:val="Bulletindent1"/>
      </w:pPr>
      <w:r w:rsidRPr="00302EB4">
        <w:t>a first</w:t>
      </w:r>
      <w:r w:rsidR="00CD2ECC">
        <w:t>-</w:t>
      </w:r>
      <w:r w:rsidRPr="00302EB4">
        <w:t>line t</w:t>
      </w:r>
      <w:r w:rsidR="00CD2ECC">
        <w:t>reatment</w:t>
      </w:r>
      <w:r w:rsidRPr="00302EB4">
        <w:t xml:space="preserve"> </w:t>
      </w:r>
      <w:r w:rsidR="007D65D9">
        <w:t>when</w:t>
      </w:r>
      <w:r w:rsidRPr="00302EB4">
        <w:t xml:space="preserve"> infusion or injectable </w:t>
      </w:r>
      <w:r w:rsidR="00B61AB5">
        <w:t>treatment</w:t>
      </w:r>
      <w:r w:rsidR="00B61AB5" w:rsidRPr="00302EB4">
        <w:t xml:space="preserve">s </w:t>
      </w:r>
      <w:r w:rsidRPr="00302EB4">
        <w:t xml:space="preserve">are not suitable because of administration issues or </w:t>
      </w:r>
      <w:r w:rsidR="007D65D9">
        <w:t>when</w:t>
      </w:r>
      <w:r w:rsidRPr="00302EB4">
        <w:t xml:space="preserve"> oral treatments </w:t>
      </w:r>
      <w:r w:rsidR="007D65D9">
        <w:t xml:space="preserve">are preferred </w:t>
      </w:r>
      <w:r w:rsidRPr="00302EB4">
        <w:t>and</w:t>
      </w:r>
    </w:p>
    <w:p w14:paraId="6575D1F2" w14:textId="26696BD2" w:rsidR="003B205C" w:rsidRDefault="004D1A95" w:rsidP="00236778">
      <w:pPr>
        <w:pStyle w:val="Bulletindent1last"/>
      </w:pPr>
      <w:r w:rsidRPr="00302EB4">
        <w:t>a second</w:t>
      </w:r>
      <w:r w:rsidR="003B205C">
        <w:t>-</w:t>
      </w:r>
      <w:r w:rsidRPr="00302EB4">
        <w:t>line t</w:t>
      </w:r>
      <w:r w:rsidR="003B205C">
        <w:t>reatment</w:t>
      </w:r>
      <w:r w:rsidRPr="00302EB4">
        <w:t xml:space="preserve"> </w:t>
      </w:r>
      <w:r w:rsidR="007D65D9">
        <w:t>when the disease</w:t>
      </w:r>
      <w:r w:rsidRPr="00302EB4">
        <w:t xml:space="preserve"> ha</w:t>
      </w:r>
      <w:r w:rsidR="007D65D9">
        <w:t>s</w:t>
      </w:r>
      <w:r w:rsidRPr="00302EB4">
        <w:t xml:space="preserve"> not responded to </w:t>
      </w:r>
      <w:r w:rsidR="003B205C">
        <w:t>1</w:t>
      </w:r>
      <w:r w:rsidR="00732A1A">
        <w:t> </w:t>
      </w:r>
      <w:r w:rsidRPr="00302EB4">
        <w:t xml:space="preserve">or more infusion or injectable </w:t>
      </w:r>
      <w:r w:rsidR="00B61AB5">
        <w:t>treatment</w:t>
      </w:r>
      <w:r w:rsidRPr="00302EB4">
        <w:t>.</w:t>
      </w:r>
    </w:p>
    <w:p w14:paraId="2E50CB7D" w14:textId="21012281" w:rsidR="0030717B" w:rsidRPr="00302EB4" w:rsidRDefault="00AE2538" w:rsidP="00236778">
      <w:pPr>
        <w:pStyle w:val="NICEnormalindented"/>
        <w:rPr>
          <w:rStyle w:val="NICEnormalChar"/>
          <w:bCs/>
          <w:iCs/>
        </w:rPr>
      </w:pPr>
      <w:r w:rsidRPr="00302EB4">
        <w:rPr>
          <w:rStyle w:val="NICEnormalChar"/>
          <w:szCs w:val="28"/>
        </w:rPr>
        <w:t>The</w:t>
      </w:r>
      <w:r w:rsidR="002E19B7">
        <w:rPr>
          <w:rStyle w:val="NICEnormalChar"/>
          <w:szCs w:val="28"/>
        </w:rPr>
        <w:t xml:space="preserve"> clinical experts</w:t>
      </w:r>
      <w:r w:rsidRPr="00302EB4">
        <w:rPr>
          <w:rStyle w:val="NICEnormalChar"/>
          <w:szCs w:val="28"/>
        </w:rPr>
        <w:t xml:space="preserve"> agreed </w:t>
      </w:r>
      <w:r w:rsidR="002E19B7">
        <w:rPr>
          <w:rStyle w:val="NICEnormalChar"/>
          <w:szCs w:val="28"/>
        </w:rPr>
        <w:t>that ozanimod</w:t>
      </w:r>
      <w:r w:rsidR="002E19B7" w:rsidRPr="00302EB4">
        <w:rPr>
          <w:rStyle w:val="NICEnormalChar"/>
          <w:szCs w:val="28"/>
        </w:rPr>
        <w:t xml:space="preserve"> </w:t>
      </w:r>
      <w:r w:rsidR="0044686D" w:rsidRPr="00302EB4">
        <w:rPr>
          <w:rStyle w:val="NICEnormalChar"/>
          <w:szCs w:val="28"/>
        </w:rPr>
        <w:t>would be of value as a first-line treatment, because there are no</w:t>
      </w:r>
      <w:r w:rsidR="003F2C49" w:rsidRPr="00302EB4">
        <w:rPr>
          <w:rStyle w:val="NICEnormalChar"/>
          <w:szCs w:val="28"/>
        </w:rPr>
        <w:t xml:space="preserve"> oral drug</w:t>
      </w:r>
      <w:r w:rsidR="0044686D" w:rsidRPr="00302EB4">
        <w:rPr>
          <w:rStyle w:val="NICEnormalChar"/>
          <w:szCs w:val="28"/>
        </w:rPr>
        <w:t>s</w:t>
      </w:r>
      <w:r w:rsidR="003F2C49" w:rsidRPr="00302EB4">
        <w:rPr>
          <w:rStyle w:val="NICEnormalChar"/>
          <w:szCs w:val="28"/>
        </w:rPr>
        <w:t xml:space="preserve"> </w:t>
      </w:r>
      <w:r w:rsidR="0044686D" w:rsidRPr="00302EB4">
        <w:rPr>
          <w:rStyle w:val="NICEnormalChar"/>
          <w:szCs w:val="28"/>
        </w:rPr>
        <w:t xml:space="preserve">available </w:t>
      </w:r>
      <w:r w:rsidR="003F2C49" w:rsidRPr="00302EB4">
        <w:rPr>
          <w:rStyle w:val="NICEnormalChar"/>
          <w:szCs w:val="28"/>
        </w:rPr>
        <w:t>a</w:t>
      </w:r>
      <w:r w:rsidR="00C473A2">
        <w:rPr>
          <w:rStyle w:val="NICEnormalChar"/>
          <w:szCs w:val="28"/>
        </w:rPr>
        <w:t>s</w:t>
      </w:r>
      <w:r w:rsidR="003F2C49" w:rsidRPr="00302EB4">
        <w:rPr>
          <w:rStyle w:val="NICEnormalChar"/>
          <w:szCs w:val="28"/>
        </w:rPr>
        <w:t xml:space="preserve"> first</w:t>
      </w:r>
      <w:r w:rsidR="00C473A2">
        <w:rPr>
          <w:rStyle w:val="NICEnormalChar"/>
          <w:szCs w:val="28"/>
        </w:rPr>
        <w:t>-</w:t>
      </w:r>
      <w:r w:rsidR="003F2C49" w:rsidRPr="00302EB4">
        <w:rPr>
          <w:rStyle w:val="NICEnormalChar"/>
          <w:szCs w:val="28"/>
        </w:rPr>
        <w:t xml:space="preserve">line </w:t>
      </w:r>
      <w:r w:rsidR="00C473A2">
        <w:rPr>
          <w:rStyle w:val="NICEnormalChar"/>
          <w:szCs w:val="28"/>
        </w:rPr>
        <w:t xml:space="preserve">treatment </w:t>
      </w:r>
      <w:r w:rsidR="003F2C49" w:rsidRPr="00302EB4">
        <w:rPr>
          <w:rStyle w:val="NICEnormalChar"/>
          <w:szCs w:val="28"/>
        </w:rPr>
        <w:t>for people who have only had 1</w:t>
      </w:r>
      <w:r w:rsidR="008B17F1">
        <w:rPr>
          <w:rStyle w:val="NICEnormalChar"/>
          <w:szCs w:val="28"/>
        </w:rPr>
        <w:t> </w:t>
      </w:r>
      <w:r w:rsidR="003F2C49" w:rsidRPr="00302EB4">
        <w:rPr>
          <w:rStyle w:val="NICEnormalChar"/>
          <w:szCs w:val="28"/>
        </w:rPr>
        <w:t>relapse in the last 2</w:t>
      </w:r>
      <w:r w:rsidR="008B17F1">
        <w:rPr>
          <w:rStyle w:val="NICEnormalChar"/>
          <w:szCs w:val="28"/>
        </w:rPr>
        <w:t> </w:t>
      </w:r>
      <w:r w:rsidR="003F2C49" w:rsidRPr="00302EB4">
        <w:rPr>
          <w:rStyle w:val="NICEnormalChar"/>
          <w:szCs w:val="28"/>
        </w:rPr>
        <w:t xml:space="preserve">years. </w:t>
      </w:r>
      <w:r w:rsidR="00BB3086">
        <w:rPr>
          <w:rStyle w:val="NICEnormalChar"/>
          <w:szCs w:val="28"/>
        </w:rPr>
        <w:t xml:space="preserve">They also recognised that ozanimod would be useful </w:t>
      </w:r>
      <w:r w:rsidR="005D0C39">
        <w:rPr>
          <w:rStyle w:val="NICEnormalChar"/>
          <w:szCs w:val="28"/>
        </w:rPr>
        <w:t>as a</w:t>
      </w:r>
      <w:r w:rsidR="00BB3086">
        <w:rPr>
          <w:rStyle w:val="NICEnormalChar"/>
          <w:szCs w:val="28"/>
        </w:rPr>
        <w:t xml:space="preserve"> second</w:t>
      </w:r>
      <w:r w:rsidR="005D0C39">
        <w:rPr>
          <w:rStyle w:val="NICEnormalChar"/>
          <w:szCs w:val="28"/>
        </w:rPr>
        <w:t>-</w:t>
      </w:r>
      <w:r w:rsidR="00BB3086">
        <w:rPr>
          <w:rStyle w:val="NICEnormalChar"/>
          <w:szCs w:val="28"/>
        </w:rPr>
        <w:t xml:space="preserve">line </w:t>
      </w:r>
      <w:r w:rsidR="005D0C39">
        <w:rPr>
          <w:rStyle w:val="NICEnormalChar"/>
          <w:szCs w:val="28"/>
        </w:rPr>
        <w:t xml:space="preserve">treatment </w:t>
      </w:r>
      <w:r w:rsidR="006D6EB2">
        <w:rPr>
          <w:rStyle w:val="NICEnormalChar"/>
          <w:szCs w:val="28"/>
        </w:rPr>
        <w:t>as another option</w:t>
      </w:r>
      <w:r w:rsidR="00FF0CDD" w:rsidRPr="00302EB4">
        <w:rPr>
          <w:rStyle w:val="NICEnormalChar"/>
          <w:szCs w:val="28"/>
        </w:rPr>
        <w:t xml:space="preserve"> </w:t>
      </w:r>
      <w:r w:rsidR="006D6EB2">
        <w:rPr>
          <w:rStyle w:val="NICEnormalChar"/>
          <w:szCs w:val="28"/>
        </w:rPr>
        <w:t xml:space="preserve">to </w:t>
      </w:r>
      <w:r w:rsidR="00340360" w:rsidRPr="00302EB4">
        <w:rPr>
          <w:rStyle w:val="NICEnormalChar"/>
          <w:szCs w:val="28"/>
        </w:rPr>
        <w:t>fingolimod</w:t>
      </w:r>
      <w:r w:rsidR="006D6EB2">
        <w:rPr>
          <w:rStyle w:val="NICEnormalChar"/>
          <w:szCs w:val="28"/>
        </w:rPr>
        <w:t xml:space="preserve">, </w:t>
      </w:r>
      <w:r w:rsidR="00340360" w:rsidRPr="00302EB4">
        <w:rPr>
          <w:rStyle w:val="NICEnormalChar"/>
          <w:szCs w:val="28"/>
        </w:rPr>
        <w:t>the only</w:t>
      </w:r>
      <w:r w:rsidR="000F356B" w:rsidRPr="00302EB4">
        <w:rPr>
          <w:rStyle w:val="NICEnormalChar"/>
          <w:szCs w:val="28"/>
        </w:rPr>
        <w:t xml:space="preserve"> sphingosine</w:t>
      </w:r>
      <w:r w:rsidR="00FC57A5">
        <w:rPr>
          <w:rStyle w:val="NICEnormalChar"/>
          <w:szCs w:val="28"/>
        </w:rPr>
        <w:noBreakHyphen/>
      </w:r>
      <w:r w:rsidR="000F356B" w:rsidRPr="00302EB4">
        <w:rPr>
          <w:rStyle w:val="NICEnormalChar"/>
          <w:szCs w:val="28"/>
        </w:rPr>
        <w:t>1</w:t>
      </w:r>
      <w:r w:rsidR="00FC57A5">
        <w:rPr>
          <w:rStyle w:val="NICEnormalChar"/>
          <w:szCs w:val="28"/>
        </w:rPr>
        <w:noBreakHyphen/>
      </w:r>
      <w:r w:rsidR="000F356B" w:rsidRPr="00302EB4">
        <w:rPr>
          <w:rStyle w:val="NICEnormalChar"/>
          <w:szCs w:val="28"/>
        </w:rPr>
        <w:t>phosphate receptor (</w:t>
      </w:r>
      <w:r w:rsidR="00340360" w:rsidRPr="00302EB4">
        <w:rPr>
          <w:rStyle w:val="NICEnormalChar"/>
          <w:szCs w:val="28"/>
        </w:rPr>
        <w:t>S1PR</w:t>
      </w:r>
      <w:r w:rsidR="000F356B" w:rsidRPr="00302EB4">
        <w:rPr>
          <w:rStyle w:val="NICEnormalChar"/>
          <w:szCs w:val="28"/>
        </w:rPr>
        <w:t>)</w:t>
      </w:r>
      <w:r w:rsidR="00340360" w:rsidRPr="00302EB4">
        <w:rPr>
          <w:rStyle w:val="NICEnormalChar"/>
          <w:szCs w:val="28"/>
        </w:rPr>
        <w:t xml:space="preserve"> modulator currently available for </w:t>
      </w:r>
      <w:r w:rsidR="002637B0">
        <w:rPr>
          <w:rStyle w:val="NICEnormalChar"/>
          <w:szCs w:val="28"/>
        </w:rPr>
        <w:t>relapsing–remitting multiple sclerosis</w:t>
      </w:r>
      <w:r w:rsidR="004C113A">
        <w:rPr>
          <w:rStyle w:val="NICEnormalChar"/>
          <w:szCs w:val="28"/>
        </w:rPr>
        <w:t xml:space="preserve">. </w:t>
      </w:r>
      <w:r w:rsidR="00F81282">
        <w:rPr>
          <w:rStyle w:val="NICEnormalChar"/>
          <w:szCs w:val="28"/>
        </w:rPr>
        <w:t>Ozanimod</w:t>
      </w:r>
      <w:r w:rsidR="004C113A">
        <w:rPr>
          <w:rStyle w:val="NICEnormalChar"/>
          <w:szCs w:val="28"/>
        </w:rPr>
        <w:t xml:space="preserve"> </w:t>
      </w:r>
      <w:r w:rsidR="00340360" w:rsidRPr="00302EB4">
        <w:rPr>
          <w:rStyle w:val="NICEnormalChar"/>
          <w:szCs w:val="28"/>
        </w:rPr>
        <w:t xml:space="preserve">is </w:t>
      </w:r>
      <w:r w:rsidR="00F81282">
        <w:rPr>
          <w:rStyle w:val="NICEnormalChar"/>
          <w:szCs w:val="28"/>
        </w:rPr>
        <w:t>also</w:t>
      </w:r>
      <w:r w:rsidR="00B019B0">
        <w:rPr>
          <w:rStyle w:val="NICEnormalChar"/>
          <w:szCs w:val="28"/>
        </w:rPr>
        <w:t xml:space="preserve"> </w:t>
      </w:r>
      <w:r w:rsidR="00340360" w:rsidRPr="00302EB4">
        <w:rPr>
          <w:rStyle w:val="NICEnormalChar"/>
          <w:szCs w:val="28"/>
        </w:rPr>
        <w:t xml:space="preserve">an S1PR </w:t>
      </w:r>
      <w:r w:rsidR="00236778" w:rsidRPr="00302EB4">
        <w:rPr>
          <w:rStyle w:val="NICEnormalChar"/>
          <w:szCs w:val="28"/>
        </w:rPr>
        <w:t>modulator</w:t>
      </w:r>
      <w:r w:rsidR="00236778">
        <w:rPr>
          <w:rStyle w:val="NICEnormalChar"/>
          <w:szCs w:val="28"/>
        </w:rPr>
        <w:t xml:space="preserve"> and</w:t>
      </w:r>
      <w:r w:rsidR="00340360" w:rsidRPr="00302EB4">
        <w:rPr>
          <w:rStyle w:val="NICEnormalChar"/>
          <w:szCs w:val="28"/>
        </w:rPr>
        <w:t xml:space="preserve"> does not have the same cardiac </w:t>
      </w:r>
      <w:r w:rsidR="00A346CE">
        <w:rPr>
          <w:rStyle w:val="NICEnormalChar"/>
          <w:szCs w:val="28"/>
        </w:rPr>
        <w:t xml:space="preserve">side </w:t>
      </w:r>
      <w:r w:rsidR="00340360" w:rsidRPr="00302EB4">
        <w:rPr>
          <w:rStyle w:val="NICEnormalChar"/>
          <w:szCs w:val="28"/>
        </w:rPr>
        <w:t>effects</w:t>
      </w:r>
      <w:r w:rsidR="00B019B0">
        <w:rPr>
          <w:rStyle w:val="NICEnormalChar"/>
          <w:szCs w:val="28"/>
        </w:rPr>
        <w:t xml:space="preserve"> as fingolimod.</w:t>
      </w:r>
      <w:r w:rsidR="00340360" w:rsidRPr="00302EB4">
        <w:rPr>
          <w:rStyle w:val="NICEnormalChar"/>
          <w:szCs w:val="28"/>
        </w:rPr>
        <w:t xml:space="preserve"> </w:t>
      </w:r>
      <w:r w:rsidR="00512626">
        <w:rPr>
          <w:rStyle w:val="NICEnormalChar"/>
          <w:szCs w:val="28"/>
        </w:rPr>
        <w:t>H</w:t>
      </w:r>
      <w:r w:rsidR="00B019B0">
        <w:rPr>
          <w:rStyle w:val="NICEnormalChar"/>
          <w:szCs w:val="28"/>
        </w:rPr>
        <w:t>aving a</w:t>
      </w:r>
      <w:r w:rsidR="00906047">
        <w:rPr>
          <w:rStyle w:val="NICEnormalChar"/>
          <w:szCs w:val="28"/>
        </w:rPr>
        <w:t xml:space="preserve">nother </w:t>
      </w:r>
      <w:r w:rsidR="00340360" w:rsidRPr="00302EB4">
        <w:rPr>
          <w:rStyle w:val="NICEnormalChar"/>
          <w:szCs w:val="28"/>
        </w:rPr>
        <w:t>first</w:t>
      </w:r>
      <w:r w:rsidR="005D0C39">
        <w:rPr>
          <w:rStyle w:val="NICEnormalChar"/>
          <w:szCs w:val="28"/>
        </w:rPr>
        <w:t>-</w:t>
      </w:r>
      <w:r w:rsidR="00340360" w:rsidRPr="00302EB4">
        <w:rPr>
          <w:rStyle w:val="NICEnormalChar"/>
          <w:szCs w:val="28"/>
        </w:rPr>
        <w:t xml:space="preserve"> and second</w:t>
      </w:r>
      <w:r w:rsidR="005D0C39">
        <w:rPr>
          <w:rStyle w:val="NICEnormalChar"/>
          <w:szCs w:val="28"/>
        </w:rPr>
        <w:t>-</w:t>
      </w:r>
      <w:r w:rsidR="00340360" w:rsidRPr="00302EB4">
        <w:rPr>
          <w:rStyle w:val="NICEnormalChar"/>
          <w:szCs w:val="28"/>
        </w:rPr>
        <w:t xml:space="preserve">line </w:t>
      </w:r>
      <w:r w:rsidR="005D0C39">
        <w:rPr>
          <w:rStyle w:val="NICEnormalChar"/>
          <w:szCs w:val="28"/>
        </w:rPr>
        <w:t xml:space="preserve">treatment </w:t>
      </w:r>
      <w:r w:rsidR="00344821">
        <w:rPr>
          <w:rStyle w:val="NICEnormalChar"/>
          <w:szCs w:val="28"/>
        </w:rPr>
        <w:t xml:space="preserve">option </w:t>
      </w:r>
      <w:r w:rsidR="00340360" w:rsidRPr="00302EB4">
        <w:rPr>
          <w:rStyle w:val="NICEnormalChar"/>
          <w:szCs w:val="28"/>
        </w:rPr>
        <w:t xml:space="preserve">would </w:t>
      </w:r>
      <w:r w:rsidR="00512626">
        <w:rPr>
          <w:rStyle w:val="NICEnormalChar"/>
          <w:szCs w:val="28"/>
        </w:rPr>
        <w:t>offer</w:t>
      </w:r>
      <w:r w:rsidR="0044686D" w:rsidRPr="00302EB4">
        <w:rPr>
          <w:rStyle w:val="NICEnormalChar"/>
          <w:szCs w:val="28"/>
        </w:rPr>
        <w:t xml:space="preserve"> p</w:t>
      </w:r>
      <w:r w:rsidR="00344821">
        <w:rPr>
          <w:rStyle w:val="NICEnormalChar"/>
          <w:szCs w:val="28"/>
        </w:rPr>
        <w:t>eople</w:t>
      </w:r>
      <w:r w:rsidR="0044686D" w:rsidRPr="00302EB4">
        <w:rPr>
          <w:rStyle w:val="NICEnormalChar"/>
          <w:szCs w:val="28"/>
        </w:rPr>
        <w:t xml:space="preserve"> </w:t>
      </w:r>
      <w:r w:rsidR="00512626">
        <w:rPr>
          <w:rStyle w:val="NICEnormalChar"/>
          <w:szCs w:val="28"/>
        </w:rPr>
        <w:t xml:space="preserve">more </w:t>
      </w:r>
      <w:r w:rsidR="0044686D" w:rsidRPr="00302EB4">
        <w:rPr>
          <w:rStyle w:val="NICEnormalChar"/>
          <w:szCs w:val="28"/>
        </w:rPr>
        <w:t>choice</w:t>
      </w:r>
      <w:r w:rsidR="00340360" w:rsidRPr="00302EB4">
        <w:rPr>
          <w:rStyle w:val="NICEnormalChar"/>
          <w:szCs w:val="28"/>
        </w:rPr>
        <w:t>.</w:t>
      </w:r>
      <w:r w:rsidR="00302EB4" w:rsidRPr="00302EB4">
        <w:t xml:space="preserve"> The company’s </w:t>
      </w:r>
      <w:r w:rsidR="00302EB4" w:rsidRPr="00302EB4">
        <w:lastRenderedPageBreak/>
        <w:t>submission states that ozanimod is not likely to be used in highly active disease</w:t>
      </w:r>
      <w:r w:rsidR="002E19B7">
        <w:t>.</w:t>
      </w:r>
      <w:r w:rsidR="00302EB4" w:rsidRPr="00302EB4">
        <w:t xml:space="preserve"> </w:t>
      </w:r>
      <w:r w:rsidR="002E19B7">
        <w:t>H</w:t>
      </w:r>
      <w:r w:rsidR="00302EB4" w:rsidRPr="00302EB4">
        <w:t>owever</w:t>
      </w:r>
      <w:r w:rsidR="002E19B7">
        <w:t>,</w:t>
      </w:r>
      <w:r w:rsidR="00302EB4" w:rsidRPr="00302EB4">
        <w:t xml:space="preserve"> this subtype of multiple sclerosis is often defined as disease that has inadequately responded to disease-modifying therapy. </w:t>
      </w:r>
      <w:r w:rsidR="009611BD">
        <w:t>So</w:t>
      </w:r>
      <w:r w:rsidR="00302EB4" w:rsidRPr="00302EB4">
        <w:t>, the company’s positioning of ozanimod a</w:t>
      </w:r>
      <w:r w:rsidR="005D0C39">
        <w:t>s a</w:t>
      </w:r>
      <w:r w:rsidR="00302EB4" w:rsidRPr="00302EB4">
        <w:t xml:space="preserve"> second</w:t>
      </w:r>
      <w:r w:rsidR="005D0C39">
        <w:t>-</w:t>
      </w:r>
      <w:r w:rsidR="00302EB4" w:rsidRPr="00302EB4">
        <w:t>line</w:t>
      </w:r>
      <w:r w:rsidR="005D0C39">
        <w:t xml:space="preserve"> treatment</w:t>
      </w:r>
      <w:r w:rsidR="00302EB4" w:rsidRPr="00302EB4">
        <w:t xml:space="preserve"> implies it would be used </w:t>
      </w:r>
      <w:r w:rsidR="002E19B7">
        <w:t>for</w:t>
      </w:r>
      <w:r w:rsidR="00302EB4" w:rsidRPr="00302EB4">
        <w:t xml:space="preserve"> highly active disease.</w:t>
      </w:r>
      <w:r w:rsidR="00AE7EA9" w:rsidRPr="00302EB4">
        <w:rPr>
          <w:rStyle w:val="NICEnormalChar"/>
          <w:szCs w:val="28"/>
        </w:rPr>
        <w:t xml:space="preserve"> </w:t>
      </w:r>
      <w:r w:rsidR="00302EB4" w:rsidRPr="00302EB4">
        <w:rPr>
          <w:rStyle w:val="NICEnormalChar"/>
          <w:szCs w:val="28"/>
        </w:rPr>
        <w:t xml:space="preserve">The clinical </w:t>
      </w:r>
      <w:r w:rsidR="00302EB4" w:rsidRPr="00302EB4">
        <w:t xml:space="preserve">experts explained that multiple sclerosis </w:t>
      </w:r>
      <w:r w:rsidR="002E19B7">
        <w:t xml:space="preserve">categorisations </w:t>
      </w:r>
      <w:r w:rsidR="00302EB4" w:rsidRPr="00302EB4">
        <w:t xml:space="preserve">are not always clearly defined and can be complex in </w:t>
      </w:r>
      <w:r w:rsidR="003070AF">
        <w:t>clinical</w:t>
      </w:r>
      <w:r w:rsidR="003070AF" w:rsidRPr="00302EB4">
        <w:t xml:space="preserve"> </w:t>
      </w:r>
      <w:r w:rsidR="00302EB4" w:rsidRPr="00302EB4">
        <w:t xml:space="preserve">practice. </w:t>
      </w:r>
      <w:r w:rsidR="0030717B" w:rsidRPr="00302EB4">
        <w:rPr>
          <w:rStyle w:val="NICEnormalChar"/>
          <w:szCs w:val="28"/>
        </w:rPr>
        <w:t xml:space="preserve">The committee concluded that ozanimod </w:t>
      </w:r>
      <w:r w:rsidR="009C46A9">
        <w:rPr>
          <w:rStyle w:val="NICEnormalChar"/>
          <w:szCs w:val="28"/>
        </w:rPr>
        <w:t>wa</w:t>
      </w:r>
      <w:r w:rsidR="009047A3">
        <w:rPr>
          <w:rStyle w:val="NICEnormalChar"/>
          <w:szCs w:val="28"/>
        </w:rPr>
        <w:t>s likely to be</w:t>
      </w:r>
      <w:r w:rsidR="0030717B" w:rsidRPr="00302EB4">
        <w:rPr>
          <w:rStyle w:val="NICEnormalChar"/>
          <w:szCs w:val="28"/>
        </w:rPr>
        <w:t xml:space="preserve"> used</w:t>
      </w:r>
      <w:r w:rsidR="00FF0CDD" w:rsidRPr="00302EB4">
        <w:rPr>
          <w:rStyle w:val="NICEnormalChar"/>
          <w:szCs w:val="28"/>
        </w:rPr>
        <w:t xml:space="preserve"> </w:t>
      </w:r>
      <w:r w:rsidR="00AE7EA9" w:rsidRPr="00302EB4">
        <w:rPr>
          <w:rStyle w:val="NICEnormalChar"/>
          <w:szCs w:val="28"/>
        </w:rPr>
        <w:t xml:space="preserve">as a </w:t>
      </w:r>
      <w:r w:rsidR="008B1476" w:rsidRPr="00302EB4">
        <w:rPr>
          <w:rStyle w:val="NICEnormalChar"/>
          <w:szCs w:val="28"/>
        </w:rPr>
        <w:t>first- or second-line</w:t>
      </w:r>
      <w:r w:rsidR="00AE7EA9" w:rsidRPr="00302EB4">
        <w:rPr>
          <w:rStyle w:val="NICEnormalChar"/>
          <w:szCs w:val="28"/>
        </w:rPr>
        <w:t xml:space="preserve"> treatment</w:t>
      </w:r>
      <w:r w:rsidR="0030717B" w:rsidRPr="00302EB4">
        <w:rPr>
          <w:rStyle w:val="NICEnormalChar"/>
          <w:szCs w:val="28"/>
        </w:rPr>
        <w:t xml:space="preserve"> in people who have active relapsing–remitting multiple sclerosis.</w:t>
      </w:r>
    </w:p>
    <w:p w14:paraId="0FD17AE8" w14:textId="56DC4C0C" w:rsidR="00643582" w:rsidRPr="00302EB4" w:rsidRDefault="00F0667F" w:rsidP="004A28D5">
      <w:pPr>
        <w:pStyle w:val="Heading3"/>
      </w:pPr>
      <w:r w:rsidRPr="00302EB4">
        <w:t xml:space="preserve">It </w:t>
      </w:r>
      <w:r w:rsidR="00413DC1">
        <w:t xml:space="preserve">is </w:t>
      </w:r>
      <w:r w:rsidRPr="00302EB4">
        <w:t xml:space="preserve">not appropriate to limit the population </w:t>
      </w:r>
      <w:r w:rsidR="003F2C49" w:rsidRPr="00302EB4">
        <w:t>to</w:t>
      </w:r>
      <w:r w:rsidRPr="00302EB4">
        <w:t xml:space="preserve"> people </w:t>
      </w:r>
      <w:r w:rsidR="00E7631F">
        <w:t>for whom an oral treatment is</w:t>
      </w:r>
      <w:r w:rsidRPr="00302EB4">
        <w:t xml:space="preserve"> suitable or </w:t>
      </w:r>
      <w:r w:rsidR="00E7631F">
        <w:t xml:space="preserve">who </w:t>
      </w:r>
      <w:r w:rsidRPr="00302EB4">
        <w:t>request</w:t>
      </w:r>
      <w:r w:rsidR="001D6D57">
        <w:t xml:space="preserve"> an oral </w:t>
      </w:r>
      <w:proofErr w:type="gramStart"/>
      <w:r w:rsidR="001D6D57">
        <w:t>treatment</w:t>
      </w:r>
      <w:proofErr w:type="gramEnd"/>
    </w:p>
    <w:p w14:paraId="3438F6E2" w14:textId="01F6055E" w:rsidR="003128E6" w:rsidRPr="00302EB4" w:rsidRDefault="001D615E" w:rsidP="00AE7EA9">
      <w:pPr>
        <w:pStyle w:val="Numberedlevel2text"/>
        <w:rPr>
          <w:lang w:val="en-GB"/>
        </w:rPr>
      </w:pPr>
      <w:r w:rsidRPr="00302EB4">
        <w:rPr>
          <w:lang w:val="en-GB"/>
        </w:rPr>
        <w:t>The</w:t>
      </w:r>
      <w:r w:rsidR="0057433D" w:rsidRPr="00302EB4">
        <w:rPr>
          <w:lang w:val="en-GB"/>
        </w:rPr>
        <w:t xml:space="preserve"> population in the company’s submission</w:t>
      </w:r>
      <w:r w:rsidR="00340360" w:rsidRPr="00302EB4">
        <w:rPr>
          <w:lang w:val="en-GB"/>
        </w:rPr>
        <w:t xml:space="preserve"> was </w:t>
      </w:r>
      <w:r w:rsidR="00A36F0F">
        <w:rPr>
          <w:lang w:val="en-GB"/>
        </w:rPr>
        <w:t xml:space="preserve">originally </w:t>
      </w:r>
      <w:r w:rsidR="00340360" w:rsidRPr="00302EB4">
        <w:rPr>
          <w:lang w:val="en-GB"/>
        </w:rPr>
        <w:t xml:space="preserve">people with </w:t>
      </w:r>
      <w:r w:rsidR="00AE7EA9" w:rsidRPr="00302EB4">
        <w:rPr>
          <w:rStyle w:val="NICEnormalChar"/>
          <w:szCs w:val="28"/>
        </w:rPr>
        <w:t>relapsing–remitting multiple sclerosis</w:t>
      </w:r>
      <w:r w:rsidR="00340360" w:rsidRPr="00302EB4">
        <w:rPr>
          <w:lang w:val="en-GB"/>
        </w:rPr>
        <w:t xml:space="preserve">. </w:t>
      </w:r>
      <w:r w:rsidR="004400DA">
        <w:rPr>
          <w:lang w:val="en-GB"/>
        </w:rPr>
        <w:t>Later</w:t>
      </w:r>
      <w:r w:rsidR="00340360" w:rsidRPr="00302EB4">
        <w:rPr>
          <w:lang w:val="en-GB"/>
        </w:rPr>
        <w:t xml:space="preserve"> the company </w:t>
      </w:r>
      <w:r w:rsidR="00B761D5">
        <w:rPr>
          <w:lang w:val="en-GB"/>
        </w:rPr>
        <w:t>restricted</w:t>
      </w:r>
      <w:r w:rsidR="00B761D5" w:rsidRPr="00302EB4">
        <w:rPr>
          <w:lang w:val="en-GB"/>
        </w:rPr>
        <w:t xml:space="preserve"> </w:t>
      </w:r>
      <w:r w:rsidR="00340360" w:rsidRPr="00302EB4">
        <w:rPr>
          <w:lang w:val="en-GB"/>
        </w:rPr>
        <w:t xml:space="preserve">this population to </w:t>
      </w:r>
      <w:r w:rsidR="00342C50" w:rsidRPr="00302EB4">
        <w:rPr>
          <w:lang w:val="en-GB"/>
        </w:rPr>
        <w:t xml:space="preserve">include </w:t>
      </w:r>
      <w:r w:rsidR="0028181C" w:rsidRPr="00302EB4">
        <w:rPr>
          <w:lang w:val="en-GB"/>
        </w:rPr>
        <w:t xml:space="preserve">only </w:t>
      </w:r>
      <w:r w:rsidR="00342C50" w:rsidRPr="00302EB4">
        <w:rPr>
          <w:lang w:val="en-GB"/>
        </w:rPr>
        <w:t xml:space="preserve">people with active </w:t>
      </w:r>
      <w:r w:rsidR="00AE7EA9" w:rsidRPr="00302EB4">
        <w:rPr>
          <w:rStyle w:val="NICEnormalChar"/>
          <w:szCs w:val="28"/>
        </w:rPr>
        <w:t>relapsing–remitting multiple sclerosis</w:t>
      </w:r>
      <w:r w:rsidR="00342C50" w:rsidRPr="00302EB4">
        <w:rPr>
          <w:lang w:val="en-GB"/>
        </w:rPr>
        <w:t xml:space="preserve"> </w:t>
      </w:r>
      <w:r w:rsidR="00E7631F">
        <w:rPr>
          <w:lang w:val="en-GB"/>
        </w:rPr>
        <w:t xml:space="preserve">for whom an oral treatment is suitable or </w:t>
      </w:r>
      <w:r w:rsidR="00342C50" w:rsidRPr="00302EB4">
        <w:rPr>
          <w:lang w:val="en-GB"/>
        </w:rPr>
        <w:t>who request</w:t>
      </w:r>
      <w:r w:rsidR="00E7631F">
        <w:rPr>
          <w:lang w:val="en-GB"/>
        </w:rPr>
        <w:t xml:space="preserve"> one</w:t>
      </w:r>
      <w:r w:rsidR="00342C50" w:rsidRPr="00302EB4">
        <w:rPr>
          <w:lang w:val="en-GB"/>
        </w:rPr>
        <w:t xml:space="preserve">. The committee accepted that </w:t>
      </w:r>
      <w:r w:rsidR="001140DB" w:rsidRPr="00302EB4">
        <w:rPr>
          <w:lang w:val="en-GB"/>
        </w:rPr>
        <w:t xml:space="preserve">‘active’ was added to update the population </w:t>
      </w:r>
      <w:r w:rsidR="00342C50" w:rsidRPr="00302EB4">
        <w:rPr>
          <w:lang w:val="en-GB"/>
        </w:rPr>
        <w:t xml:space="preserve">in </w:t>
      </w:r>
      <w:r w:rsidR="00BD34DA">
        <w:rPr>
          <w:lang w:val="en-GB"/>
        </w:rPr>
        <w:t>line</w:t>
      </w:r>
      <w:r w:rsidR="00BD34DA" w:rsidRPr="00302EB4">
        <w:rPr>
          <w:lang w:val="en-GB"/>
        </w:rPr>
        <w:t xml:space="preserve"> </w:t>
      </w:r>
      <w:r w:rsidR="00342C50" w:rsidRPr="00302EB4">
        <w:rPr>
          <w:lang w:val="en-GB"/>
        </w:rPr>
        <w:t>with ozanimod’s marketing authorisation, which was granted after the company’s submission was received.</w:t>
      </w:r>
      <w:r w:rsidR="007608A2" w:rsidRPr="00302EB4">
        <w:rPr>
          <w:lang w:val="en-GB"/>
        </w:rPr>
        <w:t xml:space="preserve"> The company explained that it restricted the </w:t>
      </w:r>
      <w:r w:rsidR="001140DB" w:rsidRPr="00302EB4">
        <w:rPr>
          <w:lang w:val="en-GB"/>
        </w:rPr>
        <w:t>population</w:t>
      </w:r>
      <w:r w:rsidR="00236778">
        <w:rPr>
          <w:lang w:val="en-GB"/>
        </w:rPr>
        <w:t xml:space="preserve"> to people for whom an oral treatment is suitable or </w:t>
      </w:r>
      <w:r w:rsidR="00236778" w:rsidRPr="00302EB4">
        <w:rPr>
          <w:lang w:val="en-GB"/>
        </w:rPr>
        <w:t>who request</w:t>
      </w:r>
      <w:r w:rsidR="00236778">
        <w:rPr>
          <w:lang w:val="en-GB"/>
        </w:rPr>
        <w:t xml:space="preserve"> one</w:t>
      </w:r>
      <w:r w:rsidR="001140DB" w:rsidRPr="00302EB4">
        <w:rPr>
          <w:lang w:val="en-GB"/>
        </w:rPr>
        <w:t xml:space="preserve"> </w:t>
      </w:r>
      <w:r w:rsidR="007A4F93" w:rsidRPr="00302EB4">
        <w:rPr>
          <w:lang w:val="en-GB"/>
        </w:rPr>
        <w:t xml:space="preserve">because </w:t>
      </w:r>
      <w:r w:rsidR="0028181C" w:rsidRPr="00302EB4">
        <w:rPr>
          <w:lang w:val="en-GB"/>
        </w:rPr>
        <w:t xml:space="preserve">it considered </w:t>
      </w:r>
      <w:r w:rsidR="00A36F0F" w:rsidRPr="00302EB4">
        <w:rPr>
          <w:lang w:val="en-GB"/>
        </w:rPr>
        <w:t xml:space="preserve">this is </w:t>
      </w:r>
      <w:r w:rsidR="00E5244A">
        <w:rPr>
          <w:lang w:val="en-GB"/>
        </w:rPr>
        <w:t>how</w:t>
      </w:r>
      <w:r w:rsidR="00A36F0F" w:rsidRPr="00302EB4">
        <w:rPr>
          <w:lang w:val="en-GB"/>
        </w:rPr>
        <w:t xml:space="preserve"> </w:t>
      </w:r>
      <w:r w:rsidR="0028181C" w:rsidRPr="00302EB4">
        <w:rPr>
          <w:lang w:val="en-GB"/>
        </w:rPr>
        <w:t>it would be used in practice</w:t>
      </w:r>
      <w:r w:rsidR="007A4F93" w:rsidRPr="00302EB4">
        <w:rPr>
          <w:lang w:val="en-GB"/>
        </w:rPr>
        <w:t xml:space="preserve">. It </w:t>
      </w:r>
      <w:r w:rsidR="0028181C" w:rsidRPr="00302EB4">
        <w:rPr>
          <w:lang w:val="en-GB"/>
        </w:rPr>
        <w:t>estimated</w:t>
      </w:r>
      <w:r w:rsidR="007A4F93" w:rsidRPr="00302EB4">
        <w:rPr>
          <w:lang w:val="en-GB"/>
        </w:rPr>
        <w:t xml:space="preserve"> that </w:t>
      </w:r>
      <w:r w:rsidR="00BD34DA">
        <w:rPr>
          <w:lang w:val="en-GB"/>
        </w:rPr>
        <w:t xml:space="preserve">the oral drugs </w:t>
      </w:r>
      <w:r w:rsidR="001755B1">
        <w:rPr>
          <w:lang w:val="en-GB"/>
        </w:rPr>
        <w:t xml:space="preserve">teriflunomide and dimethyl fumarate </w:t>
      </w:r>
      <w:r w:rsidR="0028181C" w:rsidRPr="00302EB4">
        <w:rPr>
          <w:lang w:val="en-GB"/>
        </w:rPr>
        <w:t>account for</w:t>
      </w:r>
      <w:r w:rsidR="007A4F93" w:rsidRPr="00302EB4">
        <w:rPr>
          <w:lang w:val="en-GB"/>
        </w:rPr>
        <w:t xml:space="preserve"> around 50% of the market share in </w:t>
      </w:r>
      <w:r w:rsidR="007A4F93" w:rsidRPr="00302EB4">
        <w:rPr>
          <w:rStyle w:val="NICEnormalChar"/>
          <w:szCs w:val="28"/>
        </w:rPr>
        <w:t>relapsing–remitting multiple sclerosis</w:t>
      </w:r>
      <w:r w:rsidR="008075E0">
        <w:rPr>
          <w:rStyle w:val="NICEnormalChar"/>
          <w:szCs w:val="28"/>
        </w:rPr>
        <w:t xml:space="preserve"> treatments</w:t>
      </w:r>
      <w:r w:rsidR="007A4F93" w:rsidRPr="00302EB4">
        <w:rPr>
          <w:rStyle w:val="NICEnormalChar"/>
          <w:szCs w:val="28"/>
        </w:rPr>
        <w:t xml:space="preserve">, and ozanimod would most likely be used in </w:t>
      </w:r>
      <w:r w:rsidR="001755B1">
        <w:rPr>
          <w:rStyle w:val="NICEnormalChar"/>
          <w:szCs w:val="28"/>
        </w:rPr>
        <w:t xml:space="preserve">their </w:t>
      </w:r>
      <w:r w:rsidR="007A4F93" w:rsidRPr="00302EB4">
        <w:rPr>
          <w:rStyle w:val="NICEnormalChar"/>
          <w:szCs w:val="28"/>
        </w:rPr>
        <w:t>place</w:t>
      </w:r>
      <w:r w:rsidR="001755B1">
        <w:rPr>
          <w:rStyle w:val="NICEnormalChar"/>
          <w:szCs w:val="28"/>
        </w:rPr>
        <w:t xml:space="preserve">. </w:t>
      </w:r>
      <w:r w:rsidR="001755B1">
        <w:rPr>
          <w:rStyle w:val="NICEnormalChar"/>
        </w:rPr>
        <w:t>However</w:t>
      </w:r>
      <w:r w:rsidR="009047A3">
        <w:rPr>
          <w:rStyle w:val="NICEnormalChar"/>
        </w:rPr>
        <w:t>,</w:t>
      </w:r>
      <w:r w:rsidR="001755B1">
        <w:rPr>
          <w:rStyle w:val="NICEnormalChar"/>
        </w:rPr>
        <w:t xml:space="preserve"> the</w:t>
      </w:r>
      <w:r w:rsidR="004A28D5" w:rsidRPr="00302EB4">
        <w:rPr>
          <w:rStyle w:val="NICEnormalChar"/>
        </w:rPr>
        <w:t xml:space="preserve"> NHS commissioning expert </w:t>
      </w:r>
      <w:r w:rsidR="00912CBD">
        <w:rPr>
          <w:rStyle w:val="NICEnormalChar"/>
        </w:rPr>
        <w:t>sai</w:t>
      </w:r>
      <w:r w:rsidR="00BD34DA">
        <w:rPr>
          <w:rStyle w:val="NICEnormalChar"/>
        </w:rPr>
        <w:t>d</w:t>
      </w:r>
      <w:r w:rsidR="004A28D5" w:rsidRPr="00302EB4">
        <w:rPr>
          <w:rStyle w:val="NICEnormalChar"/>
        </w:rPr>
        <w:t xml:space="preserve"> that </w:t>
      </w:r>
      <w:r w:rsidR="0028181C" w:rsidRPr="00302EB4">
        <w:rPr>
          <w:rStyle w:val="NICEnormalChar"/>
        </w:rPr>
        <w:t xml:space="preserve">based on the data available, </w:t>
      </w:r>
      <w:r w:rsidR="00912CBD">
        <w:rPr>
          <w:rStyle w:val="NICEnormalChar"/>
        </w:rPr>
        <w:t>50% market share was</w:t>
      </w:r>
      <w:r w:rsidR="004A28D5" w:rsidRPr="00302EB4">
        <w:rPr>
          <w:rStyle w:val="NICEnormalChar"/>
        </w:rPr>
        <w:t xml:space="preserve"> likely </w:t>
      </w:r>
      <w:r w:rsidR="00BD34DA">
        <w:rPr>
          <w:rStyle w:val="NICEnormalChar"/>
        </w:rPr>
        <w:t xml:space="preserve">to be </w:t>
      </w:r>
      <w:r w:rsidR="0028181C" w:rsidRPr="00302EB4">
        <w:rPr>
          <w:rStyle w:val="NICEnormalChar"/>
        </w:rPr>
        <w:t xml:space="preserve">a significant </w:t>
      </w:r>
      <w:r w:rsidR="004A28D5" w:rsidRPr="00302EB4">
        <w:rPr>
          <w:rStyle w:val="NICEnormalChar"/>
        </w:rPr>
        <w:t xml:space="preserve">overestimate. </w:t>
      </w:r>
      <w:r w:rsidR="00BB06F1">
        <w:rPr>
          <w:rStyle w:val="NICEnormalChar"/>
        </w:rPr>
        <w:t>The c</w:t>
      </w:r>
      <w:r w:rsidR="00434723" w:rsidRPr="00302EB4">
        <w:rPr>
          <w:rStyle w:val="NICEnormalChar"/>
          <w:szCs w:val="28"/>
        </w:rPr>
        <w:t xml:space="preserve">linical experts </w:t>
      </w:r>
      <w:r w:rsidR="00AE7EA9" w:rsidRPr="00302EB4">
        <w:rPr>
          <w:rStyle w:val="NICEnormalChar"/>
          <w:szCs w:val="28"/>
        </w:rPr>
        <w:t>explained</w:t>
      </w:r>
      <w:r w:rsidR="00434723" w:rsidRPr="00302EB4">
        <w:rPr>
          <w:rStyle w:val="NICEnormalChar"/>
          <w:szCs w:val="28"/>
        </w:rPr>
        <w:t xml:space="preserve"> that it would be very difficult to identify a </w:t>
      </w:r>
      <w:r w:rsidR="001F7D76">
        <w:rPr>
          <w:rStyle w:val="NICEnormalChar"/>
          <w:szCs w:val="28"/>
        </w:rPr>
        <w:t>group</w:t>
      </w:r>
      <w:r w:rsidR="001F7D76" w:rsidRPr="00302EB4">
        <w:rPr>
          <w:rStyle w:val="NICEnormalChar"/>
          <w:szCs w:val="28"/>
        </w:rPr>
        <w:t xml:space="preserve"> </w:t>
      </w:r>
      <w:r w:rsidR="00434723" w:rsidRPr="00302EB4">
        <w:rPr>
          <w:rStyle w:val="NICEnormalChar"/>
          <w:szCs w:val="28"/>
        </w:rPr>
        <w:t>of people for</w:t>
      </w:r>
      <w:r w:rsidR="00BD34DA">
        <w:rPr>
          <w:rStyle w:val="NICEnormalChar"/>
          <w:szCs w:val="28"/>
        </w:rPr>
        <w:t xml:space="preserve"> whom only</w:t>
      </w:r>
      <w:r w:rsidR="00434723" w:rsidRPr="00302EB4">
        <w:rPr>
          <w:rStyle w:val="NICEnormalChar"/>
          <w:szCs w:val="28"/>
        </w:rPr>
        <w:t xml:space="preserve"> oral treatments</w:t>
      </w:r>
      <w:r w:rsidR="00BD34DA">
        <w:rPr>
          <w:rStyle w:val="NICEnormalChar"/>
          <w:szCs w:val="28"/>
        </w:rPr>
        <w:t xml:space="preserve"> are suitable</w:t>
      </w:r>
      <w:r w:rsidR="00434723" w:rsidRPr="00302EB4">
        <w:rPr>
          <w:rStyle w:val="NICEnormalChar"/>
          <w:szCs w:val="28"/>
        </w:rPr>
        <w:t xml:space="preserve">. They </w:t>
      </w:r>
      <w:r w:rsidR="003128E6" w:rsidRPr="00302EB4">
        <w:rPr>
          <w:rStyle w:val="NICEnormalChar"/>
          <w:szCs w:val="28"/>
        </w:rPr>
        <w:t xml:space="preserve">agreed that many people would choose an oral drug over an injection or infusion, but highlighted that people often switch between treatments with different routes of administration. </w:t>
      </w:r>
      <w:r w:rsidR="00537E22">
        <w:rPr>
          <w:rStyle w:val="NICEnormalChar"/>
          <w:szCs w:val="28"/>
        </w:rPr>
        <w:t>The p</w:t>
      </w:r>
      <w:r w:rsidR="003128E6" w:rsidRPr="00302EB4">
        <w:rPr>
          <w:rStyle w:val="NICEnormalChar"/>
          <w:szCs w:val="28"/>
        </w:rPr>
        <w:t xml:space="preserve">atient experts </w:t>
      </w:r>
      <w:r w:rsidR="00347FB5">
        <w:rPr>
          <w:rStyle w:val="NICEnormalChar"/>
          <w:szCs w:val="28"/>
        </w:rPr>
        <w:t>stated</w:t>
      </w:r>
      <w:r w:rsidR="003128E6" w:rsidRPr="00302EB4">
        <w:rPr>
          <w:rStyle w:val="NICEnormalChar"/>
          <w:szCs w:val="28"/>
        </w:rPr>
        <w:t xml:space="preserve"> that there are many </w:t>
      </w:r>
      <w:r w:rsidR="007E2D32">
        <w:rPr>
          <w:rStyle w:val="NICEnormalChar"/>
          <w:szCs w:val="28"/>
        </w:rPr>
        <w:t>reasons why</w:t>
      </w:r>
      <w:r w:rsidR="003128E6" w:rsidRPr="00302EB4">
        <w:rPr>
          <w:rStyle w:val="NICEnormalChar"/>
          <w:szCs w:val="28"/>
        </w:rPr>
        <w:t xml:space="preserve"> some</w:t>
      </w:r>
      <w:r w:rsidR="007E2D32">
        <w:rPr>
          <w:rStyle w:val="NICEnormalChar"/>
          <w:szCs w:val="28"/>
        </w:rPr>
        <w:t>one would</w:t>
      </w:r>
      <w:r w:rsidR="003128E6" w:rsidRPr="00302EB4">
        <w:rPr>
          <w:rStyle w:val="NICEnormalChar"/>
          <w:szCs w:val="28"/>
        </w:rPr>
        <w:t xml:space="preserve"> change their mind about their treatment</w:t>
      </w:r>
      <w:r w:rsidR="007E2D32">
        <w:rPr>
          <w:rStyle w:val="NICEnormalChar"/>
          <w:szCs w:val="28"/>
        </w:rPr>
        <w:t xml:space="preserve">. </w:t>
      </w:r>
      <w:r w:rsidR="00347FB5">
        <w:rPr>
          <w:rStyle w:val="NICEnormalChar"/>
          <w:szCs w:val="28"/>
        </w:rPr>
        <w:t>Also,</w:t>
      </w:r>
      <w:r w:rsidR="003128E6" w:rsidRPr="00302EB4">
        <w:rPr>
          <w:rStyle w:val="NICEnormalChar"/>
          <w:szCs w:val="28"/>
        </w:rPr>
        <w:t xml:space="preserve"> they would not want to be excluded </w:t>
      </w:r>
      <w:r w:rsidR="003128E6" w:rsidRPr="00302EB4">
        <w:rPr>
          <w:rStyle w:val="NICEnormalChar"/>
          <w:szCs w:val="28"/>
        </w:rPr>
        <w:lastRenderedPageBreak/>
        <w:t xml:space="preserve">from having </w:t>
      </w:r>
      <w:r w:rsidR="00CD4FC6" w:rsidRPr="00302EB4">
        <w:rPr>
          <w:rStyle w:val="NICEnormalChar"/>
          <w:szCs w:val="28"/>
        </w:rPr>
        <w:t xml:space="preserve">a </w:t>
      </w:r>
      <w:r w:rsidR="003128E6" w:rsidRPr="00302EB4">
        <w:rPr>
          <w:rStyle w:val="NICEnormalChar"/>
          <w:szCs w:val="28"/>
        </w:rPr>
        <w:t>treatment because of its route of administration.</w:t>
      </w:r>
      <w:r w:rsidR="00AE7EA9" w:rsidRPr="00302EB4">
        <w:rPr>
          <w:rStyle w:val="NICEnormalChar"/>
          <w:szCs w:val="28"/>
        </w:rPr>
        <w:t xml:space="preserve"> </w:t>
      </w:r>
      <w:r w:rsidR="009714AB" w:rsidRPr="00302EB4">
        <w:rPr>
          <w:rStyle w:val="NICEnormalChar"/>
          <w:szCs w:val="28"/>
        </w:rPr>
        <w:t>The ERG also had concerns about restrict</w:t>
      </w:r>
      <w:r w:rsidR="00D760A8">
        <w:rPr>
          <w:rStyle w:val="NICEnormalChar"/>
          <w:szCs w:val="28"/>
        </w:rPr>
        <w:t>ing</w:t>
      </w:r>
      <w:r w:rsidR="009714AB" w:rsidRPr="00302EB4">
        <w:rPr>
          <w:rStyle w:val="NICEnormalChar"/>
          <w:szCs w:val="28"/>
        </w:rPr>
        <w:t xml:space="preserve"> the population, explaining that it </w:t>
      </w:r>
      <w:r w:rsidR="007E2D32">
        <w:rPr>
          <w:rStyle w:val="NICEnormalChar"/>
          <w:szCs w:val="28"/>
        </w:rPr>
        <w:t>wa</w:t>
      </w:r>
      <w:r w:rsidR="009714AB" w:rsidRPr="00302EB4">
        <w:rPr>
          <w:rStyle w:val="NICEnormalChar"/>
          <w:szCs w:val="28"/>
        </w:rPr>
        <w:t xml:space="preserve">s unclear what is meant by people </w:t>
      </w:r>
      <w:r w:rsidR="007E2D32">
        <w:rPr>
          <w:rStyle w:val="NICEnormalChar"/>
          <w:szCs w:val="28"/>
        </w:rPr>
        <w:t>for whom</w:t>
      </w:r>
      <w:r w:rsidR="009714AB" w:rsidRPr="00302EB4">
        <w:rPr>
          <w:rStyle w:val="NICEnormalChar"/>
          <w:szCs w:val="28"/>
        </w:rPr>
        <w:t xml:space="preserve"> an oral treatment</w:t>
      </w:r>
      <w:r w:rsidR="007E2D32">
        <w:rPr>
          <w:rStyle w:val="NICEnormalChar"/>
          <w:szCs w:val="28"/>
        </w:rPr>
        <w:t xml:space="preserve"> is suitable or who request one</w:t>
      </w:r>
      <w:r w:rsidR="009714AB" w:rsidRPr="00302EB4">
        <w:rPr>
          <w:rStyle w:val="NICEnormalChar"/>
          <w:szCs w:val="28"/>
        </w:rPr>
        <w:t xml:space="preserve">. </w:t>
      </w:r>
      <w:r w:rsidR="007A4F93" w:rsidRPr="00302EB4">
        <w:rPr>
          <w:lang w:val="en-GB"/>
        </w:rPr>
        <w:t xml:space="preserve">The committee was concerned that </w:t>
      </w:r>
      <w:r w:rsidR="007E2D32">
        <w:rPr>
          <w:lang w:val="en-GB"/>
        </w:rPr>
        <w:t xml:space="preserve">restricting </w:t>
      </w:r>
      <w:r w:rsidR="007A4F93" w:rsidRPr="00302EB4">
        <w:rPr>
          <w:lang w:val="en-GB"/>
        </w:rPr>
        <w:t>the population would exclude potential comparators that are routinely used in the NHS.</w:t>
      </w:r>
      <w:r w:rsidR="00AE7EA9" w:rsidRPr="00302EB4">
        <w:rPr>
          <w:lang w:val="en-GB"/>
        </w:rPr>
        <w:t xml:space="preserve"> </w:t>
      </w:r>
      <w:r w:rsidR="00D760A8">
        <w:rPr>
          <w:lang w:val="en-GB"/>
        </w:rPr>
        <w:t>It</w:t>
      </w:r>
      <w:r w:rsidR="003128E6" w:rsidRPr="00302EB4">
        <w:rPr>
          <w:lang w:val="en-GB"/>
        </w:rPr>
        <w:t xml:space="preserve"> concluded that it was not appropriate to limit the population to people </w:t>
      </w:r>
      <w:r w:rsidR="007E2D32">
        <w:rPr>
          <w:lang w:val="en-GB"/>
        </w:rPr>
        <w:t xml:space="preserve">for whom an oral treatment is </w:t>
      </w:r>
      <w:r w:rsidR="003128E6" w:rsidRPr="00302EB4">
        <w:rPr>
          <w:lang w:val="en-GB"/>
        </w:rPr>
        <w:t xml:space="preserve">suitable or </w:t>
      </w:r>
      <w:r w:rsidR="007E2D32">
        <w:rPr>
          <w:lang w:val="en-GB"/>
        </w:rPr>
        <w:t xml:space="preserve">who </w:t>
      </w:r>
      <w:r w:rsidR="003128E6" w:rsidRPr="00302EB4">
        <w:rPr>
          <w:lang w:val="en-GB"/>
        </w:rPr>
        <w:t>request</w:t>
      </w:r>
      <w:r w:rsidR="007E2D32">
        <w:rPr>
          <w:lang w:val="en-GB"/>
        </w:rPr>
        <w:t xml:space="preserve"> </w:t>
      </w:r>
      <w:r w:rsidR="001D6D57">
        <w:rPr>
          <w:lang w:val="en-GB"/>
        </w:rPr>
        <w:t>an oral treatment</w:t>
      </w:r>
      <w:r w:rsidR="003128E6" w:rsidRPr="00302EB4">
        <w:rPr>
          <w:lang w:val="en-GB"/>
        </w:rPr>
        <w:t>.</w:t>
      </w:r>
    </w:p>
    <w:p w14:paraId="7FBDBFF5" w14:textId="66D2C54E" w:rsidR="001140DB" w:rsidRPr="00302EB4" w:rsidRDefault="001E5587" w:rsidP="004A28D5">
      <w:pPr>
        <w:pStyle w:val="Heading3"/>
      </w:pPr>
      <w:bookmarkStart w:id="3" w:name="_Hlk58596853"/>
      <w:r w:rsidRPr="00302EB4">
        <w:t xml:space="preserve">All </w:t>
      </w:r>
      <w:r w:rsidR="006C0E4E">
        <w:t xml:space="preserve">first-and second-line </w:t>
      </w:r>
      <w:r w:rsidRPr="00302EB4">
        <w:t xml:space="preserve">treatments used for active relapsing–remitting multiple sclerosis, including ocrelizumab, are </w:t>
      </w:r>
      <w:proofErr w:type="gramStart"/>
      <w:r w:rsidRPr="00302EB4">
        <w:t>comparators</w:t>
      </w:r>
      <w:proofErr w:type="gramEnd"/>
    </w:p>
    <w:bookmarkEnd w:id="3"/>
    <w:p w14:paraId="04FB39FB" w14:textId="15A4AF92" w:rsidR="005C3D3D" w:rsidRPr="00302EB4" w:rsidRDefault="001E5587" w:rsidP="000B26E5">
      <w:pPr>
        <w:pStyle w:val="Numberedlevel2text"/>
        <w:rPr>
          <w:lang w:val="en-GB"/>
        </w:rPr>
      </w:pPr>
      <w:r w:rsidRPr="00302EB4">
        <w:rPr>
          <w:lang w:val="en-GB"/>
        </w:rPr>
        <w:t>In its submission, the company included beta</w:t>
      </w:r>
      <w:r w:rsidR="00337E38">
        <w:rPr>
          <w:lang w:val="en-GB"/>
        </w:rPr>
        <w:t xml:space="preserve"> </w:t>
      </w:r>
      <w:r w:rsidRPr="00302EB4">
        <w:rPr>
          <w:lang w:val="en-GB"/>
        </w:rPr>
        <w:t>interferons (1a and 1b), dimethyl fumarate, glatiramer acetate, teriflunomide and</w:t>
      </w:r>
      <w:r w:rsidR="00314AA3" w:rsidRPr="00302EB4">
        <w:rPr>
          <w:lang w:val="en-GB"/>
        </w:rPr>
        <w:t xml:space="preserve"> peg</w:t>
      </w:r>
      <w:r w:rsidRPr="00302EB4">
        <w:rPr>
          <w:lang w:val="en-GB"/>
        </w:rPr>
        <w:t>interferon beta</w:t>
      </w:r>
      <w:r w:rsidR="003842A9">
        <w:rPr>
          <w:lang w:val="en-GB"/>
        </w:rPr>
        <w:noBreakHyphen/>
      </w:r>
      <w:r w:rsidRPr="00302EB4">
        <w:rPr>
          <w:lang w:val="en-GB"/>
        </w:rPr>
        <w:t xml:space="preserve">1a as comparators. </w:t>
      </w:r>
      <w:r w:rsidR="00314AA3" w:rsidRPr="00302EB4">
        <w:rPr>
          <w:lang w:val="en-GB"/>
        </w:rPr>
        <w:t>Alemtuzumab and ocrelizumab were included in the scope, but the company excluded them as comparators</w:t>
      </w:r>
      <w:r w:rsidR="00AE7EA9" w:rsidRPr="00302EB4">
        <w:rPr>
          <w:lang w:val="en-GB"/>
        </w:rPr>
        <w:t xml:space="preserve"> in its base</w:t>
      </w:r>
      <w:r w:rsidR="00174C6D">
        <w:rPr>
          <w:lang w:val="en-GB"/>
        </w:rPr>
        <w:t>-</w:t>
      </w:r>
      <w:r w:rsidR="00AE7EA9" w:rsidRPr="00302EB4">
        <w:rPr>
          <w:lang w:val="en-GB"/>
        </w:rPr>
        <w:t xml:space="preserve">case analysis (although </w:t>
      </w:r>
      <w:r w:rsidR="00174C6D">
        <w:rPr>
          <w:lang w:val="en-GB"/>
        </w:rPr>
        <w:t xml:space="preserve">it </w:t>
      </w:r>
      <w:r w:rsidR="00CD4FC6" w:rsidRPr="00302EB4">
        <w:rPr>
          <w:lang w:val="en-GB"/>
        </w:rPr>
        <w:t>provided analyses with them as comparators</w:t>
      </w:r>
      <w:r w:rsidR="00AE7EA9" w:rsidRPr="00302EB4">
        <w:rPr>
          <w:lang w:val="en-GB"/>
        </w:rPr>
        <w:t xml:space="preserve"> in an appendix)</w:t>
      </w:r>
      <w:r w:rsidR="00314AA3" w:rsidRPr="00302EB4">
        <w:rPr>
          <w:lang w:val="en-GB"/>
        </w:rPr>
        <w:t xml:space="preserve">. </w:t>
      </w:r>
      <w:r w:rsidR="002F23F3">
        <w:rPr>
          <w:lang w:val="en-GB"/>
        </w:rPr>
        <w:t>A</w:t>
      </w:r>
      <w:r w:rsidR="00314AA3" w:rsidRPr="00302EB4">
        <w:rPr>
          <w:lang w:val="en-GB"/>
        </w:rPr>
        <w:t xml:space="preserve">lemtuzumab </w:t>
      </w:r>
      <w:r w:rsidR="002F23F3">
        <w:rPr>
          <w:lang w:val="en-GB"/>
        </w:rPr>
        <w:t xml:space="preserve">was excluded </w:t>
      </w:r>
      <w:r w:rsidR="00314AA3" w:rsidRPr="00302EB4">
        <w:rPr>
          <w:lang w:val="en-GB"/>
        </w:rPr>
        <w:t xml:space="preserve">because </w:t>
      </w:r>
      <w:r w:rsidR="00086795">
        <w:rPr>
          <w:lang w:val="en-GB"/>
        </w:rPr>
        <w:t>a</w:t>
      </w:r>
      <w:r w:rsidR="00314AA3" w:rsidRPr="00302EB4">
        <w:rPr>
          <w:lang w:val="en-GB"/>
        </w:rPr>
        <w:t xml:space="preserve"> safety review restrict</w:t>
      </w:r>
      <w:r w:rsidR="00086795">
        <w:rPr>
          <w:lang w:val="en-GB"/>
        </w:rPr>
        <w:t>ed</w:t>
      </w:r>
      <w:r w:rsidR="00314AA3" w:rsidRPr="00302EB4">
        <w:rPr>
          <w:lang w:val="en-GB"/>
        </w:rPr>
        <w:t xml:space="preserve"> its use to highly active disease</w:t>
      </w:r>
      <w:r w:rsidR="009C6F7E" w:rsidRPr="00302EB4">
        <w:rPr>
          <w:lang w:val="en-GB"/>
        </w:rPr>
        <w:t xml:space="preserve">, and ozanimod was not expected to be used in highly active disease. </w:t>
      </w:r>
      <w:r w:rsidR="002F23F3">
        <w:rPr>
          <w:lang w:val="en-GB"/>
        </w:rPr>
        <w:t>O</w:t>
      </w:r>
      <w:r w:rsidR="009C6F7E" w:rsidRPr="00302EB4">
        <w:rPr>
          <w:lang w:val="en-GB"/>
        </w:rPr>
        <w:t xml:space="preserve">crelizumab </w:t>
      </w:r>
      <w:r w:rsidR="002F23F3">
        <w:rPr>
          <w:lang w:val="en-GB"/>
        </w:rPr>
        <w:t xml:space="preserve">was excluded </w:t>
      </w:r>
      <w:r w:rsidR="009C6F7E" w:rsidRPr="00302EB4">
        <w:rPr>
          <w:lang w:val="en-GB"/>
        </w:rPr>
        <w:t xml:space="preserve">because </w:t>
      </w:r>
      <w:r w:rsidR="00721A60">
        <w:rPr>
          <w:lang w:val="en-GB"/>
        </w:rPr>
        <w:t>NICE</w:t>
      </w:r>
      <w:r w:rsidR="009C6F7E" w:rsidRPr="00302EB4">
        <w:rPr>
          <w:lang w:val="en-GB"/>
        </w:rPr>
        <w:t xml:space="preserve"> only recommend</w:t>
      </w:r>
      <w:r w:rsidR="00721A60">
        <w:rPr>
          <w:lang w:val="en-GB"/>
        </w:rPr>
        <w:t>s it</w:t>
      </w:r>
      <w:r w:rsidR="009C6F7E" w:rsidRPr="00302EB4">
        <w:rPr>
          <w:lang w:val="en-GB"/>
        </w:rPr>
        <w:t xml:space="preserve"> when alemtuzumab is contraindicated or otherwise unsuitable. </w:t>
      </w:r>
      <w:r w:rsidR="0028181C" w:rsidRPr="00302EB4">
        <w:rPr>
          <w:lang w:val="en-GB"/>
        </w:rPr>
        <w:t xml:space="preserve">However, clinical experts </w:t>
      </w:r>
      <w:r w:rsidR="001755B1">
        <w:rPr>
          <w:lang w:val="en-GB"/>
        </w:rPr>
        <w:t>advising</w:t>
      </w:r>
      <w:r w:rsidR="0028181C" w:rsidRPr="00302EB4">
        <w:rPr>
          <w:lang w:val="en-GB"/>
        </w:rPr>
        <w:t xml:space="preserve"> the ERG and the </w:t>
      </w:r>
      <w:r w:rsidR="00174C6D">
        <w:rPr>
          <w:lang w:val="en-GB"/>
        </w:rPr>
        <w:t xml:space="preserve">clinical </w:t>
      </w:r>
      <w:r w:rsidR="0028181C" w:rsidRPr="00302EB4">
        <w:rPr>
          <w:lang w:val="en-GB"/>
        </w:rPr>
        <w:t xml:space="preserve">experts at the meeting </w:t>
      </w:r>
      <w:r w:rsidR="004D1A95" w:rsidRPr="00302EB4">
        <w:rPr>
          <w:lang w:val="en-GB"/>
        </w:rPr>
        <w:t xml:space="preserve">confirmed that ocrelizumab is </w:t>
      </w:r>
      <w:r w:rsidR="00E93EA9" w:rsidRPr="00302EB4">
        <w:rPr>
          <w:lang w:val="en-GB"/>
        </w:rPr>
        <w:t>being used as a first</w:t>
      </w:r>
      <w:r w:rsidR="00E357AD" w:rsidRPr="00302EB4">
        <w:rPr>
          <w:lang w:val="en-GB"/>
        </w:rPr>
        <w:t>-</w:t>
      </w:r>
      <w:r w:rsidR="00E93EA9" w:rsidRPr="00302EB4">
        <w:rPr>
          <w:lang w:val="en-GB"/>
        </w:rPr>
        <w:t>line treatment for relapsing–remitting multiple sclerosis in the NHS.</w:t>
      </w:r>
      <w:r w:rsidR="00AE7EA9" w:rsidRPr="00302EB4">
        <w:rPr>
          <w:lang w:val="en-GB"/>
        </w:rPr>
        <w:t xml:space="preserve"> </w:t>
      </w:r>
      <w:r w:rsidR="00CC12D0">
        <w:rPr>
          <w:lang w:val="en-GB"/>
        </w:rPr>
        <w:t>For the restricted population (see section</w:t>
      </w:r>
      <w:r w:rsidR="00C473A2">
        <w:rPr>
          <w:lang w:val="en-GB"/>
        </w:rPr>
        <w:t> </w:t>
      </w:r>
      <w:r w:rsidR="006A57F2">
        <w:rPr>
          <w:lang w:val="en-GB"/>
        </w:rPr>
        <w:t>3.2</w:t>
      </w:r>
      <w:r w:rsidR="00CC12D0">
        <w:rPr>
          <w:lang w:val="en-GB"/>
        </w:rPr>
        <w:t>)</w:t>
      </w:r>
      <w:r w:rsidR="009D0A78" w:rsidRPr="00302EB4">
        <w:rPr>
          <w:lang w:val="en-GB"/>
        </w:rPr>
        <w:t>, the company’s only comparators were dimethyl fumarate and teriflunomide</w:t>
      </w:r>
      <w:r w:rsidR="00C473A2">
        <w:rPr>
          <w:lang w:val="en-GB"/>
        </w:rPr>
        <w:t>. This was</w:t>
      </w:r>
      <w:r w:rsidR="009D0A78" w:rsidRPr="00302EB4">
        <w:rPr>
          <w:lang w:val="en-GB"/>
        </w:rPr>
        <w:t xml:space="preserve"> because these are the only oral drugs used a</w:t>
      </w:r>
      <w:r w:rsidR="00C473A2">
        <w:rPr>
          <w:lang w:val="en-GB"/>
        </w:rPr>
        <w:t>s</w:t>
      </w:r>
      <w:r w:rsidR="009D0A78" w:rsidRPr="00302EB4">
        <w:rPr>
          <w:lang w:val="en-GB"/>
        </w:rPr>
        <w:t xml:space="preserve"> first</w:t>
      </w:r>
      <w:r w:rsidR="00C473A2">
        <w:rPr>
          <w:lang w:val="en-GB"/>
        </w:rPr>
        <w:t>-</w:t>
      </w:r>
      <w:r w:rsidR="009D0A78" w:rsidRPr="00302EB4">
        <w:rPr>
          <w:lang w:val="en-GB"/>
        </w:rPr>
        <w:t xml:space="preserve">line </w:t>
      </w:r>
      <w:r w:rsidR="00C473A2">
        <w:rPr>
          <w:lang w:val="en-GB"/>
        </w:rPr>
        <w:t xml:space="preserve">treatment </w:t>
      </w:r>
      <w:r w:rsidR="009D0A78" w:rsidRPr="00302EB4">
        <w:rPr>
          <w:lang w:val="en-GB"/>
        </w:rPr>
        <w:t>for active relapsing–remitting multiple sclerosis. T</w:t>
      </w:r>
      <w:r w:rsidR="009714AB" w:rsidRPr="00302EB4">
        <w:rPr>
          <w:lang w:val="en-GB"/>
        </w:rPr>
        <w:t xml:space="preserve">he ERG did not </w:t>
      </w:r>
      <w:r w:rsidR="005C3D3D" w:rsidRPr="00302EB4">
        <w:rPr>
          <w:lang w:val="en-GB"/>
        </w:rPr>
        <w:t xml:space="preserve">agree with the company </w:t>
      </w:r>
      <w:r w:rsidR="00B761D5">
        <w:rPr>
          <w:lang w:val="en-GB"/>
        </w:rPr>
        <w:t>restricting</w:t>
      </w:r>
      <w:r w:rsidR="005C3D3D" w:rsidRPr="00302EB4">
        <w:rPr>
          <w:lang w:val="en-GB"/>
        </w:rPr>
        <w:t xml:space="preserve"> the population</w:t>
      </w:r>
      <w:r w:rsidR="002529BA">
        <w:rPr>
          <w:lang w:val="en-GB"/>
        </w:rPr>
        <w:t xml:space="preserve"> and</w:t>
      </w:r>
      <w:r w:rsidR="005C3D3D" w:rsidRPr="00302EB4">
        <w:rPr>
          <w:lang w:val="en-GB"/>
        </w:rPr>
        <w:t xml:space="preserve"> </w:t>
      </w:r>
      <w:r w:rsidR="009F0898">
        <w:rPr>
          <w:lang w:val="en-GB"/>
        </w:rPr>
        <w:t>having only</w:t>
      </w:r>
      <w:r w:rsidR="005C3D3D" w:rsidRPr="00302EB4">
        <w:rPr>
          <w:lang w:val="en-GB"/>
        </w:rPr>
        <w:t xml:space="preserve"> dimethyl fumarate and teriflunomide </w:t>
      </w:r>
      <w:r w:rsidR="009F0898">
        <w:rPr>
          <w:lang w:val="en-GB"/>
        </w:rPr>
        <w:t>as comparators</w:t>
      </w:r>
      <w:r w:rsidR="005C3D3D" w:rsidRPr="00302EB4">
        <w:rPr>
          <w:lang w:val="en-GB"/>
        </w:rPr>
        <w:t>.</w:t>
      </w:r>
      <w:r w:rsidR="00AE7EA9" w:rsidRPr="00302EB4">
        <w:rPr>
          <w:lang w:val="en-GB"/>
        </w:rPr>
        <w:t xml:space="preserve"> </w:t>
      </w:r>
      <w:r w:rsidR="00E93EA9" w:rsidRPr="00302EB4">
        <w:rPr>
          <w:lang w:val="en-GB"/>
        </w:rPr>
        <w:t xml:space="preserve">The committee agreed with the ERG that </w:t>
      </w:r>
      <w:r w:rsidR="00AE7EA9" w:rsidRPr="00302EB4">
        <w:rPr>
          <w:lang w:val="en-GB"/>
        </w:rPr>
        <w:t xml:space="preserve">all the company’s original comparators, plus ocrelizumab, are relevant comparators </w:t>
      </w:r>
      <w:r w:rsidR="00C473A2">
        <w:rPr>
          <w:lang w:val="en-GB"/>
        </w:rPr>
        <w:t>for</w:t>
      </w:r>
      <w:r w:rsidR="00C473A2" w:rsidRPr="00302EB4">
        <w:rPr>
          <w:lang w:val="en-GB"/>
        </w:rPr>
        <w:t xml:space="preserve"> </w:t>
      </w:r>
      <w:r w:rsidR="00AE7EA9" w:rsidRPr="00302EB4">
        <w:rPr>
          <w:lang w:val="en-GB"/>
        </w:rPr>
        <w:t>first</w:t>
      </w:r>
      <w:r w:rsidR="00C473A2">
        <w:rPr>
          <w:lang w:val="en-GB"/>
        </w:rPr>
        <w:t>-</w:t>
      </w:r>
      <w:r w:rsidR="00AE7EA9" w:rsidRPr="00302EB4">
        <w:rPr>
          <w:lang w:val="en-GB"/>
        </w:rPr>
        <w:t>line</w:t>
      </w:r>
      <w:r w:rsidR="00C473A2">
        <w:rPr>
          <w:lang w:val="en-GB"/>
        </w:rPr>
        <w:t xml:space="preserve"> treatment</w:t>
      </w:r>
      <w:r w:rsidR="00AE7EA9" w:rsidRPr="00302EB4">
        <w:rPr>
          <w:lang w:val="en-GB"/>
        </w:rPr>
        <w:t>.</w:t>
      </w:r>
      <w:r w:rsidR="000B26E5" w:rsidRPr="00302EB4">
        <w:rPr>
          <w:lang w:val="en-GB"/>
        </w:rPr>
        <w:t xml:space="preserve"> </w:t>
      </w:r>
      <w:r w:rsidR="00EC400D">
        <w:rPr>
          <w:lang w:val="en-GB"/>
        </w:rPr>
        <w:t>Also</w:t>
      </w:r>
      <w:r w:rsidR="0028181C" w:rsidRPr="00302EB4">
        <w:rPr>
          <w:lang w:val="en-GB"/>
        </w:rPr>
        <w:t xml:space="preserve">, </w:t>
      </w:r>
      <w:r w:rsidR="00E93EA9" w:rsidRPr="00302EB4">
        <w:rPr>
          <w:lang w:val="en-GB"/>
        </w:rPr>
        <w:t xml:space="preserve">the company and experts </w:t>
      </w:r>
      <w:r w:rsidR="006173DC">
        <w:rPr>
          <w:lang w:val="en-GB"/>
        </w:rPr>
        <w:t xml:space="preserve">had </w:t>
      </w:r>
      <w:r w:rsidR="00E26B50">
        <w:rPr>
          <w:lang w:val="en-GB"/>
        </w:rPr>
        <w:t xml:space="preserve">explained </w:t>
      </w:r>
      <w:r w:rsidR="00E93EA9" w:rsidRPr="00302EB4">
        <w:rPr>
          <w:lang w:val="en-GB"/>
        </w:rPr>
        <w:t xml:space="preserve">that </w:t>
      </w:r>
      <w:r w:rsidR="004D1A95" w:rsidRPr="00302EB4">
        <w:rPr>
          <w:lang w:val="en-GB"/>
        </w:rPr>
        <w:t>o</w:t>
      </w:r>
      <w:r w:rsidR="005C3D3D" w:rsidRPr="00302EB4">
        <w:rPr>
          <w:lang w:val="en-GB"/>
        </w:rPr>
        <w:t xml:space="preserve">zanimod </w:t>
      </w:r>
      <w:r w:rsidR="000B26E5" w:rsidRPr="00302EB4">
        <w:rPr>
          <w:lang w:val="en-GB"/>
        </w:rPr>
        <w:t>could</w:t>
      </w:r>
      <w:r w:rsidR="004D1A95" w:rsidRPr="00302EB4">
        <w:rPr>
          <w:lang w:val="en-GB"/>
        </w:rPr>
        <w:t xml:space="preserve"> also be used as a second</w:t>
      </w:r>
      <w:r w:rsidR="00E26B50">
        <w:rPr>
          <w:lang w:val="en-GB"/>
        </w:rPr>
        <w:t>-</w:t>
      </w:r>
      <w:r w:rsidR="005C3D3D" w:rsidRPr="00302EB4">
        <w:rPr>
          <w:lang w:val="en-GB"/>
        </w:rPr>
        <w:t>line t</w:t>
      </w:r>
      <w:r w:rsidR="00E45B8A">
        <w:rPr>
          <w:lang w:val="en-GB"/>
        </w:rPr>
        <w:t>reatment</w:t>
      </w:r>
      <w:r w:rsidR="005C3D3D" w:rsidRPr="00302EB4">
        <w:rPr>
          <w:lang w:val="en-GB"/>
        </w:rPr>
        <w:t xml:space="preserve"> </w:t>
      </w:r>
      <w:r w:rsidR="00E26B50">
        <w:rPr>
          <w:lang w:val="en-GB"/>
        </w:rPr>
        <w:t xml:space="preserve">when </w:t>
      </w:r>
      <w:r w:rsidR="00E26B50" w:rsidRPr="00302EB4">
        <w:rPr>
          <w:lang w:val="en-GB"/>
        </w:rPr>
        <w:t>relapsing–remitting multiple sclerosis</w:t>
      </w:r>
      <w:r w:rsidR="005C3D3D" w:rsidRPr="00302EB4">
        <w:rPr>
          <w:lang w:val="en-GB"/>
        </w:rPr>
        <w:t xml:space="preserve"> ha</w:t>
      </w:r>
      <w:r w:rsidR="00E26B50">
        <w:rPr>
          <w:lang w:val="en-GB"/>
        </w:rPr>
        <w:t>s</w:t>
      </w:r>
      <w:r w:rsidR="004D1A95" w:rsidRPr="00302EB4">
        <w:rPr>
          <w:lang w:val="en-GB"/>
        </w:rPr>
        <w:t xml:space="preserve"> not responded to</w:t>
      </w:r>
      <w:r w:rsidR="005C3D3D" w:rsidRPr="00302EB4">
        <w:rPr>
          <w:lang w:val="en-GB"/>
        </w:rPr>
        <w:t xml:space="preserve"> </w:t>
      </w:r>
      <w:r w:rsidR="00B16169">
        <w:rPr>
          <w:lang w:val="en-GB"/>
        </w:rPr>
        <w:t>1 </w:t>
      </w:r>
      <w:r w:rsidR="005C3D3D" w:rsidRPr="00302EB4">
        <w:rPr>
          <w:lang w:val="en-GB"/>
        </w:rPr>
        <w:t xml:space="preserve">or </w:t>
      </w:r>
      <w:r w:rsidR="005C3D3D" w:rsidRPr="00302EB4">
        <w:rPr>
          <w:lang w:val="en-GB"/>
        </w:rPr>
        <w:lastRenderedPageBreak/>
        <w:t xml:space="preserve">more of the infusion </w:t>
      </w:r>
      <w:r w:rsidR="004D1A95" w:rsidRPr="00302EB4">
        <w:rPr>
          <w:lang w:val="en-GB"/>
        </w:rPr>
        <w:t>or</w:t>
      </w:r>
      <w:r w:rsidR="005C3D3D" w:rsidRPr="00302EB4">
        <w:rPr>
          <w:lang w:val="en-GB"/>
        </w:rPr>
        <w:t xml:space="preserve"> injectable t</w:t>
      </w:r>
      <w:r w:rsidR="00B16169">
        <w:rPr>
          <w:lang w:val="en-GB"/>
        </w:rPr>
        <w:t>reatment</w:t>
      </w:r>
      <w:r w:rsidR="005C3D3D" w:rsidRPr="00302EB4">
        <w:rPr>
          <w:lang w:val="en-GB"/>
        </w:rPr>
        <w:t>s</w:t>
      </w:r>
      <w:r w:rsidR="00E93EA9" w:rsidRPr="00302EB4">
        <w:rPr>
          <w:lang w:val="en-GB"/>
        </w:rPr>
        <w:t xml:space="preserve"> (see section</w:t>
      </w:r>
      <w:r w:rsidR="00B16169">
        <w:rPr>
          <w:lang w:val="en-GB"/>
        </w:rPr>
        <w:t> </w:t>
      </w:r>
      <w:r w:rsidR="006A57F2">
        <w:rPr>
          <w:lang w:val="en-GB"/>
        </w:rPr>
        <w:t>3.1</w:t>
      </w:r>
      <w:r w:rsidR="00E93EA9" w:rsidRPr="00302EB4">
        <w:rPr>
          <w:lang w:val="en-GB"/>
        </w:rPr>
        <w:t>)</w:t>
      </w:r>
      <w:r w:rsidR="004D1A95" w:rsidRPr="00302EB4">
        <w:rPr>
          <w:lang w:val="en-GB"/>
        </w:rPr>
        <w:t xml:space="preserve">. </w:t>
      </w:r>
      <w:r w:rsidR="00423946">
        <w:rPr>
          <w:lang w:val="en-GB"/>
        </w:rPr>
        <w:t>So</w:t>
      </w:r>
      <w:r w:rsidR="00E93EA9" w:rsidRPr="00302EB4">
        <w:rPr>
          <w:lang w:val="en-GB"/>
        </w:rPr>
        <w:t>, the committee considered second</w:t>
      </w:r>
      <w:r w:rsidR="00423946">
        <w:rPr>
          <w:lang w:val="en-GB"/>
        </w:rPr>
        <w:t>-</w:t>
      </w:r>
      <w:r w:rsidR="00E93EA9" w:rsidRPr="00302EB4">
        <w:rPr>
          <w:lang w:val="en-GB"/>
        </w:rPr>
        <w:t>line treatments to also be comparators</w:t>
      </w:r>
      <w:r w:rsidR="00816A4B" w:rsidRPr="00302EB4">
        <w:rPr>
          <w:lang w:val="en-GB"/>
        </w:rPr>
        <w:t>, several of which had not been included by the company</w:t>
      </w:r>
      <w:r w:rsidR="00E93EA9" w:rsidRPr="00302EB4">
        <w:rPr>
          <w:lang w:val="en-GB"/>
        </w:rPr>
        <w:t xml:space="preserve">. </w:t>
      </w:r>
      <w:r w:rsidR="004D1A95" w:rsidRPr="00302EB4">
        <w:rPr>
          <w:lang w:val="en-GB"/>
        </w:rPr>
        <w:t xml:space="preserve">The committee concluded that all </w:t>
      </w:r>
      <w:r w:rsidR="005D0C39">
        <w:rPr>
          <w:lang w:val="en-GB"/>
        </w:rPr>
        <w:t xml:space="preserve">first- and second-line </w:t>
      </w:r>
      <w:r w:rsidR="004D1A95" w:rsidRPr="00302EB4">
        <w:rPr>
          <w:lang w:val="en-GB"/>
        </w:rPr>
        <w:t xml:space="preserve">treatments used for active relapsing–remitting multiple sclerosis, including ocrelizumab, </w:t>
      </w:r>
      <w:r w:rsidR="00423946">
        <w:rPr>
          <w:lang w:val="en-GB"/>
        </w:rPr>
        <w:t>we</w:t>
      </w:r>
      <w:r w:rsidR="00423946" w:rsidRPr="00302EB4">
        <w:rPr>
          <w:lang w:val="en-GB"/>
        </w:rPr>
        <w:t xml:space="preserve">re </w:t>
      </w:r>
      <w:r w:rsidR="004D1A95" w:rsidRPr="00302EB4">
        <w:rPr>
          <w:lang w:val="en-GB"/>
        </w:rPr>
        <w:t>comparators.</w:t>
      </w:r>
    </w:p>
    <w:p w14:paraId="1EF350C8" w14:textId="590BFBB6" w:rsidR="00643582" w:rsidRPr="00302EB4" w:rsidRDefault="00D73D03" w:rsidP="00643582">
      <w:pPr>
        <w:pStyle w:val="Heading2"/>
      </w:pPr>
      <w:r w:rsidRPr="00302EB4">
        <w:t>Ozanimod clinical trials</w:t>
      </w:r>
    </w:p>
    <w:p w14:paraId="776EC8B8" w14:textId="13913227" w:rsidR="00643582" w:rsidRPr="00302EB4" w:rsidRDefault="001D615E" w:rsidP="0073007E">
      <w:pPr>
        <w:pStyle w:val="Heading3"/>
      </w:pPr>
      <w:bookmarkStart w:id="4" w:name="_Hlk58577126"/>
      <w:r w:rsidRPr="00302EB4">
        <w:t xml:space="preserve">Baseline characteristics in </w:t>
      </w:r>
      <w:r w:rsidR="00F54AB5">
        <w:t>the trials</w:t>
      </w:r>
      <w:r w:rsidR="00ED2A74" w:rsidRPr="00302EB4">
        <w:t xml:space="preserve"> </w:t>
      </w:r>
      <w:r w:rsidR="00AE4C36">
        <w:t xml:space="preserve">are generalisable to </w:t>
      </w:r>
      <w:r w:rsidR="00F54AB5">
        <w:t xml:space="preserve">people in </w:t>
      </w:r>
      <w:r w:rsidR="00AE4C36">
        <w:t>the</w:t>
      </w:r>
      <w:r w:rsidRPr="00302EB4">
        <w:t xml:space="preserve"> NHS with active </w:t>
      </w:r>
      <w:bookmarkStart w:id="5" w:name="_Hlk59100372"/>
      <w:r w:rsidRPr="00302EB4">
        <w:t xml:space="preserve">relapsing–remitting multiple </w:t>
      </w:r>
      <w:proofErr w:type="gramStart"/>
      <w:r w:rsidRPr="00302EB4">
        <w:t>sclerosis</w:t>
      </w:r>
      <w:bookmarkEnd w:id="5"/>
      <w:proofErr w:type="gramEnd"/>
    </w:p>
    <w:bookmarkEnd w:id="4"/>
    <w:p w14:paraId="1329D91E" w14:textId="799F038D" w:rsidR="00215CF4" w:rsidRPr="00302EB4" w:rsidRDefault="00994070" w:rsidP="009714AB">
      <w:pPr>
        <w:pStyle w:val="Numberedlevel2text"/>
        <w:rPr>
          <w:lang w:val="en-GB"/>
        </w:rPr>
      </w:pPr>
      <w:r w:rsidRPr="00302EB4">
        <w:rPr>
          <w:lang w:val="en-GB"/>
        </w:rPr>
        <w:t xml:space="preserve">The </w:t>
      </w:r>
      <w:r w:rsidR="00B633A7">
        <w:rPr>
          <w:lang w:val="en-GB"/>
        </w:rPr>
        <w:t>p</w:t>
      </w:r>
      <w:r w:rsidRPr="00302EB4">
        <w:rPr>
          <w:lang w:val="en-GB"/>
        </w:rPr>
        <w:t>hase</w:t>
      </w:r>
      <w:r w:rsidR="00F70179">
        <w:rPr>
          <w:lang w:val="en-GB"/>
        </w:rPr>
        <w:t> </w:t>
      </w:r>
      <w:r w:rsidRPr="00302EB4">
        <w:rPr>
          <w:lang w:val="en-GB"/>
        </w:rPr>
        <w:t xml:space="preserve">3 trials RADIANCE </w:t>
      </w:r>
      <w:r w:rsidR="00B633A7">
        <w:rPr>
          <w:lang w:val="en-GB"/>
        </w:rPr>
        <w:t>p</w:t>
      </w:r>
      <w:r w:rsidRPr="00302EB4">
        <w:rPr>
          <w:lang w:val="en-GB"/>
        </w:rPr>
        <w:t>art B and SUNBEAM compared ozanimod with interferon beta</w:t>
      </w:r>
      <w:r w:rsidR="0000053D">
        <w:rPr>
          <w:lang w:val="en-GB"/>
        </w:rPr>
        <w:noBreakHyphen/>
      </w:r>
      <w:r w:rsidRPr="00302EB4">
        <w:rPr>
          <w:lang w:val="en-GB"/>
        </w:rPr>
        <w:t>1</w:t>
      </w:r>
      <w:r w:rsidR="003956C3" w:rsidRPr="00302EB4">
        <w:rPr>
          <w:lang w:val="en-GB"/>
        </w:rPr>
        <w:t>a</w:t>
      </w:r>
      <w:r w:rsidRPr="00302EB4">
        <w:rPr>
          <w:lang w:val="en-GB"/>
        </w:rPr>
        <w:t>.</w:t>
      </w:r>
      <w:r w:rsidR="004E52B2" w:rsidRPr="00302EB4">
        <w:rPr>
          <w:lang w:val="en-GB"/>
        </w:rPr>
        <w:t xml:space="preserve"> The trials had very similar designs, inclusion an</w:t>
      </w:r>
      <w:r w:rsidR="005B67FE">
        <w:rPr>
          <w:lang w:val="en-GB"/>
        </w:rPr>
        <w:t>d</w:t>
      </w:r>
      <w:r w:rsidR="004E52B2" w:rsidRPr="00302EB4">
        <w:rPr>
          <w:lang w:val="en-GB"/>
        </w:rPr>
        <w:t xml:space="preserve"> exclusion criteria and outcomes, but differed in duration (RADIANCE </w:t>
      </w:r>
      <w:r w:rsidR="00B633A7">
        <w:rPr>
          <w:lang w:val="en-GB"/>
        </w:rPr>
        <w:t>p</w:t>
      </w:r>
      <w:r w:rsidR="004E52B2" w:rsidRPr="00302EB4">
        <w:rPr>
          <w:lang w:val="en-GB"/>
        </w:rPr>
        <w:t>art</w:t>
      </w:r>
      <w:r w:rsidR="004551DD">
        <w:rPr>
          <w:lang w:val="en-GB"/>
        </w:rPr>
        <w:t> </w:t>
      </w:r>
      <w:r w:rsidR="004E52B2" w:rsidRPr="00302EB4">
        <w:rPr>
          <w:lang w:val="en-GB"/>
        </w:rPr>
        <w:t>B had a 24</w:t>
      </w:r>
      <w:r w:rsidR="003842A9">
        <w:rPr>
          <w:lang w:val="en-GB"/>
        </w:rPr>
        <w:noBreakHyphen/>
      </w:r>
      <w:r w:rsidR="004E52B2" w:rsidRPr="00302EB4">
        <w:rPr>
          <w:lang w:val="en-GB"/>
        </w:rPr>
        <w:t xml:space="preserve">month follow-up period, whereas SUNBEAM </w:t>
      </w:r>
      <w:r w:rsidR="00B82F07" w:rsidRPr="00302EB4">
        <w:rPr>
          <w:lang w:val="en-GB"/>
        </w:rPr>
        <w:t>had a 12</w:t>
      </w:r>
      <w:r w:rsidR="0000053D">
        <w:rPr>
          <w:lang w:val="en-GB"/>
        </w:rPr>
        <w:noBreakHyphen/>
      </w:r>
      <w:r w:rsidR="00B82F07" w:rsidRPr="00302EB4">
        <w:rPr>
          <w:lang w:val="en-GB"/>
        </w:rPr>
        <w:t>month follow-up period).</w:t>
      </w:r>
      <w:r w:rsidR="009714AB" w:rsidRPr="00302EB4">
        <w:rPr>
          <w:lang w:val="en-GB"/>
        </w:rPr>
        <w:t xml:space="preserve"> </w:t>
      </w:r>
      <w:r w:rsidR="001D615E" w:rsidRPr="00302EB4">
        <w:rPr>
          <w:lang w:val="en-GB"/>
        </w:rPr>
        <w:t xml:space="preserve">The </w:t>
      </w:r>
      <w:r w:rsidR="00EF4BA1" w:rsidRPr="00302EB4">
        <w:rPr>
          <w:lang w:val="en-GB"/>
        </w:rPr>
        <w:t xml:space="preserve">ERG </w:t>
      </w:r>
      <w:r w:rsidR="00EA4FC3" w:rsidRPr="00302EB4">
        <w:rPr>
          <w:lang w:val="en-GB"/>
        </w:rPr>
        <w:t>considered</w:t>
      </w:r>
      <w:r w:rsidR="00EF4BA1" w:rsidRPr="00302EB4">
        <w:rPr>
          <w:lang w:val="en-GB"/>
        </w:rPr>
        <w:t xml:space="preserve"> that although the baseline characteristics </w:t>
      </w:r>
      <w:r w:rsidR="00F70179">
        <w:rPr>
          <w:lang w:val="en-GB"/>
        </w:rPr>
        <w:t xml:space="preserve">of people in the trials </w:t>
      </w:r>
      <w:r w:rsidR="004551DD">
        <w:rPr>
          <w:lang w:val="en-GB"/>
        </w:rPr>
        <w:t>we</w:t>
      </w:r>
      <w:r w:rsidR="004551DD" w:rsidRPr="00302EB4">
        <w:rPr>
          <w:lang w:val="en-GB"/>
        </w:rPr>
        <w:t xml:space="preserve">re </w:t>
      </w:r>
      <w:r w:rsidRPr="00302EB4">
        <w:rPr>
          <w:lang w:val="en-GB"/>
        </w:rPr>
        <w:t xml:space="preserve">broadly generalisable to </w:t>
      </w:r>
      <w:r w:rsidR="004551DD">
        <w:rPr>
          <w:lang w:val="en-GB"/>
        </w:rPr>
        <w:t xml:space="preserve">people having treatment in the </w:t>
      </w:r>
      <w:r w:rsidRPr="00302EB4">
        <w:rPr>
          <w:lang w:val="en-GB"/>
        </w:rPr>
        <w:t xml:space="preserve">NHS, there </w:t>
      </w:r>
      <w:r w:rsidR="00F70179">
        <w:rPr>
          <w:lang w:val="en-GB"/>
        </w:rPr>
        <w:t>were</w:t>
      </w:r>
      <w:r w:rsidRPr="00302EB4">
        <w:rPr>
          <w:lang w:val="en-GB"/>
        </w:rPr>
        <w:t xml:space="preserve"> some characteristics that may limit generalisability. For example, around 2</w:t>
      </w:r>
      <w:r w:rsidR="001C5E36">
        <w:rPr>
          <w:lang w:val="en-GB"/>
        </w:rPr>
        <w:t>3</w:t>
      </w:r>
      <w:r w:rsidRPr="00302EB4">
        <w:rPr>
          <w:lang w:val="en-GB"/>
        </w:rPr>
        <w:t>% of people in the trials had highly active or rapidly evolving severe</w:t>
      </w:r>
      <w:r w:rsidR="00EA4FC3" w:rsidRPr="00302EB4">
        <w:rPr>
          <w:lang w:val="en-GB"/>
        </w:rPr>
        <w:t xml:space="preserve"> </w:t>
      </w:r>
      <w:r w:rsidR="00C85539" w:rsidRPr="002637B0">
        <w:rPr>
          <w:lang w:val="en-GB"/>
        </w:rPr>
        <w:t xml:space="preserve">relapsing–remitting multiple sclerosis </w:t>
      </w:r>
      <w:r w:rsidR="00EA4FC3" w:rsidRPr="00302EB4">
        <w:rPr>
          <w:lang w:val="en-GB"/>
        </w:rPr>
        <w:t xml:space="preserve">and about 30% had </w:t>
      </w:r>
      <w:r w:rsidR="00C7679D">
        <w:rPr>
          <w:lang w:val="en-GB"/>
        </w:rPr>
        <w:t xml:space="preserve">already </w:t>
      </w:r>
      <w:r w:rsidR="00F70179">
        <w:rPr>
          <w:lang w:val="en-GB"/>
        </w:rPr>
        <w:t xml:space="preserve">had </w:t>
      </w:r>
      <w:r w:rsidR="00EA4FC3" w:rsidRPr="00302EB4">
        <w:rPr>
          <w:lang w:val="en-GB"/>
        </w:rPr>
        <w:t xml:space="preserve">a prior disease-modifying therapy. The ERG explained that </w:t>
      </w:r>
      <w:r w:rsidRPr="00302EB4">
        <w:rPr>
          <w:lang w:val="en-GB"/>
        </w:rPr>
        <w:t xml:space="preserve">this was not in </w:t>
      </w:r>
      <w:r w:rsidR="00F70179">
        <w:rPr>
          <w:lang w:val="en-GB"/>
        </w:rPr>
        <w:t>line</w:t>
      </w:r>
      <w:r w:rsidR="00F70179" w:rsidRPr="00302EB4">
        <w:rPr>
          <w:lang w:val="en-GB"/>
        </w:rPr>
        <w:t xml:space="preserve"> </w:t>
      </w:r>
      <w:r w:rsidRPr="00302EB4">
        <w:rPr>
          <w:lang w:val="en-GB"/>
        </w:rPr>
        <w:t>with the company</w:t>
      </w:r>
      <w:r w:rsidR="00EA4FC3" w:rsidRPr="00302EB4">
        <w:rPr>
          <w:lang w:val="en-GB"/>
        </w:rPr>
        <w:t xml:space="preserve"> submission but may have become less of an issue since the company updated </w:t>
      </w:r>
      <w:r w:rsidR="00C76DD6">
        <w:rPr>
          <w:lang w:val="en-GB"/>
        </w:rPr>
        <w:t>ozanimod’s</w:t>
      </w:r>
      <w:r w:rsidR="00C76DD6" w:rsidRPr="00302EB4">
        <w:rPr>
          <w:lang w:val="en-GB"/>
        </w:rPr>
        <w:t xml:space="preserve"> </w:t>
      </w:r>
      <w:r w:rsidR="00EA4FC3" w:rsidRPr="00302EB4">
        <w:rPr>
          <w:lang w:val="en-GB"/>
        </w:rPr>
        <w:t xml:space="preserve">positioning to </w:t>
      </w:r>
      <w:r w:rsidR="009714AB" w:rsidRPr="00302EB4">
        <w:rPr>
          <w:lang w:val="en-GB"/>
        </w:rPr>
        <w:t>a second</w:t>
      </w:r>
      <w:r w:rsidR="004551DD">
        <w:rPr>
          <w:lang w:val="en-GB"/>
        </w:rPr>
        <w:t>-</w:t>
      </w:r>
      <w:r w:rsidR="009714AB" w:rsidRPr="00302EB4">
        <w:rPr>
          <w:lang w:val="en-GB"/>
        </w:rPr>
        <w:t>line treatment</w:t>
      </w:r>
      <w:r w:rsidRPr="00302EB4">
        <w:rPr>
          <w:lang w:val="en-GB"/>
        </w:rPr>
        <w:t xml:space="preserve">. </w:t>
      </w:r>
      <w:r w:rsidR="00EA4FC3" w:rsidRPr="00302EB4">
        <w:rPr>
          <w:lang w:val="en-GB"/>
        </w:rPr>
        <w:t>The ERG also highlighted that</w:t>
      </w:r>
      <w:r w:rsidRPr="00302EB4">
        <w:rPr>
          <w:lang w:val="en-GB"/>
        </w:rPr>
        <w:t xml:space="preserve"> there was a higher proportion of people of white </w:t>
      </w:r>
      <w:r w:rsidR="00C85539">
        <w:rPr>
          <w:lang w:val="en-GB"/>
        </w:rPr>
        <w:t>family origin</w:t>
      </w:r>
      <w:r w:rsidR="00C85539" w:rsidRPr="00302EB4">
        <w:rPr>
          <w:lang w:val="en-GB"/>
        </w:rPr>
        <w:t xml:space="preserve"> </w:t>
      </w:r>
      <w:r w:rsidRPr="00302EB4">
        <w:rPr>
          <w:lang w:val="en-GB"/>
        </w:rPr>
        <w:t>and from Eastern Europe than in the NHS</w:t>
      </w:r>
      <w:r w:rsidR="00AA3259" w:rsidRPr="00302EB4">
        <w:rPr>
          <w:lang w:val="en-GB"/>
        </w:rPr>
        <w:t xml:space="preserve"> population</w:t>
      </w:r>
      <w:r w:rsidRPr="00302EB4">
        <w:rPr>
          <w:lang w:val="en-GB"/>
        </w:rPr>
        <w:t xml:space="preserve">. The clinical experts advised that </w:t>
      </w:r>
      <w:r w:rsidR="00C85539">
        <w:rPr>
          <w:lang w:val="en-GB"/>
        </w:rPr>
        <w:t xml:space="preserve">the trial population </w:t>
      </w:r>
      <w:r w:rsidR="00DB5229">
        <w:rPr>
          <w:lang w:val="en-GB"/>
        </w:rPr>
        <w:t xml:space="preserve">and </w:t>
      </w:r>
      <w:r w:rsidR="00DB5229" w:rsidRPr="00302EB4">
        <w:rPr>
          <w:lang w:val="en-GB"/>
        </w:rPr>
        <w:t>the more diverse population in NHS practice</w:t>
      </w:r>
      <w:r w:rsidR="00DB5229">
        <w:rPr>
          <w:lang w:val="en-GB"/>
        </w:rPr>
        <w:t xml:space="preserve"> </w:t>
      </w:r>
      <w:r w:rsidR="004551DD">
        <w:rPr>
          <w:lang w:val="en-GB"/>
        </w:rPr>
        <w:t>w</w:t>
      </w:r>
      <w:r w:rsidR="00DB5229">
        <w:rPr>
          <w:lang w:val="en-GB"/>
        </w:rPr>
        <w:t>ere</w:t>
      </w:r>
      <w:r w:rsidR="00C85539">
        <w:rPr>
          <w:lang w:val="en-GB"/>
        </w:rPr>
        <w:t xml:space="preserve"> </w:t>
      </w:r>
      <w:r w:rsidRPr="00302EB4">
        <w:rPr>
          <w:lang w:val="en-GB"/>
        </w:rPr>
        <w:t xml:space="preserve">likely to have a similar </w:t>
      </w:r>
      <w:r w:rsidR="00CD326A" w:rsidRPr="00302EB4">
        <w:rPr>
          <w:lang w:val="en-GB"/>
        </w:rPr>
        <w:t>natural history</w:t>
      </w:r>
      <w:r w:rsidRPr="00302EB4">
        <w:rPr>
          <w:lang w:val="en-GB"/>
        </w:rPr>
        <w:t xml:space="preserve"> of </w:t>
      </w:r>
      <w:r w:rsidR="002637B0">
        <w:rPr>
          <w:lang w:val="en-GB"/>
        </w:rPr>
        <w:t>relapsing–remitting multiple sclerosis</w:t>
      </w:r>
      <w:r w:rsidRPr="00302EB4">
        <w:rPr>
          <w:lang w:val="en-GB"/>
        </w:rPr>
        <w:t xml:space="preserve">. They therefore considered the baseline characteristics in RADIANCE </w:t>
      </w:r>
      <w:r w:rsidR="00C85539">
        <w:rPr>
          <w:lang w:val="en-GB"/>
        </w:rPr>
        <w:t>p</w:t>
      </w:r>
      <w:r w:rsidRPr="00302EB4">
        <w:rPr>
          <w:lang w:val="en-GB"/>
        </w:rPr>
        <w:t>art</w:t>
      </w:r>
      <w:r w:rsidR="00064266">
        <w:rPr>
          <w:lang w:val="en-GB"/>
        </w:rPr>
        <w:t> </w:t>
      </w:r>
      <w:r w:rsidRPr="00302EB4">
        <w:rPr>
          <w:lang w:val="en-GB"/>
        </w:rPr>
        <w:t xml:space="preserve">B and SUNBEAM to be generalisable to NHS practice. </w:t>
      </w:r>
      <w:r w:rsidR="004A28D5" w:rsidRPr="00302EB4">
        <w:rPr>
          <w:lang w:val="en-GB"/>
        </w:rPr>
        <w:t xml:space="preserve">The committee concluded that the baseline characteristics in RADIANCE </w:t>
      </w:r>
      <w:r w:rsidR="00C85539">
        <w:rPr>
          <w:lang w:val="en-GB"/>
        </w:rPr>
        <w:t>p</w:t>
      </w:r>
      <w:r w:rsidR="004A28D5" w:rsidRPr="00302EB4">
        <w:rPr>
          <w:lang w:val="en-GB"/>
        </w:rPr>
        <w:t>art</w:t>
      </w:r>
      <w:r w:rsidR="00334CCF">
        <w:rPr>
          <w:lang w:val="en-GB"/>
        </w:rPr>
        <w:t> </w:t>
      </w:r>
      <w:r w:rsidR="004A28D5" w:rsidRPr="00302EB4">
        <w:rPr>
          <w:lang w:val="en-GB"/>
        </w:rPr>
        <w:t xml:space="preserve">B and SUNBEAM </w:t>
      </w:r>
      <w:r w:rsidR="0020432E">
        <w:rPr>
          <w:lang w:val="en-GB"/>
        </w:rPr>
        <w:t>we</w:t>
      </w:r>
      <w:r w:rsidR="001D6D57">
        <w:rPr>
          <w:lang w:val="en-GB"/>
        </w:rPr>
        <w:t>re generalisable to</w:t>
      </w:r>
      <w:r w:rsidR="004A28D5" w:rsidRPr="00302EB4">
        <w:rPr>
          <w:lang w:val="en-GB"/>
        </w:rPr>
        <w:t xml:space="preserve"> </w:t>
      </w:r>
      <w:r w:rsidR="00F54AB5">
        <w:rPr>
          <w:lang w:val="en-GB"/>
        </w:rPr>
        <w:t xml:space="preserve">people in </w:t>
      </w:r>
      <w:r w:rsidR="004A28D5" w:rsidRPr="00302EB4">
        <w:rPr>
          <w:lang w:val="en-GB"/>
        </w:rPr>
        <w:t>the NHS with active relapsing–remitting multiple sclerosis.</w:t>
      </w:r>
    </w:p>
    <w:p w14:paraId="56C274F1" w14:textId="1059CFD9" w:rsidR="00215CF4" w:rsidRPr="00302EB4" w:rsidRDefault="002F52BA" w:rsidP="00215CF4">
      <w:pPr>
        <w:pStyle w:val="Heading3"/>
      </w:pPr>
      <w:r w:rsidRPr="00302EB4">
        <w:lastRenderedPageBreak/>
        <w:t xml:space="preserve">Ozanimod </w:t>
      </w:r>
      <w:r w:rsidR="00ED2A74" w:rsidRPr="00302EB4">
        <w:t>reduc</w:t>
      </w:r>
      <w:r w:rsidR="00B11BE5">
        <w:t>es</w:t>
      </w:r>
      <w:r w:rsidR="00ED2A74" w:rsidRPr="00302EB4">
        <w:t xml:space="preserve"> relapses </w:t>
      </w:r>
      <w:r w:rsidRPr="00302EB4">
        <w:t>and brain lesions co</w:t>
      </w:r>
      <w:r w:rsidR="00AA3259" w:rsidRPr="00302EB4">
        <w:t>mpared with interferon beta-1a</w:t>
      </w:r>
      <w:r w:rsidRPr="00302EB4">
        <w:t xml:space="preserve">, but its effects on disability progression are </w:t>
      </w:r>
      <w:proofErr w:type="gramStart"/>
      <w:r w:rsidRPr="00302EB4">
        <w:t>uncertain</w:t>
      </w:r>
      <w:proofErr w:type="gramEnd"/>
    </w:p>
    <w:p w14:paraId="335F0B72" w14:textId="25C8BC28" w:rsidR="00522BD7" w:rsidRDefault="004E52B2" w:rsidP="0092653E">
      <w:pPr>
        <w:pStyle w:val="Numberedlevel2text"/>
        <w:rPr>
          <w:lang w:val="en-GB"/>
        </w:rPr>
      </w:pPr>
      <w:r w:rsidRPr="00302EB4">
        <w:rPr>
          <w:lang w:val="en-GB"/>
        </w:rPr>
        <w:t xml:space="preserve">In </w:t>
      </w:r>
      <w:r w:rsidR="00AA3259" w:rsidRPr="00302EB4">
        <w:rPr>
          <w:lang w:val="en-GB"/>
        </w:rPr>
        <w:t xml:space="preserve">RADIANCE </w:t>
      </w:r>
      <w:r w:rsidR="00522BD7">
        <w:rPr>
          <w:lang w:val="en-GB"/>
        </w:rPr>
        <w:t>p</w:t>
      </w:r>
      <w:r w:rsidR="00AA3259" w:rsidRPr="00302EB4">
        <w:rPr>
          <w:lang w:val="en-GB"/>
        </w:rPr>
        <w:t>art</w:t>
      </w:r>
      <w:r w:rsidR="00334CCF">
        <w:rPr>
          <w:lang w:val="en-GB"/>
        </w:rPr>
        <w:t> </w:t>
      </w:r>
      <w:r w:rsidR="00AA3259" w:rsidRPr="00302EB4">
        <w:rPr>
          <w:lang w:val="en-GB"/>
        </w:rPr>
        <w:t xml:space="preserve">B and </w:t>
      </w:r>
      <w:r w:rsidRPr="00302EB4">
        <w:rPr>
          <w:lang w:val="en-GB"/>
        </w:rPr>
        <w:t>SUNBEAM,</w:t>
      </w:r>
      <w:r w:rsidR="00AA3259" w:rsidRPr="00302EB4">
        <w:rPr>
          <w:lang w:val="en-GB"/>
        </w:rPr>
        <w:t xml:space="preserve"> </w:t>
      </w:r>
      <w:r w:rsidRPr="00302EB4">
        <w:rPr>
          <w:lang w:val="en-GB"/>
        </w:rPr>
        <w:t>the primary outcome was annualised relapse rate. Key secondary outcomes included</w:t>
      </w:r>
      <w:r w:rsidR="00522BD7">
        <w:rPr>
          <w:lang w:val="en-GB"/>
        </w:rPr>
        <w:t>:</w:t>
      </w:r>
    </w:p>
    <w:p w14:paraId="71F17F18" w14:textId="2A120633" w:rsidR="00522BD7" w:rsidRDefault="004E52B2" w:rsidP="00522BD7">
      <w:pPr>
        <w:pStyle w:val="Bulletindent1"/>
      </w:pPr>
      <w:r w:rsidRPr="00302EB4">
        <w:t>number of new or enlarging hyperintense T2</w:t>
      </w:r>
      <w:r w:rsidR="003842A9">
        <w:noBreakHyphen/>
      </w:r>
      <w:r w:rsidRPr="00302EB4">
        <w:t xml:space="preserve">weighted brain MRI </w:t>
      </w:r>
      <w:proofErr w:type="gramStart"/>
      <w:r w:rsidRPr="00302EB4">
        <w:t>lesions</w:t>
      </w:r>
      <w:proofErr w:type="gramEnd"/>
    </w:p>
    <w:p w14:paraId="41CB05A1" w14:textId="48E3AD43" w:rsidR="00522BD7" w:rsidRDefault="004E52B2" w:rsidP="00522BD7">
      <w:pPr>
        <w:pStyle w:val="Bulletindent1"/>
      </w:pPr>
      <w:r w:rsidRPr="00302EB4">
        <w:t xml:space="preserve">number of </w:t>
      </w:r>
      <w:proofErr w:type="gramStart"/>
      <w:r w:rsidRPr="00302EB4">
        <w:t>gadolinium-enhanced</w:t>
      </w:r>
      <w:proofErr w:type="gramEnd"/>
      <w:r w:rsidR="00662451" w:rsidRPr="00302EB4">
        <w:t xml:space="preserve"> T1</w:t>
      </w:r>
      <w:r w:rsidRPr="00302EB4">
        <w:t xml:space="preserve"> brain MRI lesions and</w:t>
      </w:r>
    </w:p>
    <w:p w14:paraId="1CCE3D9C" w14:textId="4CCADDB2" w:rsidR="00522BD7" w:rsidRDefault="004E52B2" w:rsidP="0086485F">
      <w:pPr>
        <w:pStyle w:val="Bulletindent1last"/>
      </w:pPr>
      <w:r w:rsidRPr="00302EB4">
        <w:t>time to onset of confirmed disability progression (CDP) after 3</w:t>
      </w:r>
      <w:r w:rsidR="00522BD7">
        <w:t> </w:t>
      </w:r>
      <w:r w:rsidRPr="00302EB4">
        <w:t>months (</w:t>
      </w:r>
      <w:r w:rsidR="005B67FE">
        <w:t>CDP</w:t>
      </w:r>
      <w:r w:rsidR="00334CCF">
        <w:noBreakHyphen/>
      </w:r>
      <w:r w:rsidRPr="00302EB4">
        <w:t>3M) and after 6</w:t>
      </w:r>
      <w:r w:rsidR="00522BD7">
        <w:t> </w:t>
      </w:r>
      <w:r w:rsidRPr="00302EB4">
        <w:t>months (</w:t>
      </w:r>
      <w:r w:rsidR="005B67FE">
        <w:t>CDP</w:t>
      </w:r>
      <w:r w:rsidR="00334CCF">
        <w:noBreakHyphen/>
      </w:r>
      <w:r w:rsidRPr="00302EB4">
        <w:t>6M).</w:t>
      </w:r>
    </w:p>
    <w:p w14:paraId="6D0B9D83" w14:textId="58737A5F" w:rsidR="00566156" w:rsidRPr="00302EB4" w:rsidRDefault="004E52B2" w:rsidP="0086485F">
      <w:pPr>
        <w:pStyle w:val="NICEnormalindented"/>
      </w:pPr>
      <w:r w:rsidRPr="00302EB4">
        <w:t>The committee confirmed that in previous appraisals it had preferred to use CDP</w:t>
      </w:r>
      <w:r w:rsidR="00334CCF">
        <w:noBreakHyphen/>
      </w:r>
      <w:r w:rsidRPr="00302EB4">
        <w:t>6M instead of CDP</w:t>
      </w:r>
      <w:r w:rsidR="00334CCF">
        <w:noBreakHyphen/>
      </w:r>
      <w:r w:rsidRPr="00302EB4">
        <w:t xml:space="preserve">3M because </w:t>
      </w:r>
      <w:r w:rsidR="002D6049">
        <w:t>CDP</w:t>
      </w:r>
      <w:r w:rsidR="00334CCF">
        <w:noBreakHyphen/>
      </w:r>
      <w:r w:rsidR="002D6049">
        <w:t>6M</w:t>
      </w:r>
      <w:r w:rsidRPr="00302EB4">
        <w:t xml:space="preserve"> is a more </w:t>
      </w:r>
      <w:r w:rsidR="002D6049">
        <w:t>robust</w:t>
      </w:r>
      <w:r w:rsidRPr="00302EB4">
        <w:t xml:space="preserve"> measure of disability progression</w:t>
      </w:r>
      <w:r w:rsidR="002D6049">
        <w:t xml:space="preserve"> and is less likely to be influenced by relapses</w:t>
      </w:r>
      <w:r w:rsidRPr="00302EB4">
        <w:t>.</w:t>
      </w:r>
      <w:r w:rsidR="0092653E" w:rsidRPr="00302EB4">
        <w:t xml:space="preserve"> </w:t>
      </w:r>
      <w:r w:rsidR="00662451" w:rsidRPr="00302EB4">
        <w:t>Ozanimod was effective at reducing relapses compared with interferon beta</w:t>
      </w:r>
      <w:r w:rsidR="00334CCF">
        <w:noBreakHyphen/>
      </w:r>
      <w:r w:rsidR="00662451" w:rsidRPr="00302EB4">
        <w:t xml:space="preserve">1a in RADIANCE </w:t>
      </w:r>
      <w:r w:rsidR="00522BD7">
        <w:t>p</w:t>
      </w:r>
      <w:r w:rsidR="00662451" w:rsidRPr="00302EB4">
        <w:t>art</w:t>
      </w:r>
      <w:r w:rsidR="00334CCF">
        <w:t> </w:t>
      </w:r>
      <w:r w:rsidR="00662451" w:rsidRPr="00302EB4">
        <w:t xml:space="preserve">B, SUNBEAM and </w:t>
      </w:r>
      <w:r w:rsidR="00522BD7">
        <w:t>a</w:t>
      </w:r>
      <w:r w:rsidR="00522BD7" w:rsidRPr="00302EB4">
        <w:t xml:space="preserve"> </w:t>
      </w:r>
      <w:r w:rsidR="00662451" w:rsidRPr="00302EB4">
        <w:t>pooled analysis</w:t>
      </w:r>
      <w:r w:rsidR="00522BD7">
        <w:t xml:space="preserve"> using 12</w:t>
      </w:r>
      <w:r w:rsidR="003842A9">
        <w:noBreakHyphen/>
      </w:r>
      <w:r w:rsidR="00522BD7">
        <w:t>month data from each trial</w:t>
      </w:r>
      <w:r w:rsidR="00662451" w:rsidRPr="00302EB4">
        <w:t xml:space="preserve">. It was also </w:t>
      </w:r>
      <w:r w:rsidR="004551DD">
        <w:t xml:space="preserve">better than </w:t>
      </w:r>
      <w:r w:rsidR="004551DD" w:rsidRPr="00302EB4">
        <w:t>interferon beta</w:t>
      </w:r>
      <w:r w:rsidR="00334CCF">
        <w:noBreakHyphen/>
      </w:r>
      <w:r w:rsidR="004551DD" w:rsidRPr="00302EB4">
        <w:t xml:space="preserve">1a </w:t>
      </w:r>
      <w:r w:rsidR="004551DD">
        <w:t>for</w:t>
      </w:r>
      <w:r w:rsidR="00662451" w:rsidRPr="00302EB4">
        <w:t xml:space="preserve"> both MRI outcomes. However,</w:t>
      </w:r>
      <w:r w:rsidR="009B0490" w:rsidRPr="00302EB4">
        <w:t xml:space="preserve"> </w:t>
      </w:r>
      <w:r w:rsidR="004876EC" w:rsidRPr="00302EB4">
        <w:t xml:space="preserve">there was no statistically significant difference between </w:t>
      </w:r>
      <w:r w:rsidR="001F6AD3" w:rsidRPr="00302EB4">
        <w:t xml:space="preserve">ozanimod </w:t>
      </w:r>
      <w:r w:rsidR="004876EC" w:rsidRPr="00302EB4">
        <w:t>and</w:t>
      </w:r>
      <w:r w:rsidR="001F6AD3" w:rsidRPr="00302EB4">
        <w:t xml:space="preserve"> interferon beta</w:t>
      </w:r>
      <w:r w:rsidR="00F85A1B">
        <w:noBreakHyphen/>
      </w:r>
      <w:r w:rsidR="001F6AD3" w:rsidRPr="00302EB4">
        <w:t>1a for either CDP outcome.</w:t>
      </w:r>
      <w:r w:rsidR="009047A3">
        <w:t xml:space="preserve"> </w:t>
      </w:r>
      <w:r w:rsidR="00662451" w:rsidRPr="00302EB4">
        <w:t xml:space="preserve">The company explained that </w:t>
      </w:r>
      <w:r w:rsidR="00E46ED3">
        <w:t>ozanimod’s</w:t>
      </w:r>
      <w:r w:rsidR="00E46ED3" w:rsidRPr="00302EB4">
        <w:t xml:space="preserve"> </w:t>
      </w:r>
      <w:r w:rsidR="001F6AD3" w:rsidRPr="00302EB4">
        <w:t>benefits may have been underestimated because there were low rates of CDP</w:t>
      </w:r>
      <w:r w:rsidR="00662451" w:rsidRPr="00302EB4">
        <w:t xml:space="preserve"> </w:t>
      </w:r>
      <w:r w:rsidR="001F6AD3" w:rsidRPr="00302EB4">
        <w:t xml:space="preserve">in both treatment arms in the trials. </w:t>
      </w:r>
      <w:r w:rsidR="0043118F">
        <w:t>T</w:t>
      </w:r>
      <w:r w:rsidR="001F6AD3" w:rsidRPr="00302EB4">
        <w:t xml:space="preserve">his meant there was high variability and a wide statistical range in the results, and </w:t>
      </w:r>
      <w:r w:rsidR="00D725D5" w:rsidRPr="00302EB4">
        <w:t>a</w:t>
      </w:r>
      <w:r w:rsidR="001F6AD3" w:rsidRPr="00302EB4">
        <w:t xml:space="preserve"> reduced ability to detect a meaningful difference </w:t>
      </w:r>
      <w:r w:rsidR="001959FF">
        <w:t xml:space="preserve">in CDP </w:t>
      </w:r>
      <w:r w:rsidR="00D725D5" w:rsidRPr="00302EB4">
        <w:t xml:space="preserve">between treatments. The company </w:t>
      </w:r>
      <w:r w:rsidR="00166231">
        <w:t xml:space="preserve">also requested </w:t>
      </w:r>
      <w:r w:rsidR="00D725D5" w:rsidRPr="00302EB4">
        <w:t xml:space="preserve">that the CDP results be considered </w:t>
      </w:r>
      <w:r w:rsidR="0086485F">
        <w:t>alongside</w:t>
      </w:r>
      <w:r w:rsidR="00C37C4B" w:rsidRPr="00302EB4">
        <w:t xml:space="preserve"> </w:t>
      </w:r>
      <w:r w:rsidR="0086485F">
        <w:t xml:space="preserve">other </w:t>
      </w:r>
      <w:r w:rsidR="00C37C4B" w:rsidRPr="00302EB4">
        <w:t xml:space="preserve">outcomes </w:t>
      </w:r>
      <w:r w:rsidR="00F03757" w:rsidRPr="00302EB4">
        <w:t>for which</w:t>
      </w:r>
      <w:r w:rsidR="00C37C4B" w:rsidRPr="00302EB4">
        <w:t xml:space="preserve"> ozanimod had been shown to be more effective</w:t>
      </w:r>
      <w:r w:rsidR="0086485F" w:rsidRPr="0086485F">
        <w:t xml:space="preserve"> </w:t>
      </w:r>
      <w:r w:rsidR="0086485F">
        <w:t xml:space="preserve">than </w:t>
      </w:r>
      <w:r w:rsidR="0086485F" w:rsidRPr="00302EB4">
        <w:t>interferon beta</w:t>
      </w:r>
      <w:r w:rsidR="007D339D">
        <w:noBreakHyphen/>
      </w:r>
      <w:r w:rsidR="0086485F" w:rsidRPr="00302EB4">
        <w:t>1a</w:t>
      </w:r>
      <w:r w:rsidR="00C37C4B" w:rsidRPr="00302EB4">
        <w:t xml:space="preserve">, that is, </w:t>
      </w:r>
      <w:r w:rsidR="00D725D5" w:rsidRPr="00302EB4">
        <w:t xml:space="preserve">annualised relapse rate and </w:t>
      </w:r>
      <w:r w:rsidR="00F03757" w:rsidRPr="00302EB4">
        <w:t xml:space="preserve">brain </w:t>
      </w:r>
      <w:r w:rsidR="00D725D5" w:rsidRPr="00302EB4">
        <w:t>MRI</w:t>
      </w:r>
      <w:r w:rsidR="00F03757" w:rsidRPr="00302EB4">
        <w:t xml:space="preserve"> lesions</w:t>
      </w:r>
      <w:r w:rsidR="00EA4FC3" w:rsidRPr="00302EB4">
        <w:t xml:space="preserve">. </w:t>
      </w:r>
      <w:r w:rsidR="00166231">
        <w:t>This was because it</w:t>
      </w:r>
      <w:r w:rsidR="00166231" w:rsidRPr="00302EB4">
        <w:t xml:space="preserve"> </w:t>
      </w:r>
      <w:r w:rsidR="005B4E83" w:rsidRPr="00302EB4">
        <w:t>considered it</w:t>
      </w:r>
      <w:r w:rsidR="00EA4FC3" w:rsidRPr="00302EB4">
        <w:t xml:space="preserve"> implausible </w:t>
      </w:r>
      <w:r w:rsidR="005B4E83" w:rsidRPr="00302EB4">
        <w:t xml:space="preserve">that </w:t>
      </w:r>
      <w:r w:rsidR="00EA4FC3" w:rsidRPr="00302EB4">
        <w:t>ozanimod could be worse than interferon beta</w:t>
      </w:r>
      <w:r w:rsidR="0063188E">
        <w:noBreakHyphen/>
      </w:r>
      <w:r w:rsidR="00EA4FC3" w:rsidRPr="00302EB4">
        <w:t xml:space="preserve">1a for CDP outcomes but better for relapse and MRI outcomes. </w:t>
      </w:r>
      <w:r w:rsidR="005B4E83" w:rsidRPr="00302EB4">
        <w:t xml:space="preserve">It also suggested that CDP </w:t>
      </w:r>
      <w:r w:rsidR="004F1423">
        <w:t>wa</w:t>
      </w:r>
      <w:r w:rsidR="005B4E83" w:rsidRPr="00302EB4">
        <w:t xml:space="preserve">s </w:t>
      </w:r>
      <w:r w:rsidR="007865AB">
        <w:t xml:space="preserve">a </w:t>
      </w:r>
      <w:r w:rsidR="005B4E83" w:rsidRPr="00302EB4">
        <w:t>less important outcome in clinical practice than in clinical trials and cost-effectiveness models.</w:t>
      </w:r>
      <w:r w:rsidR="0092653E" w:rsidRPr="00302EB4">
        <w:t xml:space="preserve"> </w:t>
      </w:r>
      <w:r w:rsidR="005B4E83" w:rsidRPr="00302EB4">
        <w:t xml:space="preserve">The ERG </w:t>
      </w:r>
      <w:r w:rsidR="00145D7F">
        <w:t>highlighted</w:t>
      </w:r>
      <w:r w:rsidR="005B4E83" w:rsidRPr="00302EB4">
        <w:t xml:space="preserve"> the relative difference in CDP between ozanimod and interferon beta</w:t>
      </w:r>
      <w:r w:rsidR="004F1423">
        <w:noBreakHyphen/>
      </w:r>
      <w:r w:rsidR="005B4E83" w:rsidRPr="00302EB4">
        <w:t>1a</w:t>
      </w:r>
      <w:r w:rsidR="0062596D">
        <w:t>. It</w:t>
      </w:r>
      <w:r w:rsidR="005B4E83" w:rsidRPr="00302EB4">
        <w:t xml:space="preserve"> </w:t>
      </w:r>
      <w:r w:rsidR="00145D7F">
        <w:t>also noted</w:t>
      </w:r>
      <w:r w:rsidR="00145D7F" w:rsidRPr="00302EB4">
        <w:t xml:space="preserve"> </w:t>
      </w:r>
      <w:r w:rsidR="005B4E83" w:rsidRPr="00302EB4">
        <w:t>that the rates of CDP</w:t>
      </w:r>
      <w:r w:rsidR="00331DCA">
        <w:noBreakHyphen/>
      </w:r>
      <w:r w:rsidR="005B4E83" w:rsidRPr="00302EB4">
        <w:t xml:space="preserve">6M were lower </w:t>
      </w:r>
      <w:r w:rsidR="0062596D">
        <w:t>with</w:t>
      </w:r>
      <w:r w:rsidR="005B4E83" w:rsidRPr="00302EB4">
        <w:t xml:space="preserve"> </w:t>
      </w:r>
      <w:r w:rsidR="005B4E83" w:rsidRPr="00302EB4">
        <w:lastRenderedPageBreak/>
        <w:t>interferon beta</w:t>
      </w:r>
      <w:r w:rsidR="00331DCA">
        <w:noBreakHyphen/>
      </w:r>
      <w:r w:rsidR="005B4E83" w:rsidRPr="00302EB4">
        <w:t xml:space="preserve">1a than </w:t>
      </w:r>
      <w:r w:rsidR="0062596D" w:rsidRPr="00302EB4">
        <w:t>ozanimod</w:t>
      </w:r>
      <w:r w:rsidR="0062596D">
        <w:t xml:space="preserve"> in both trials</w:t>
      </w:r>
      <w:r w:rsidR="002E258D">
        <w:t xml:space="preserve"> (as </w:t>
      </w:r>
      <w:r w:rsidR="00331DCA">
        <w:t xml:space="preserve">shown </w:t>
      </w:r>
      <w:r w:rsidR="002E258D">
        <w:t>by a hazard ratio greater than</w:t>
      </w:r>
      <w:r w:rsidR="00331DCA">
        <w:t> </w:t>
      </w:r>
      <w:r w:rsidR="002E258D">
        <w:t xml:space="preserve">1 for ozanimod </w:t>
      </w:r>
      <w:r w:rsidR="00145D7F">
        <w:t xml:space="preserve">compared with </w:t>
      </w:r>
      <w:r w:rsidR="002E258D">
        <w:t>interferon beta</w:t>
      </w:r>
      <w:r w:rsidR="00331DCA">
        <w:noBreakHyphen/>
      </w:r>
      <w:r w:rsidR="002E258D">
        <w:t>1a)</w:t>
      </w:r>
      <w:r w:rsidR="0062596D">
        <w:t xml:space="preserve"> but the difference was not statistically significant</w:t>
      </w:r>
      <w:r w:rsidR="005B4E83" w:rsidRPr="00302EB4">
        <w:t xml:space="preserve">. </w:t>
      </w:r>
      <w:r w:rsidR="002E26DB">
        <w:t>The c</w:t>
      </w:r>
      <w:r w:rsidR="00566156" w:rsidRPr="00302EB4">
        <w:t xml:space="preserve">linical experts </w:t>
      </w:r>
      <w:r w:rsidR="003956C3" w:rsidRPr="00302EB4">
        <w:t>explained that a treatment that reduced MRI activity</w:t>
      </w:r>
      <w:r w:rsidR="00294472" w:rsidRPr="00302EB4">
        <w:t xml:space="preserve"> and relapses</w:t>
      </w:r>
      <w:r w:rsidR="003956C3" w:rsidRPr="00302EB4">
        <w:t xml:space="preserve"> would </w:t>
      </w:r>
      <w:r w:rsidR="004C7339" w:rsidRPr="00302EB4">
        <w:t xml:space="preserve">also </w:t>
      </w:r>
      <w:r w:rsidR="003956C3" w:rsidRPr="00302EB4">
        <w:t xml:space="preserve">be expected to reduce </w:t>
      </w:r>
      <w:r w:rsidR="004C7339" w:rsidRPr="00302EB4">
        <w:t xml:space="preserve">CDP. They </w:t>
      </w:r>
      <w:r w:rsidR="002E26DB">
        <w:t>considered</w:t>
      </w:r>
      <w:r w:rsidR="002E26DB" w:rsidRPr="00302EB4">
        <w:t xml:space="preserve"> </w:t>
      </w:r>
      <w:r w:rsidR="004C7339" w:rsidRPr="00302EB4">
        <w:t xml:space="preserve">that the people enrolled in RADIANCE </w:t>
      </w:r>
      <w:r w:rsidR="00467061">
        <w:t>p</w:t>
      </w:r>
      <w:r w:rsidR="004C7339" w:rsidRPr="00302EB4">
        <w:t>art</w:t>
      </w:r>
      <w:r w:rsidR="00700A56">
        <w:t> </w:t>
      </w:r>
      <w:r w:rsidR="004C7339" w:rsidRPr="00302EB4">
        <w:t xml:space="preserve">B and SUNBEAM </w:t>
      </w:r>
      <w:r w:rsidR="00294472" w:rsidRPr="00302EB4">
        <w:t>may have mild</w:t>
      </w:r>
      <w:r w:rsidR="00C37C4B" w:rsidRPr="00302EB4">
        <w:t>er</w:t>
      </w:r>
      <w:r w:rsidR="000A3DB4">
        <w:t xml:space="preserve"> </w:t>
      </w:r>
      <w:r w:rsidR="000A3DB4" w:rsidRPr="00302EB4">
        <w:t>relapsing–remitting multiple sclerosis</w:t>
      </w:r>
      <w:r w:rsidR="00294472" w:rsidRPr="00302EB4">
        <w:t xml:space="preserve"> </w:t>
      </w:r>
      <w:r w:rsidR="00C37C4B" w:rsidRPr="00302EB4">
        <w:t>than average</w:t>
      </w:r>
      <w:r w:rsidR="002E26DB">
        <w:t>. So</w:t>
      </w:r>
      <w:r w:rsidR="00C46080">
        <w:t>,</w:t>
      </w:r>
      <w:r w:rsidR="00C37C4B" w:rsidRPr="00302EB4">
        <w:t xml:space="preserve"> </w:t>
      </w:r>
      <w:r w:rsidR="002E26DB">
        <w:t>they would</w:t>
      </w:r>
      <w:r w:rsidR="00294472" w:rsidRPr="00302EB4">
        <w:t xml:space="preserve"> be less likely to progress in terms of disability over the </w:t>
      </w:r>
      <w:r w:rsidR="00F27B8C" w:rsidRPr="00302EB4">
        <w:t>short duration</w:t>
      </w:r>
      <w:r w:rsidR="00294472" w:rsidRPr="00302EB4">
        <w:t xml:space="preserve"> of the trials</w:t>
      </w:r>
      <w:r w:rsidR="00C46080">
        <w:t xml:space="preserve">. </w:t>
      </w:r>
      <w:r w:rsidR="00294472" w:rsidRPr="00302EB4">
        <w:t xml:space="preserve">The clinical experts thought it unlikely </w:t>
      </w:r>
      <w:r w:rsidR="00823220">
        <w:t xml:space="preserve">that </w:t>
      </w:r>
      <w:r w:rsidR="00294472" w:rsidRPr="00302EB4">
        <w:t>ozanimod would be worse than interferon beta</w:t>
      </w:r>
      <w:r w:rsidR="0033020A">
        <w:noBreakHyphen/>
      </w:r>
      <w:r w:rsidR="00294472" w:rsidRPr="00302EB4">
        <w:t>1a for CDP outcomes</w:t>
      </w:r>
      <w:r w:rsidR="00823220">
        <w:t>. They</w:t>
      </w:r>
      <w:r w:rsidR="00F27B8C" w:rsidRPr="00302EB4">
        <w:t xml:space="preserve"> noted that interferon beta</w:t>
      </w:r>
      <w:r w:rsidR="003807E1">
        <w:noBreakHyphen/>
      </w:r>
      <w:r w:rsidR="00F27B8C" w:rsidRPr="00302EB4">
        <w:t xml:space="preserve">1a is usually considered as </w:t>
      </w:r>
      <w:r w:rsidR="0033020A">
        <w:t xml:space="preserve">having </w:t>
      </w:r>
      <w:r w:rsidR="00F27B8C" w:rsidRPr="00302EB4">
        <w:t>lower efficacy than some of the other available treatments.</w:t>
      </w:r>
      <w:r w:rsidR="00294472" w:rsidRPr="00302EB4">
        <w:t xml:space="preserve"> </w:t>
      </w:r>
      <w:r w:rsidR="007A3D3F" w:rsidRPr="00302EB4">
        <w:t xml:space="preserve">The NHS commissioning expert confirmed this </w:t>
      </w:r>
      <w:r w:rsidR="002F52BA" w:rsidRPr="00302EB4">
        <w:t>view.</w:t>
      </w:r>
      <w:r w:rsidR="0092653E" w:rsidRPr="00302EB4">
        <w:t xml:space="preserve"> </w:t>
      </w:r>
      <w:r w:rsidR="003807E1">
        <w:t>Considering</w:t>
      </w:r>
      <w:r w:rsidR="00B50A8F">
        <w:t xml:space="preserve"> the expert statements and trial evidence, t</w:t>
      </w:r>
      <w:r w:rsidR="002F52BA" w:rsidRPr="00302EB4">
        <w:t xml:space="preserve">he committee concluded that </w:t>
      </w:r>
      <w:r w:rsidR="003624E5" w:rsidRPr="00302EB4">
        <w:t xml:space="preserve">ozanimod </w:t>
      </w:r>
      <w:r w:rsidR="0033020A">
        <w:t>was</w:t>
      </w:r>
      <w:r w:rsidR="003624E5" w:rsidRPr="00302EB4">
        <w:t xml:space="preserve"> effective at reducing relapses and brain lesions compared with interferon beta</w:t>
      </w:r>
      <w:r w:rsidR="003807E1">
        <w:noBreakHyphen/>
      </w:r>
      <w:r w:rsidR="003624E5" w:rsidRPr="00302EB4">
        <w:t xml:space="preserve">1a, but its effects on disability progression </w:t>
      </w:r>
      <w:r w:rsidR="0033020A">
        <w:t>we</w:t>
      </w:r>
      <w:r w:rsidR="0033020A" w:rsidRPr="00302EB4">
        <w:t xml:space="preserve">re </w:t>
      </w:r>
      <w:r w:rsidR="003624E5" w:rsidRPr="00302EB4">
        <w:t>uncertain.</w:t>
      </w:r>
    </w:p>
    <w:p w14:paraId="7017204B" w14:textId="7E3B5F0F" w:rsidR="00643582" w:rsidRPr="00302EB4" w:rsidRDefault="00D73D03" w:rsidP="00643582">
      <w:pPr>
        <w:pStyle w:val="Heading2"/>
      </w:pPr>
      <w:r w:rsidRPr="00302EB4">
        <w:t>Indirect treatment comparison</w:t>
      </w:r>
    </w:p>
    <w:p w14:paraId="423EDB5A" w14:textId="3D555C99" w:rsidR="00643582" w:rsidRPr="00302EB4" w:rsidRDefault="0092653E" w:rsidP="0073007E">
      <w:pPr>
        <w:pStyle w:val="Heading3"/>
      </w:pPr>
      <w:r w:rsidRPr="00302EB4">
        <w:t xml:space="preserve">The company’s network meta-analysis </w:t>
      </w:r>
      <w:r w:rsidR="002C2EBB">
        <w:t>i</w:t>
      </w:r>
      <w:r w:rsidRPr="00302EB4">
        <w:t xml:space="preserve">s generally well conducted, but should account for </w:t>
      </w:r>
      <w:proofErr w:type="gramStart"/>
      <w:r w:rsidRPr="00302EB4">
        <w:t>variability</w:t>
      </w:r>
      <w:proofErr w:type="gramEnd"/>
    </w:p>
    <w:p w14:paraId="7AA4DEA4" w14:textId="1B31FAFC" w:rsidR="00357225" w:rsidRPr="00302EB4" w:rsidRDefault="0092653E" w:rsidP="00CE3947">
      <w:pPr>
        <w:pStyle w:val="Numberedlevel2text"/>
        <w:rPr>
          <w:lang w:val="en-GB"/>
        </w:rPr>
      </w:pPr>
      <w:r w:rsidRPr="00302EB4">
        <w:rPr>
          <w:lang w:val="en-GB"/>
        </w:rPr>
        <w:t xml:space="preserve">The company </w:t>
      </w:r>
      <w:r w:rsidR="00947B9F">
        <w:rPr>
          <w:lang w:val="en-GB"/>
        </w:rPr>
        <w:t>di</w:t>
      </w:r>
      <w:r w:rsidR="00947B9F" w:rsidRPr="00302EB4">
        <w:rPr>
          <w:lang w:val="en-GB"/>
        </w:rPr>
        <w:t xml:space="preserve">d </w:t>
      </w:r>
      <w:r w:rsidRPr="00302EB4">
        <w:rPr>
          <w:lang w:val="en-GB"/>
        </w:rPr>
        <w:t>a Bayesian network meta-analysis</w:t>
      </w:r>
      <w:r w:rsidR="00A96D96">
        <w:rPr>
          <w:lang w:val="en-GB"/>
        </w:rPr>
        <w:t xml:space="preserve"> (NMA)</w:t>
      </w:r>
      <w:r w:rsidRPr="00302EB4">
        <w:rPr>
          <w:lang w:val="en-GB"/>
        </w:rPr>
        <w:t xml:space="preserve"> to estimate </w:t>
      </w:r>
      <w:r w:rsidR="00947B9F">
        <w:rPr>
          <w:lang w:val="en-GB"/>
        </w:rPr>
        <w:t>ozanimod’s</w:t>
      </w:r>
      <w:r w:rsidR="00947B9F" w:rsidRPr="00302EB4">
        <w:rPr>
          <w:lang w:val="en-GB"/>
        </w:rPr>
        <w:t xml:space="preserve"> </w:t>
      </w:r>
      <w:r w:rsidRPr="00302EB4">
        <w:rPr>
          <w:lang w:val="en-GB"/>
        </w:rPr>
        <w:t xml:space="preserve">relative effectiveness </w:t>
      </w:r>
      <w:r w:rsidR="00947B9F">
        <w:rPr>
          <w:lang w:val="en-GB"/>
        </w:rPr>
        <w:t>compared with</w:t>
      </w:r>
      <w:r w:rsidR="00F11A64" w:rsidRPr="00302EB4">
        <w:rPr>
          <w:lang w:val="en-GB"/>
        </w:rPr>
        <w:t xml:space="preserve"> all comparators</w:t>
      </w:r>
      <w:r w:rsidR="00B9283F">
        <w:rPr>
          <w:lang w:val="en-GB"/>
        </w:rPr>
        <w:t xml:space="preserve"> in the scope</w:t>
      </w:r>
      <w:r w:rsidR="00F11A64" w:rsidRPr="00302EB4">
        <w:rPr>
          <w:lang w:val="en-GB"/>
        </w:rPr>
        <w:t>. It</w:t>
      </w:r>
      <w:r w:rsidR="00D52844" w:rsidRPr="00302EB4">
        <w:rPr>
          <w:lang w:val="en-GB"/>
        </w:rPr>
        <w:t xml:space="preserve"> modelled</w:t>
      </w:r>
      <w:r w:rsidR="00F11A64" w:rsidRPr="00302EB4">
        <w:rPr>
          <w:lang w:val="en-GB"/>
        </w:rPr>
        <w:t xml:space="preserve"> annualised relapse rate, CDP</w:t>
      </w:r>
      <w:r w:rsidR="00247A2F">
        <w:rPr>
          <w:lang w:val="en-GB"/>
        </w:rPr>
        <w:noBreakHyphen/>
      </w:r>
      <w:r w:rsidR="00F11A64" w:rsidRPr="00302EB4">
        <w:rPr>
          <w:lang w:val="en-GB"/>
        </w:rPr>
        <w:t>3M, CDP</w:t>
      </w:r>
      <w:r w:rsidR="00247A2F">
        <w:rPr>
          <w:lang w:val="en-GB"/>
        </w:rPr>
        <w:noBreakHyphen/>
      </w:r>
      <w:r w:rsidR="00F11A64" w:rsidRPr="00302EB4">
        <w:rPr>
          <w:lang w:val="en-GB"/>
        </w:rPr>
        <w:t xml:space="preserve">6M, treatment discontinuation, adverse </w:t>
      </w:r>
      <w:proofErr w:type="gramStart"/>
      <w:r w:rsidR="00F11A64" w:rsidRPr="00302EB4">
        <w:rPr>
          <w:lang w:val="en-GB"/>
        </w:rPr>
        <w:t>events</w:t>
      </w:r>
      <w:proofErr w:type="gramEnd"/>
      <w:r w:rsidR="00F11A64" w:rsidRPr="00302EB4">
        <w:rPr>
          <w:lang w:val="en-GB"/>
        </w:rPr>
        <w:t xml:space="preserve"> and serious adverse events. </w:t>
      </w:r>
      <w:r w:rsidR="00E56395" w:rsidRPr="00302EB4">
        <w:rPr>
          <w:lang w:val="en-GB"/>
        </w:rPr>
        <w:t>Some older studies did not report CDP</w:t>
      </w:r>
      <w:r w:rsidR="00247A2F">
        <w:rPr>
          <w:lang w:val="en-GB"/>
        </w:rPr>
        <w:noBreakHyphen/>
      </w:r>
      <w:r w:rsidR="00E56395" w:rsidRPr="00302EB4">
        <w:rPr>
          <w:lang w:val="en-GB"/>
        </w:rPr>
        <w:t xml:space="preserve">6M so the company also </w:t>
      </w:r>
      <w:r w:rsidR="00F11A64" w:rsidRPr="00302EB4">
        <w:rPr>
          <w:lang w:val="en-GB"/>
        </w:rPr>
        <w:t>analysed CDP</w:t>
      </w:r>
      <w:r w:rsidR="00247A2F">
        <w:rPr>
          <w:lang w:val="en-GB"/>
        </w:rPr>
        <w:noBreakHyphen/>
      </w:r>
      <w:r w:rsidR="00F11A64" w:rsidRPr="00302EB4">
        <w:rPr>
          <w:lang w:val="en-GB"/>
        </w:rPr>
        <w:t xml:space="preserve">3M and -6M combined in </w:t>
      </w:r>
      <w:r w:rsidR="00947B9F">
        <w:rPr>
          <w:lang w:val="en-GB"/>
        </w:rPr>
        <w:t xml:space="preserve">a </w:t>
      </w:r>
      <w:r w:rsidR="00F11A64" w:rsidRPr="00302EB4">
        <w:rPr>
          <w:lang w:val="en-GB"/>
        </w:rPr>
        <w:t>single model</w:t>
      </w:r>
      <w:r w:rsidR="00E56395" w:rsidRPr="00302EB4">
        <w:rPr>
          <w:lang w:val="en-GB"/>
        </w:rPr>
        <w:t xml:space="preserve"> so that CDP</w:t>
      </w:r>
      <w:r w:rsidR="00247A2F">
        <w:rPr>
          <w:lang w:val="en-GB"/>
        </w:rPr>
        <w:noBreakHyphen/>
      </w:r>
      <w:r w:rsidR="00E56395" w:rsidRPr="00302EB4">
        <w:rPr>
          <w:lang w:val="en-GB"/>
        </w:rPr>
        <w:t>6M could be predicted for all comparators</w:t>
      </w:r>
      <w:r w:rsidR="00F11A64" w:rsidRPr="00302EB4">
        <w:rPr>
          <w:lang w:val="en-GB"/>
        </w:rPr>
        <w:t xml:space="preserve">. </w:t>
      </w:r>
      <w:r w:rsidR="00E56395" w:rsidRPr="00302EB4">
        <w:rPr>
          <w:lang w:val="en-GB"/>
        </w:rPr>
        <w:t>In this analysis it assumed tha</w:t>
      </w:r>
      <w:r w:rsidR="00D52844" w:rsidRPr="00302EB4">
        <w:rPr>
          <w:lang w:val="en-GB"/>
        </w:rPr>
        <w:t>t the hazard ratios for CDP</w:t>
      </w:r>
      <w:r w:rsidR="00247A2F">
        <w:rPr>
          <w:lang w:val="en-GB"/>
        </w:rPr>
        <w:noBreakHyphen/>
      </w:r>
      <w:r w:rsidR="00D52844" w:rsidRPr="00302EB4">
        <w:rPr>
          <w:lang w:val="en-GB"/>
        </w:rPr>
        <w:t xml:space="preserve">6M between treatments </w:t>
      </w:r>
      <w:r w:rsidR="00947B9F">
        <w:rPr>
          <w:lang w:val="en-GB"/>
        </w:rPr>
        <w:t>were</w:t>
      </w:r>
      <w:r w:rsidR="00D52844" w:rsidRPr="00302EB4">
        <w:rPr>
          <w:lang w:val="en-GB"/>
        </w:rPr>
        <w:t xml:space="preserve"> proportional to the hazard ratios for CDP</w:t>
      </w:r>
      <w:r w:rsidR="00247A2F">
        <w:rPr>
          <w:lang w:val="en-GB"/>
        </w:rPr>
        <w:noBreakHyphen/>
      </w:r>
      <w:r w:rsidR="00D52844" w:rsidRPr="00302EB4">
        <w:rPr>
          <w:lang w:val="en-GB"/>
        </w:rPr>
        <w:t xml:space="preserve">3M between treatments. </w:t>
      </w:r>
      <w:r w:rsidR="00E56395" w:rsidRPr="00302EB4">
        <w:rPr>
          <w:lang w:val="en-GB"/>
        </w:rPr>
        <w:t xml:space="preserve">The ERG </w:t>
      </w:r>
      <w:r w:rsidR="00D52844" w:rsidRPr="00302EB4">
        <w:rPr>
          <w:lang w:val="en-GB"/>
        </w:rPr>
        <w:t>considered</w:t>
      </w:r>
      <w:r w:rsidR="00E56395" w:rsidRPr="00302EB4">
        <w:rPr>
          <w:lang w:val="en-GB"/>
        </w:rPr>
        <w:t xml:space="preserve"> the company’s approach to the NMA </w:t>
      </w:r>
      <w:r w:rsidR="00D52844" w:rsidRPr="00302EB4">
        <w:rPr>
          <w:lang w:val="en-GB"/>
        </w:rPr>
        <w:t>to be</w:t>
      </w:r>
      <w:r w:rsidR="00E56395" w:rsidRPr="00302EB4">
        <w:rPr>
          <w:lang w:val="en-GB"/>
        </w:rPr>
        <w:t xml:space="preserve"> </w:t>
      </w:r>
      <w:r w:rsidR="0088183E" w:rsidRPr="00302EB4">
        <w:rPr>
          <w:lang w:val="en-GB"/>
        </w:rPr>
        <w:t>generally appropriate</w:t>
      </w:r>
      <w:r w:rsidR="00D52844" w:rsidRPr="00302EB4">
        <w:rPr>
          <w:lang w:val="en-GB"/>
        </w:rPr>
        <w:t xml:space="preserve">. It was satisfied that any heterogeneity or inconsistency did not have an important </w:t>
      </w:r>
      <w:r w:rsidR="00947B9F">
        <w:rPr>
          <w:lang w:val="en-GB"/>
        </w:rPr>
        <w:t>effect</w:t>
      </w:r>
      <w:r w:rsidR="00947B9F" w:rsidRPr="00302EB4">
        <w:rPr>
          <w:lang w:val="en-GB"/>
        </w:rPr>
        <w:t xml:space="preserve"> </w:t>
      </w:r>
      <w:r w:rsidR="00D52844" w:rsidRPr="00302EB4">
        <w:rPr>
          <w:lang w:val="en-GB"/>
        </w:rPr>
        <w:t xml:space="preserve">on results. It did, however, highlight that the assumption of a linear relationship </w:t>
      </w:r>
      <w:r w:rsidR="00D52844" w:rsidRPr="00302EB4">
        <w:rPr>
          <w:lang w:val="en-GB"/>
        </w:rPr>
        <w:lastRenderedPageBreak/>
        <w:t>between the CDP</w:t>
      </w:r>
      <w:r w:rsidR="008E5747">
        <w:rPr>
          <w:lang w:val="en-GB"/>
        </w:rPr>
        <w:noBreakHyphen/>
      </w:r>
      <w:r w:rsidR="00D52844" w:rsidRPr="00302EB4">
        <w:rPr>
          <w:lang w:val="en-GB"/>
        </w:rPr>
        <w:t>3M and CDP</w:t>
      </w:r>
      <w:r w:rsidR="008E5747">
        <w:rPr>
          <w:lang w:val="en-GB"/>
        </w:rPr>
        <w:noBreakHyphen/>
      </w:r>
      <w:r w:rsidR="00D52844" w:rsidRPr="00302EB4">
        <w:rPr>
          <w:lang w:val="en-GB"/>
        </w:rPr>
        <w:t>6M hazard ratios for ozanimod appear</w:t>
      </w:r>
      <w:r w:rsidR="001A6EB3">
        <w:rPr>
          <w:lang w:val="en-GB"/>
        </w:rPr>
        <w:t>ed</w:t>
      </w:r>
      <w:r w:rsidR="00D52844" w:rsidRPr="00302EB4">
        <w:rPr>
          <w:lang w:val="en-GB"/>
        </w:rPr>
        <w:t xml:space="preserve"> to have been violated and advised caution when drawing conclusions from the company’s CDP</w:t>
      </w:r>
      <w:r w:rsidR="008E5747">
        <w:rPr>
          <w:lang w:val="en-GB"/>
        </w:rPr>
        <w:noBreakHyphen/>
      </w:r>
      <w:r w:rsidR="00D52844" w:rsidRPr="00302EB4">
        <w:rPr>
          <w:lang w:val="en-GB"/>
        </w:rPr>
        <w:t>6M combined analysis.</w:t>
      </w:r>
      <w:r w:rsidR="00A828A7" w:rsidRPr="00302EB4">
        <w:rPr>
          <w:lang w:val="en-GB"/>
        </w:rPr>
        <w:t xml:space="preserve"> The committee noted the ERG’s concerns and preferred the CDP</w:t>
      </w:r>
      <w:r w:rsidR="008E5747">
        <w:rPr>
          <w:lang w:val="en-GB"/>
        </w:rPr>
        <w:noBreakHyphen/>
      </w:r>
      <w:r w:rsidR="00A828A7" w:rsidRPr="00302EB4">
        <w:rPr>
          <w:lang w:val="en-GB"/>
        </w:rPr>
        <w:t xml:space="preserve">6M NMA estimated </w:t>
      </w:r>
      <w:r w:rsidR="005B3A8D">
        <w:rPr>
          <w:lang w:val="en-GB"/>
        </w:rPr>
        <w:t>from</w:t>
      </w:r>
      <w:r w:rsidR="005B3A8D" w:rsidRPr="00302EB4">
        <w:rPr>
          <w:lang w:val="en-GB"/>
        </w:rPr>
        <w:t xml:space="preserve"> </w:t>
      </w:r>
      <w:r w:rsidR="00A828A7" w:rsidRPr="00302EB4">
        <w:rPr>
          <w:lang w:val="en-GB"/>
        </w:rPr>
        <w:t>the trial data directly, rather than the combined CDP</w:t>
      </w:r>
      <w:r w:rsidR="008E5747">
        <w:rPr>
          <w:lang w:val="en-GB"/>
        </w:rPr>
        <w:noBreakHyphen/>
      </w:r>
      <w:r w:rsidR="00A828A7" w:rsidRPr="00302EB4">
        <w:rPr>
          <w:lang w:val="en-GB"/>
        </w:rPr>
        <w:t>6M NMA that was estimated from the CDP</w:t>
      </w:r>
      <w:r w:rsidR="008E5747">
        <w:rPr>
          <w:lang w:val="en-GB"/>
        </w:rPr>
        <w:noBreakHyphen/>
      </w:r>
      <w:r w:rsidR="00A828A7" w:rsidRPr="00302EB4">
        <w:rPr>
          <w:lang w:val="en-GB"/>
        </w:rPr>
        <w:t>3M data.</w:t>
      </w:r>
      <w:r w:rsidR="004C5310" w:rsidRPr="00302EB4">
        <w:rPr>
          <w:lang w:val="en-GB"/>
        </w:rPr>
        <w:t xml:space="preserve"> The company explained that </w:t>
      </w:r>
      <w:r w:rsidR="004C5310">
        <w:rPr>
          <w:lang w:val="en-GB"/>
        </w:rPr>
        <w:t>the proportional relationship between CDP</w:t>
      </w:r>
      <w:r w:rsidR="003405A3">
        <w:rPr>
          <w:lang w:val="en-GB"/>
        </w:rPr>
        <w:noBreakHyphen/>
      </w:r>
      <w:r w:rsidR="004C5310">
        <w:rPr>
          <w:lang w:val="en-GB"/>
        </w:rPr>
        <w:t>3M and CDP</w:t>
      </w:r>
      <w:r w:rsidR="007B1F60">
        <w:rPr>
          <w:lang w:val="en-GB"/>
        </w:rPr>
        <w:noBreakHyphen/>
      </w:r>
      <w:r w:rsidR="004C5310">
        <w:rPr>
          <w:lang w:val="en-GB"/>
        </w:rPr>
        <w:t>6M in its combined analysis was assumed to be fixed and to be the same for all studies and treatments.</w:t>
      </w:r>
      <w:r w:rsidR="004C5310" w:rsidRPr="00302EB4">
        <w:rPr>
          <w:lang w:val="en-GB"/>
        </w:rPr>
        <w:t xml:space="preserve"> The committee considered it would have preferred for between-study</w:t>
      </w:r>
      <w:r w:rsidR="004C5310">
        <w:rPr>
          <w:lang w:val="en-GB"/>
        </w:rPr>
        <w:t xml:space="preserve"> or between</w:t>
      </w:r>
      <w:r w:rsidR="000F3D23">
        <w:rPr>
          <w:lang w:val="en-GB"/>
        </w:rPr>
        <w:t>-</w:t>
      </w:r>
      <w:r w:rsidR="004C5310">
        <w:rPr>
          <w:lang w:val="en-GB"/>
        </w:rPr>
        <w:t>treatment</w:t>
      </w:r>
      <w:r w:rsidR="004C5310" w:rsidRPr="00302EB4">
        <w:rPr>
          <w:lang w:val="en-GB"/>
        </w:rPr>
        <w:t xml:space="preserve"> variability</w:t>
      </w:r>
      <w:r w:rsidR="007B1F60">
        <w:rPr>
          <w:lang w:val="en-GB"/>
        </w:rPr>
        <w:t>, or both,</w:t>
      </w:r>
      <w:r w:rsidR="004C5310" w:rsidRPr="00302EB4">
        <w:rPr>
          <w:lang w:val="en-GB"/>
        </w:rPr>
        <w:t xml:space="preserve"> to have been accounted for in the company’s </w:t>
      </w:r>
      <w:r w:rsidR="004C5310">
        <w:rPr>
          <w:lang w:val="en-GB"/>
        </w:rPr>
        <w:t>combined CDP</w:t>
      </w:r>
      <w:r w:rsidR="003405A3">
        <w:rPr>
          <w:lang w:val="en-GB"/>
        </w:rPr>
        <w:noBreakHyphen/>
      </w:r>
      <w:r w:rsidR="004C5310">
        <w:rPr>
          <w:lang w:val="en-GB"/>
        </w:rPr>
        <w:t xml:space="preserve">6M </w:t>
      </w:r>
      <w:r w:rsidR="004C5310" w:rsidRPr="00302EB4">
        <w:rPr>
          <w:lang w:val="en-GB"/>
        </w:rPr>
        <w:t xml:space="preserve">NMA. </w:t>
      </w:r>
      <w:r w:rsidR="00D52844" w:rsidRPr="00302EB4">
        <w:rPr>
          <w:lang w:val="en-GB"/>
        </w:rPr>
        <w:t>The ERG identified a</w:t>
      </w:r>
      <w:r w:rsidR="00CE3947" w:rsidRPr="00302EB4">
        <w:rPr>
          <w:lang w:val="en-GB"/>
        </w:rPr>
        <w:t xml:space="preserve"> potential</w:t>
      </w:r>
      <w:r w:rsidR="00D52844" w:rsidRPr="00302EB4">
        <w:rPr>
          <w:lang w:val="en-GB"/>
        </w:rPr>
        <w:t xml:space="preserve"> issue with </w:t>
      </w:r>
      <w:r w:rsidR="00357225" w:rsidRPr="00302EB4">
        <w:rPr>
          <w:lang w:val="en-GB"/>
        </w:rPr>
        <w:t>the glatiramer acetate 40</w:t>
      </w:r>
      <w:r w:rsidR="002E7BE5">
        <w:rPr>
          <w:lang w:val="en-GB"/>
        </w:rPr>
        <w:t> </w:t>
      </w:r>
      <w:r w:rsidR="00357225" w:rsidRPr="00302EB4">
        <w:rPr>
          <w:lang w:val="en-GB"/>
        </w:rPr>
        <w:t xml:space="preserve">mg </w:t>
      </w:r>
      <w:r w:rsidR="00CE3947" w:rsidRPr="00302EB4">
        <w:rPr>
          <w:lang w:val="en-GB"/>
        </w:rPr>
        <w:t xml:space="preserve">CDP </w:t>
      </w:r>
      <w:r w:rsidR="00357225" w:rsidRPr="00302EB4">
        <w:rPr>
          <w:lang w:val="en-GB"/>
        </w:rPr>
        <w:t xml:space="preserve">data used in the company’s NMA. </w:t>
      </w:r>
      <w:r w:rsidR="00BB56A5">
        <w:rPr>
          <w:lang w:val="en-GB"/>
        </w:rPr>
        <w:t>It</w:t>
      </w:r>
      <w:r w:rsidR="00357225" w:rsidRPr="00302EB4">
        <w:rPr>
          <w:lang w:val="en-GB"/>
        </w:rPr>
        <w:t xml:space="preserve"> explained that </w:t>
      </w:r>
      <w:r w:rsidR="002E7BE5">
        <w:rPr>
          <w:lang w:val="en-GB"/>
        </w:rPr>
        <w:t>the</w:t>
      </w:r>
      <w:r w:rsidR="00BB56A5">
        <w:rPr>
          <w:lang w:val="en-GB"/>
        </w:rPr>
        <w:t xml:space="preserve"> company </w:t>
      </w:r>
      <w:r w:rsidR="002E7BE5">
        <w:rPr>
          <w:lang w:val="en-GB"/>
        </w:rPr>
        <w:t xml:space="preserve">may have </w:t>
      </w:r>
      <w:r w:rsidR="00BB56A5">
        <w:rPr>
          <w:lang w:val="en-GB"/>
        </w:rPr>
        <w:t>made</w:t>
      </w:r>
      <w:r w:rsidR="002E7BE5">
        <w:rPr>
          <w:lang w:val="en-GB"/>
        </w:rPr>
        <w:t xml:space="preserve"> </w:t>
      </w:r>
      <w:r w:rsidR="00357225" w:rsidRPr="00302EB4">
        <w:rPr>
          <w:lang w:val="en-GB"/>
        </w:rPr>
        <w:t>an error in data extraction, in which CDP at 12</w:t>
      </w:r>
      <w:r w:rsidR="00BB56A5">
        <w:rPr>
          <w:lang w:val="en-GB"/>
        </w:rPr>
        <w:t> </w:t>
      </w:r>
      <w:r w:rsidR="00357225" w:rsidRPr="00302EB4">
        <w:rPr>
          <w:lang w:val="en-GB"/>
        </w:rPr>
        <w:t>months</w:t>
      </w:r>
      <w:r w:rsidR="00CE3947" w:rsidRPr="00302EB4">
        <w:rPr>
          <w:lang w:val="en-GB"/>
        </w:rPr>
        <w:t xml:space="preserve"> may have</w:t>
      </w:r>
      <w:r w:rsidR="00357225" w:rsidRPr="00302EB4">
        <w:rPr>
          <w:lang w:val="en-GB"/>
        </w:rPr>
        <w:t xml:space="preserve"> been extracted as CDP at 12</w:t>
      </w:r>
      <w:r w:rsidR="00BB56A5">
        <w:rPr>
          <w:lang w:val="en-GB"/>
        </w:rPr>
        <w:t> </w:t>
      </w:r>
      <w:r w:rsidR="00357225" w:rsidRPr="00302EB4">
        <w:rPr>
          <w:lang w:val="en-GB"/>
        </w:rPr>
        <w:t xml:space="preserve">weeks by mistake. The ERG </w:t>
      </w:r>
      <w:r w:rsidR="00CE3947" w:rsidRPr="00302EB4">
        <w:rPr>
          <w:lang w:val="en-GB"/>
        </w:rPr>
        <w:t>suspected</w:t>
      </w:r>
      <w:r w:rsidR="00357225" w:rsidRPr="00302EB4">
        <w:rPr>
          <w:lang w:val="en-GB"/>
        </w:rPr>
        <w:t xml:space="preserve"> this data had </w:t>
      </w:r>
      <w:r w:rsidR="00CE3947" w:rsidRPr="00302EB4">
        <w:rPr>
          <w:lang w:val="en-GB"/>
        </w:rPr>
        <w:t>then been used in the CDP</w:t>
      </w:r>
      <w:r w:rsidR="003405A3">
        <w:rPr>
          <w:lang w:val="en-GB"/>
        </w:rPr>
        <w:noBreakHyphen/>
      </w:r>
      <w:r w:rsidR="00CE3947" w:rsidRPr="00302EB4">
        <w:rPr>
          <w:lang w:val="en-GB"/>
        </w:rPr>
        <w:t xml:space="preserve">6M combined analysis in the company’s NMA. The company could not confirm whether </w:t>
      </w:r>
      <w:r w:rsidR="006B59CF" w:rsidRPr="00302EB4">
        <w:rPr>
          <w:lang w:val="en-GB"/>
        </w:rPr>
        <w:t>there had been an error in data extraction for glatiramer acetate 40</w:t>
      </w:r>
      <w:r w:rsidR="00BB56A5">
        <w:rPr>
          <w:lang w:val="en-GB"/>
        </w:rPr>
        <w:t> </w:t>
      </w:r>
      <w:r w:rsidR="006B59CF" w:rsidRPr="00302EB4">
        <w:rPr>
          <w:lang w:val="en-GB"/>
        </w:rPr>
        <w:t>mg</w:t>
      </w:r>
      <w:r w:rsidR="003B1B09">
        <w:rPr>
          <w:lang w:val="en-GB"/>
        </w:rPr>
        <w:t>.</w:t>
      </w:r>
      <w:r w:rsidR="00CE3947" w:rsidRPr="00302EB4">
        <w:rPr>
          <w:lang w:val="en-GB"/>
        </w:rPr>
        <w:t xml:space="preserve"> </w:t>
      </w:r>
      <w:proofErr w:type="gramStart"/>
      <w:r w:rsidR="003B1B09">
        <w:rPr>
          <w:lang w:val="en-GB"/>
        </w:rPr>
        <w:t>T</w:t>
      </w:r>
      <w:r w:rsidR="00CE3947" w:rsidRPr="00302EB4">
        <w:rPr>
          <w:lang w:val="en-GB"/>
        </w:rPr>
        <w:t>herefore</w:t>
      </w:r>
      <w:proofErr w:type="gramEnd"/>
      <w:r w:rsidR="00CE3947" w:rsidRPr="00302EB4">
        <w:rPr>
          <w:lang w:val="en-GB"/>
        </w:rPr>
        <w:t xml:space="preserve"> the committee </w:t>
      </w:r>
      <w:r w:rsidR="006B59CF" w:rsidRPr="00302EB4">
        <w:rPr>
          <w:lang w:val="en-GB"/>
        </w:rPr>
        <w:t xml:space="preserve">interpreted </w:t>
      </w:r>
      <w:r w:rsidR="001A6EB3">
        <w:rPr>
          <w:lang w:val="en-GB"/>
        </w:rPr>
        <w:t xml:space="preserve">the </w:t>
      </w:r>
      <w:r w:rsidR="00E357AD" w:rsidRPr="00302EB4">
        <w:rPr>
          <w:lang w:val="en-GB"/>
        </w:rPr>
        <w:t>results for this comparator</w:t>
      </w:r>
      <w:r w:rsidR="006B59CF" w:rsidRPr="00302EB4">
        <w:rPr>
          <w:lang w:val="en-GB"/>
        </w:rPr>
        <w:t xml:space="preserve"> with caution</w:t>
      </w:r>
      <w:r w:rsidR="00CE3947" w:rsidRPr="00302EB4">
        <w:rPr>
          <w:lang w:val="en-GB"/>
        </w:rPr>
        <w:t xml:space="preserve">. </w:t>
      </w:r>
      <w:r w:rsidR="003B1B09">
        <w:rPr>
          <w:lang w:val="en-GB"/>
        </w:rPr>
        <w:t>It</w:t>
      </w:r>
      <w:r w:rsidR="006B59CF" w:rsidRPr="00302EB4">
        <w:rPr>
          <w:lang w:val="en-GB"/>
        </w:rPr>
        <w:t xml:space="preserve"> concluded that the company’s NMA was generally well </w:t>
      </w:r>
      <w:r w:rsidR="004E5477" w:rsidRPr="00302EB4">
        <w:rPr>
          <w:lang w:val="en-GB"/>
        </w:rPr>
        <w:t>conducted but</w:t>
      </w:r>
      <w:r w:rsidR="006B59CF" w:rsidRPr="00302EB4">
        <w:rPr>
          <w:lang w:val="en-GB"/>
        </w:rPr>
        <w:t xml:space="preserve"> should have accounted for between-study </w:t>
      </w:r>
      <w:r w:rsidR="00505788">
        <w:rPr>
          <w:lang w:val="en-GB"/>
        </w:rPr>
        <w:t xml:space="preserve">or between-treatment </w:t>
      </w:r>
      <w:r w:rsidR="006B59CF" w:rsidRPr="00302EB4">
        <w:rPr>
          <w:lang w:val="en-GB"/>
        </w:rPr>
        <w:t>variability</w:t>
      </w:r>
      <w:r w:rsidR="00505788">
        <w:rPr>
          <w:lang w:val="en-GB"/>
        </w:rPr>
        <w:t>, or both</w:t>
      </w:r>
      <w:r w:rsidR="006B59CF" w:rsidRPr="00302EB4">
        <w:rPr>
          <w:lang w:val="en-GB"/>
        </w:rPr>
        <w:t>.</w:t>
      </w:r>
    </w:p>
    <w:p w14:paraId="3A200B10" w14:textId="35A749B7" w:rsidR="00643582" w:rsidRPr="00302EB4" w:rsidRDefault="00D73D03" w:rsidP="00643582">
      <w:pPr>
        <w:pStyle w:val="Heading2"/>
      </w:pPr>
      <w:r w:rsidRPr="00302EB4">
        <w:t>The company’s cost–utility model</w:t>
      </w:r>
    </w:p>
    <w:p w14:paraId="7A552BF4" w14:textId="61C4D384" w:rsidR="00643582" w:rsidRPr="00302EB4" w:rsidRDefault="00D73D03" w:rsidP="0073007E">
      <w:pPr>
        <w:pStyle w:val="Heading3"/>
      </w:pPr>
      <w:bookmarkStart w:id="6" w:name="_Hlk58833331"/>
      <w:r w:rsidRPr="00302EB4">
        <w:t xml:space="preserve">The company’s model </w:t>
      </w:r>
      <w:r w:rsidR="00037C6D">
        <w:t>i</w:t>
      </w:r>
      <w:r w:rsidR="0006743A" w:rsidRPr="00302EB4">
        <w:t>s</w:t>
      </w:r>
      <w:r w:rsidRPr="00302EB4">
        <w:t xml:space="preserve"> gener</w:t>
      </w:r>
      <w:r w:rsidR="00706796" w:rsidRPr="00302EB4">
        <w:t>ally appropriate</w:t>
      </w:r>
      <w:r w:rsidR="007A5E7A" w:rsidRPr="00302EB4">
        <w:t xml:space="preserve"> and align</w:t>
      </w:r>
      <w:r w:rsidR="00037C6D">
        <w:t>s</w:t>
      </w:r>
      <w:r w:rsidR="007A5E7A" w:rsidRPr="00302EB4">
        <w:t xml:space="preserve"> with previous models in the disease </w:t>
      </w:r>
      <w:proofErr w:type="gramStart"/>
      <w:r w:rsidR="007A5E7A" w:rsidRPr="00302EB4">
        <w:t>area</w:t>
      </w:r>
      <w:proofErr w:type="gramEnd"/>
    </w:p>
    <w:bookmarkEnd w:id="6"/>
    <w:p w14:paraId="03256FB8" w14:textId="611C8750" w:rsidR="00F22F83" w:rsidRDefault="009714AB" w:rsidP="00517CA3">
      <w:pPr>
        <w:pStyle w:val="Numberedlevel2text"/>
        <w:rPr>
          <w:lang w:val="en-GB"/>
        </w:rPr>
      </w:pPr>
      <w:r w:rsidRPr="00302EB4">
        <w:rPr>
          <w:lang w:val="en-GB"/>
        </w:rPr>
        <w:t>The company</w:t>
      </w:r>
      <w:r w:rsidR="008E2689" w:rsidRPr="00302EB4">
        <w:rPr>
          <w:lang w:val="en-GB"/>
        </w:rPr>
        <w:t xml:space="preserve">’s model structure was </w:t>
      </w:r>
      <w:proofErr w:type="gramStart"/>
      <w:r w:rsidRPr="00302EB4">
        <w:rPr>
          <w:lang w:val="en-GB"/>
        </w:rPr>
        <w:t xml:space="preserve">similar </w:t>
      </w:r>
      <w:r w:rsidR="008E2689" w:rsidRPr="00302EB4">
        <w:rPr>
          <w:lang w:val="en-GB"/>
        </w:rPr>
        <w:t>to</w:t>
      </w:r>
      <w:proofErr w:type="gramEnd"/>
      <w:r w:rsidR="008E2689" w:rsidRPr="00302EB4">
        <w:rPr>
          <w:lang w:val="en-GB"/>
        </w:rPr>
        <w:t xml:space="preserve"> </w:t>
      </w:r>
      <w:r w:rsidR="00F22F83">
        <w:rPr>
          <w:lang w:val="en-GB"/>
        </w:rPr>
        <w:t xml:space="preserve">that of </w:t>
      </w:r>
      <w:r w:rsidR="00E357AD" w:rsidRPr="00302EB4">
        <w:rPr>
          <w:lang w:val="en-GB"/>
        </w:rPr>
        <w:t>models</w:t>
      </w:r>
      <w:r w:rsidR="008E2689" w:rsidRPr="00302EB4">
        <w:rPr>
          <w:lang w:val="en-GB"/>
        </w:rPr>
        <w:t xml:space="preserve"> </w:t>
      </w:r>
      <w:r w:rsidRPr="00302EB4">
        <w:rPr>
          <w:lang w:val="en-GB"/>
        </w:rPr>
        <w:t>used in</w:t>
      </w:r>
      <w:r w:rsidR="00E357AD" w:rsidRPr="00302EB4">
        <w:rPr>
          <w:lang w:val="en-GB"/>
        </w:rPr>
        <w:t xml:space="preserve"> previous</w:t>
      </w:r>
      <w:r w:rsidRPr="00302EB4">
        <w:rPr>
          <w:lang w:val="en-GB"/>
        </w:rPr>
        <w:t xml:space="preserve"> multiple sclerosis</w:t>
      </w:r>
      <w:r w:rsidR="008E2689" w:rsidRPr="00302EB4">
        <w:rPr>
          <w:lang w:val="en-GB"/>
        </w:rPr>
        <w:t xml:space="preserve"> technology appraisals</w:t>
      </w:r>
      <w:r w:rsidRPr="00302EB4">
        <w:rPr>
          <w:lang w:val="en-GB"/>
        </w:rPr>
        <w:t xml:space="preserve">. The model </w:t>
      </w:r>
      <w:r w:rsidR="00863A9F" w:rsidRPr="00302EB4">
        <w:rPr>
          <w:lang w:val="en-GB"/>
        </w:rPr>
        <w:t>was a Markov transition model consisting of 21</w:t>
      </w:r>
      <w:r w:rsidR="00F22F83">
        <w:rPr>
          <w:lang w:val="en-GB"/>
        </w:rPr>
        <w:t> </w:t>
      </w:r>
      <w:r w:rsidR="00863A9F" w:rsidRPr="00302EB4">
        <w:rPr>
          <w:lang w:val="en-GB"/>
        </w:rPr>
        <w:t>health states (10</w:t>
      </w:r>
      <w:r w:rsidR="00F22F83">
        <w:rPr>
          <w:lang w:val="en-GB"/>
        </w:rPr>
        <w:t> </w:t>
      </w:r>
      <w:r w:rsidR="004E1166" w:rsidRPr="004E1166">
        <w:rPr>
          <w:lang w:val="en-GB"/>
        </w:rPr>
        <w:t xml:space="preserve">Expanded Disability Status Scale </w:t>
      </w:r>
      <w:r w:rsidR="004E1166">
        <w:rPr>
          <w:lang w:val="en-GB"/>
        </w:rPr>
        <w:t>[</w:t>
      </w:r>
      <w:r w:rsidR="00863A9F" w:rsidRPr="00302EB4">
        <w:rPr>
          <w:lang w:val="en-GB"/>
        </w:rPr>
        <w:t>EDSS</w:t>
      </w:r>
      <w:r w:rsidR="004E1166">
        <w:rPr>
          <w:lang w:val="en-GB"/>
        </w:rPr>
        <w:t>]</w:t>
      </w:r>
      <w:r w:rsidR="00863A9F" w:rsidRPr="00302EB4">
        <w:rPr>
          <w:lang w:val="en-GB"/>
        </w:rPr>
        <w:t xml:space="preserve"> states for relapsing–remitting multiple sclerosis, 10</w:t>
      </w:r>
      <w:r w:rsidR="00F22F83">
        <w:rPr>
          <w:lang w:val="en-GB"/>
        </w:rPr>
        <w:t> </w:t>
      </w:r>
      <w:r w:rsidR="00863A9F" w:rsidRPr="00302EB4">
        <w:rPr>
          <w:lang w:val="en-GB"/>
        </w:rPr>
        <w:t xml:space="preserve">for secondary progressive multiple sclerosis, and death). The model used the British Columbia Multiple Sclerosis registry as a source of </w:t>
      </w:r>
      <w:r w:rsidR="00863A9F" w:rsidRPr="00302EB4">
        <w:rPr>
          <w:lang w:val="en-GB"/>
        </w:rPr>
        <w:lastRenderedPageBreak/>
        <w:t>natural history data. Treatment effects for ozanimod and all comparators were obtained from the company’s NMA and applied as</w:t>
      </w:r>
      <w:r w:rsidR="00F22F83">
        <w:rPr>
          <w:lang w:val="en-GB"/>
        </w:rPr>
        <w:t>:</w:t>
      </w:r>
    </w:p>
    <w:p w14:paraId="07145BEA" w14:textId="1E7FE68D" w:rsidR="00F22F83" w:rsidRDefault="00863A9F" w:rsidP="00F22F83">
      <w:pPr>
        <w:pStyle w:val="Bulletindent1"/>
      </w:pPr>
      <w:r w:rsidRPr="00302EB4">
        <w:t>annualised relapse rates</w:t>
      </w:r>
    </w:p>
    <w:p w14:paraId="1F57630D" w14:textId="308B7BE5" w:rsidR="00F22F83" w:rsidRDefault="00863A9F" w:rsidP="00F22F83">
      <w:pPr>
        <w:pStyle w:val="Bulletindent1"/>
      </w:pPr>
      <w:r w:rsidRPr="00302EB4">
        <w:t>CDP</w:t>
      </w:r>
      <w:r w:rsidR="0084299A">
        <w:noBreakHyphen/>
      </w:r>
      <w:r w:rsidRPr="00302EB4">
        <w:t>6M (using the combined outcome, see section</w:t>
      </w:r>
      <w:r w:rsidR="0084299A">
        <w:t> </w:t>
      </w:r>
      <w:r w:rsidR="006A57F2">
        <w:t>3.8</w:t>
      </w:r>
      <w:r w:rsidRPr="00302EB4">
        <w:t>)</w:t>
      </w:r>
    </w:p>
    <w:p w14:paraId="7E68D75D" w14:textId="290989AF" w:rsidR="00F22F83" w:rsidRDefault="00863A9F" w:rsidP="00F22F83">
      <w:pPr>
        <w:pStyle w:val="Bulletindent1"/>
      </w:pPr>
      <w:r w:rsidRPr="00302EB4">
        <w:t>adverse events and</w:t>
      </w:r>
    </w:p>
    <w:p w14:paraId="01BB3218" w14:textId="2630D082" w:rsidR="00F22F83" w:rsidRDefault="00863A9F" w:rsidP="00141BB5">
      <w:pPr>
        <w:pStyle w:val="Bulletindent1last"/>
      </w:pPr>
      <w:r w:rsidRPr="00302EB4">
        <w:t>treatment discontinuation (see section</w:t>
      </w:r>
      <w:r w:rsidR="00AD4D9B">
        <w:t> </w:t>
      </w:r>
      <w:r w:rsidR="006A57F2">
        <w:t>3.9</w:t>
      </w:r>
      <w:r w:rsidRPr="00302EB4">
        <w:t>).</w:t>
      </w:r>
    </w:p>
    <w:p w14:paraId="72318EA5" w14:textId="39BBC00D" w:rsidR="008E2689" w:rsidRPr="00302EB4" w:rsidRDefault="00517CA3" w:rsidP="00141BB5">
      <w:pPr>
        <w:pStyle w:val="NICEnormalindented"/>
      </w:pPr>
      <w:r w:rsidRPr="00302EB4">
        <w:t>The company incorporated a treatment waning effect for all treatments</w:t>
      </w:r>
      <w:r w:rsidR="001000F0">
        <w:t xml:space="preserve"> and</w:t>
      </w:r>
      <w:r w:rsidR="00863A9F" w:rsidRPr="00302EB4">
        <w:t xml:space="preserve"> explained that no treatment switching was allowed in its model. The ERG </w:t>
      </w:r>
      <w:r w:rsidR="00B50A8F" w:rsidRPr="00302EB4">
        <w:t>highlighted that the lack of treatment switching or sequencing in the model may over-simplif</w:t>
      </w:r>
      <w:r w:rsidR="00B50A8F">
        <w:t>y</w:t>
      </w:r>
      <w:r w:rsidR="00B50A8F" w:rsidRPr="00302EB4">
        <w:t xml:space="preserve"> what happens in NHS practice</w:t>
      </w:r>
      <w:r w:rsidR="00B50A8F">
        <w:t>. However, it</w:t>
      </w:r>
      <w:r w:rsidR="00B50A8F" w:rsidRPr="00302EB4">
        <w:t xml:space="preserve"> </w:t>
      </w:r>
      <w:r w:rsidR="00863A9F" w:rsidRPr="00302EB4">
        <w:t xml:space="preserve">acknowledged that a model that can simulate treatment switching or treatment sequencing would be complex to construct, and difficult to populate </w:t>
      </w:r>
      <w:r w:rsidR="001000F0">
        <w:t>because of</w:t>
      </w:r>
      <w:r w:rsidR="00863A9F" w:rsidRPr="00302EB4">
        <w:t xml:space="preserve"> limited data.</w:t>
      </w:r>
      <w:r w:rsidRPr="00302EB4">
        <w:t xml:space="preserve"> </w:t>
      </w:r>
      <w:r w:rsidR="00863A9F" w:rsidRPr="00302EB4">
        <w:t>The com</w:t>
      </w:r>
      <w:r w:rsidRPr="00302EB4">
        <w:t xml:space="preserve">mittee acknowledged the lack of treatment switching as a limitation of the model. </w:t>
      </w:r>
      <w:r w:rsidR="006B54B1">
        <w:t>It</w:t>
      </w:r>
      <w:r w:rsidR="008E2689" w:rsidRPr="00302EB4">
        <w:t xml:space="preserve"> concluded that the company’s model </w:t>
      </w:r>
      <w:r w:rsidR="0006743A" w:rsidRPr="00302EB4">
        <w:t>was</w:t>
      </w:r>
      <w:r w:rsidR="008E2689" w:rsidRPr="00302EB4">
        <w:t xml:space="preserve"> generally appropriate and </w:t>
      </w:r>
      <w:r w:rsidR="00B93AF6">
        <w:t>in line</w:t>
      </w:r>
      <w:r w:rsidR="00B93AF6" w:rsidRPr="00302EB4">
        <w:t xml:space="preserve"> </w:t>
      </w:r>
      <w:r w:rsidR="008E2689" w:rsidRPr="00302EB4">
        <w:t>with previous models in the disease area.</w:t>
      </w:r>
    </w:p>
    <w:p w14:paraId="3281CE35" w14:textId="2685D9A2" w:rsidR="007A5E7A" w:rsidRPr="00302EB4" w:rsidRDefault="0070157B" w:rsidP="007A5E7A">
      <w:pPr>
        <w:pStyle w:val="Heading3"/>
      </w:pPr>
      <w:r w:rsidRPr="00302EB4">
        <w:t>O</w:t>
      </w:r>
      <w:r w:rsidR="007A5E7A" w:rsidRPr="00302EB4">
        <w:t>zanimod’s</w:t>
      </w:r>
      <w:r w:rsidRPr="00302EB4">
        <w:t xml:space="preserve"> disability progression hazard ratio from the </w:t>
      </w:r>
      <w:r w:rsidR="00337E38">
        <w:t>NMA</w:t>
      </w:r>
      <w:r w:rsidRPr="00302EB4">
        <w:t xml:space="preserve"> should be used, rather than the</w:t>
      </w:r>
      <w:r w:rsidR="007A5E7A" w:rsidRPr="00302EB4">
        <w:t xml:space="preserve"> interferon beta-1a </w:t>
      </w:r>
      <w:r w:rsidRPr="00302EB4">
        <w:t xml:space="preserve">hazard </w:t>
      </w:r>
      <w:proofErr w:type="gramStart"/>
      <w:r w:rsidRPr="00302EB4">
        <w:t>ratio</w:t>
      </w:r>
      <w:proofErr w:type="gramEnd"/>
    </w:p>
    <w:p w14:paraId="778EFED8" w14:textId="167FF5B4" w:rsidR="009714AB" w:rsidRPr="00302EB4" w:rsidRDefault="00517CA3" w:rsidP="00BD6E86">
      <w:pPr>
        <w:pStyle w:val="Numberedlevel2text"/>
        <w:rPr>
          <w:lang w:val="en-GB"/>
        </w:rPr>
      </w:pPr>
      <w:r w:rsidRPr="00302EB4">
        <w:rPr>
          <w:lang w:val="en-GB"/>
        </w:rPr>
        <w:t>The company explained that it had</w:t>
      </w:r>
      <w:r w:rsidR="00D57118" w:rsidRPr="00302EB4">
        <w:rPr>
          <w:lang w:val="en-GB"/>
        </w:rPr>
        <w:t xml:space="preserve"> used the combined CDP</w:t>
      </w:r>
      <w:r w:rsidR="00717218">
        <w:rPr>
          <w:lang w:val="en-GB"/>
        </w:rPr>
        <w:noBreakHyphen/>
      </w:r>
      <w:r w:rsidR="00D57118" w:rsidRPr="00302EB4">
        <w:rPr>
          <w:lang w:val="en-GB"/>
        </w:rPr>
        <w:t xml:space="preserve">6M outcome from its NMA to model the effects of treatments on disability progression. </w:t>
      </w:r>
      <w:r w:rsidR="008C5575">
        <w:rPr>
          <w:lang w:val="en-GB"/>
        </w:rPr>
        <w:t>It</w:t>
      </w:r>
      <w:r w:rsidR="006D07D9">
        <w:rPr>
          <w:lang w:val="en-GB"/>
        </w:rPr>
        <w:t xml:space="preserve"> had advised</w:t>
      </w:r>
      <w:r w:rsidR="00D57118" w:rsidRPr="00302EB4">
        <w:rPr>
          <w:lang w:val="en-GB"/>
        </w:rPr>
        <w:t xml:space="preserve"> about the issues with </w:t>
      </w:r>
      <w:r w:rsidR="00F758A3">
        <w:rPr>
          <w:lang w:val="en-GB"/>
        </w:rPr>
        <w:t xml:space="preserve">the </w:t>
      </w:r>
      <w:r w:rsidR="00D57118" w:rsidRPr="00302EB4">
        <w:rPr>
          <w:lang w:val="en-GB"/>
        </w:rPr>
        <w:t>CDP data in the ozanimod clinical trials (see section</w:t>
      </w:r>
      <w:r w:rsidR="00717218">
        <w:rPr>
          <w:lang w:val="en-GB"/>
        </w:rPr>
        <w:t> </w:t>
      </w:r>
      <w:r w:rsidR="006A57F2">
        <w:rPr>
          <w:lang w:val="en-GB"/>
        </w:rPr>
        <w:t>3.5</w:t>
      </w:r>
      <w:r w:rsidR="00431C88" w:rsidRPr="00302EB4">
        <w:rPr>
          <w:lang w:val="en-GB"/>
        </w:rPr>
        <w:t>) and noted that these trial results underpin</w:t>
      </w:r>
      <w:r w:rsidR="00362BF4">
        <w:rPr>
          <w:lang w:val="en-GB"/>
        </w:rPr>
        <w:t>ned</w:t>
      </w:r>
      <w:r w:rsidR="00431C88" w:rsidRPr="00302EB4">
        <w:rPr>
          <w:lang w:val="en-GB"/>
        </w:rPr>
        <w:t xml:space="preserve"> the NMA results for ozanimod</w:t>
      </w:r>
      <w:r w:rsidR="00D57118" w:rsidRPr="00302EB4">
        <w:rPr>
          <w:lang w:val="en-GB"/>
        </w:rPr>
        <w:t xml:space="preserve">. The company </w:t>
      </w:r>
      <w:r w:rsidR="00B605AB">
        <w:rPr>
          <w:lang w:val="en-GB"/>
        </w:rPr>
        <w:t xml:space="preserve">also </w:t>
      </w:r>
      <w:r w:rsidR="00D57118" w:rsidRPr="00302EB4">
        <w:rPr>
          <w:lang w:val="en-GB"/>
        </w:rPr>
        <w:t>explained that it</w:t>
      </w:r>
      <w:r w:rsidRPr="00302EB4">
        <w:rPr>
          <w:lang w:val="en-GB"/>
        </w:rPr>
        <w:t xml:space="preserve"> set </w:t>
      </w:r>
      <w:r w:rsidR="006A2615">
        <w:rPr>
          <w:lang w:val="en-GB"/>
        </w:rPr>
        <w:t>ozanimod’s</w:t>
      </w:r>
      <w:r w:rsidR="006A2615" w:rsidRPr="00302EB4">
        <w:rPr>
          <w:lang w:val="en-GB"/>
        </w:rPr>
        <w:t xml:space="preserve"> </w:t>
      </w:r>
      <w:r w:rsidRPr="00302EB4">
        <w:rPr>
          <w:lang w:val="en-GB"/>
        </w:rPr>
        <w:t>CDP</w:t>
      </w:r>
      <w:r w:rsidR="00A31F1E">
        <w:rPr>
          <w:lang w:val="en-GB"/>
        </w:rPr>
        <w:noBreakHyphen/>
      </w:r>
      <w:r w:rsidRPr="00302EB4">
        <w:rPr>
          <w:lang w:val="en-GB"/>
        </w:rPr>
        <w:t>6M hazard ratio as equal to the CDP</w:t>
      </w:r>
      <w:r w:rsidR="00A31F1E">
        <w:rPr>
          <w:lang w:val="en-GB"/>
        </w:rPr>
        <w:noBreakHyphen/>
      </w:r>
      <w:r w:rsidRPr="00302EB4">
        <w:rPr>
          <w:lang w:val="en-GB"/>
        </w:rPr>
        <w:t>6M hazard ratio for interferon beta</w:t>
      </w:r>
      <w:r w:rsidR="00A31F1E">
        <w:rPr>
          <w:lang w:val="en-GB"/>
        </w:rPr>
        <w:noBreakHyphen/>
      </w:r>
      <w:r w:rsidRPr="00302EB4">
        <w:rPr>
          <w:lang w:val="en-GB"/>
        </w:rPr>
        <w:t>1a</w:t>
      </w:r>
      <w:r w:rsidR="003A07D8" w:rsidRPr="00302EB4">
        <w:rPr>
          <w:lang w:val="en-GB"/>
        </w:rPr>
        <w:t xml:space="preserve"> in its model</w:t>
      </w:r>
      <w:r w:rsidR="00C731D7" w:rsidRPr="00302EB4">
        <w:rPr>
          <w:lang w:val="en-GB"/>
        </w:rPr>
        <w:t>, which it considered to be</w:t>
      </w:r>
      <w:r w:rsidR="001704B4" w:rsidRPr="00302EB4">
        <w:rPr>
          <w:lang w:val="en-GB"/>
        </w:rPr>
        <w:t xml:space="preserve"> a conservative assumption. </w:t>
      </w:r>
      <w:r w:rsidR="006A2615">
        <w:rPr>
          <w:lang w:val="en-GB"/>
        </w:rPr>
        <w:t>T</w:t>
      </w:r>
      <w:r w:rsidR="001704B4" w:rsidRPr="00302EB4">
        <w:rPr>
          <w:lang w:val="en-GB"/>
        </w:rPr>
        <w:t xml:space="preserve">his was because </w:t>
      </w:r>
      <w:r w:rsidR="00FD49EB">
        <w:rPr>
          <w:lang w:val="en-GB"/>
        </w:rPr>
        <w:t xml:space="preserve">it considered </w:t>
      </w:r>
      <w:r w:rsidR="00D57118" w:rsidRPr="00302EB4">
        <w:rPr>
          <w:lang w:val="en-GB"/>
        </w:rPr>
        <w:t xml:space="preserve">it would </w:t>
      </w:r>
      <w:r w:rsidR="00C731D7" w:rsidRPr="00302EB4">
        <w:rPr>
          <w:lang w:val="en-GB"/>
        </w:rPr>
        <w:t xml:space="preserve">be </w:t>
      </w:r>
      <w:r w:rsidR="00D57118" w:rsidRPr="00302EB4">
        <w:rPr>
          <w:lang w:val="en-GB"/>
        </w:rPr>
        <w:t xml:space="preserve">implausible that </w:t>
      </w:r>
      <w:r w:rsidR="009937F0">
        <w:rPr>
          <w:lang w:val="en-GB"/>
        </w:rPr>
        <w:t xml:space="preserve">using </w:t>
      </w:r>
      <w:r w:rsidR="001704B4" w:rsidRPr="00302EB4">
        <w:rPr>
          <w:lang w:val="en-GB"/>
        </w:rPr>
        <w:t>interferon beta</w:t>
      </w:r>
      <w:r w:rsidR="00A31F1E">
        <w:rPr>
          <w:lang w:val="en-GB"/>
        </w:rPr>
        <w:noBreakHyphen/>
      </w:r>
      <w:r w:rsidR="001704B4" w:rsidRPr="00302EB4">
        <w:rPr>
          <w:lang w:val="en-GB"/>
        </w:rPr>
        <w:t>1a</w:t>
      </w:r>
      <w:r w:rsidR="00D57118" w:rsidRPr="00302EB4">
        <w:rPr>
          <w:lang w:val="en-GB"/>
        </w:rPr>
        <w:t xml:space="preserve"> could lead to a lower rate of disability progression </w:t>
      </w:r>
      <w:r w:rsidR="009937F0">
        <w:rPr>
          <w:lang w:val="en-GB"/>
        </w:rPr>
        <w:t>than</w:t>
      </w:r>
      <w:r w:rsidR="001704B4" w:rsidRPr="00302EB4">
        <w:rPr>
          <w:lang w:val="en-GB"/>
        </w:rPr>
        <w:t xml:space="preserve"> ozanimod (see section</w:t>
      </w:r>
      <w:r w:rsidR="00A31F1E">
        <w:rPr>
          <w:lang w:val="en-GB"/>
        </w:rPr>
        <w:t> </w:t>
      </w:r>
      <w:r w:rsidR="006A57F2">
        <w:rPr>
          <w:lang w:val="en-GB"/>
        </w:rPr>
        <w:t>3.5</w:t>
      </w:r>
      <w:r w:rsidR="001704B4" w:rsidRPr="00302EB4">
        <w:rPr>
          <w:lang w:val="en-GB"/>
        </w:rPr>
        <w:t>). The ERG highlighted that the company had only set ozanimod as equivalent to interferon beta</w:t>
      </w:r>
      <w:r w:rsidR="002B2781">
        <w:rPr>
          <w:lang w:val="en-GB"/>
        </w:rPr>
        <w:noBreakHyphen/>
      </w:r>
      <w:r w:rsidR="001704B4" w:rsidRPr="00302EB4">
        <w:rPr>
          <w:lang w:val="en-GB"/>
        </w:rPr>
        <w:t>1a for CDP</w:t>
      </w:r>
      <w:r w:rsidR="002B2781">
        <w:rPr>
          <w:lang w:val="en-GB"/>
        </w:rPr>
        <w:noBreakHyphen/>
      </w:r>
      <w:r w:rsidR="001704B4" w:rsidRPr="00302EB4">
        <w:rPr>
          <w:lang w:val="en-GB"/>
        </w:rPr>
        <w:t>6M and not for relapses</w:t>
      </w:r>
      <w:r w:rsidR="00431C88" w:rsidRPr="00302EB4">
        <w:rPr>
          <w:lang w:val="en-GB"/>
        </w:rPr>
        <w:t>, and this was inconsistent</w:t>
      </w:r>
      <w:r w:rsidR="001704B4" w:rsidRPr="00302EB4">
        <w:rPr>
          <w:lang w:val="en-GB"/>
        </w:rPr>
        <w:t xml:space="preserve">. It </w:t>
      </w:r>
      <w:r w:rsidR="000F3755">
        <w:rPr>
          <w:lang w:val="en-GB"/>
        </w:rPr>
        <w:t>further</w:t>
      </w:r>
      <w:r w:rsidR="000F3755" w:rsidRPr="00302EB4">
        <w:rPr>
          <w:lang w:val="en-GB"/>
        </w:rPr>
        <w:t xml:space="preserve"> </w:t>
      </w:r>
      <w:r w:rsidR="001704B4" w:rsidRPr="00302EB4">
        <w:rPr>
          <w:lang w:val="en-GB"/>
        </w:rPr>
        <w:t xml:space="preserve">highlighted that </w:t>
      </w:r>
      <w:r w:rsidR="001704B4" w:rsidRPr="00302EB4">
        <w:rPr>
          <w:lang w:val="en-GB"/>
        </w:rPr>
        <w:lastRenderedPageBreak/>
        <w:t>the point estimate in the NMA suggest</w:t>
      </w:r>
      <w:r w:rsidR="009937F0">
        <w:rPr>
          <w:lang w:val="en-GB"/>
        </w:rPr>
        <w:t>ed</w:t>
      </w:r>
      <w:r w:rsidR="001704B4" w:rsidRPr="00302EB4">
        <w:rPr>
          <w:lang w:val="en-GB"/>
        </w:rPr>
        <w:t xml:space="preserve"> that ozanimod </w:t>
      </w:r>
      <w:r w:rsidR="00566F4C">
        <w:rPr>
          <w:lang w:val="en-GB"/>
        </w:rPr>
        <w:t>was</w:t>
      </w:r>
      <w:r w:rsidR="001704B4" w:rsidRPr="00302EB4">
        <w:rPr>
          <w:lang w:val="en-GB"/>
        </w:rPr>
        <w:t xml:space="preserve"> not as beneficial as interferon beta</w:t>
      </w:r>
      <w:r w:rsidR="00AB1CED">
        <w:rPr>
          <w:lang w:val="en-GB"/>
        </w:rPr>
        <w:noBreakHyphen/>
      </w:r>
      <w:r w:rsidR="001704B4" w:rsidRPr="00302EB4">
        <w:rPr>
          <w:lang w:val="en-GB"/>
        </w:rPr>
        <w:t>1a for CDP</w:t>
      </w:r>
      <w:r w:rsidR="00AB1CED">
        <w:rPr>
          <w:lang w:val="en-GB"/>
        </w:rPr>
        <w:noBreakHyphen/>
      </w:r>
      <w:r w:rsidR="001704B4" w:rsidRPr="00302EB4">
        <w:rPr>
          <w:lang w:val="en-GB"/>
        </w:rPr>
        <w:t>6M</w:t>
      </w:r>
      <w:r w:rsidR="00C60AF3">
        <w:rPr>
          <w:lang w:val="en-GB"/>
        </w:rPr>
        <w:t>.</w:t>
      </w:r>
      <w:r w:rsidR="001704B4" w:rsidRPr="00302EB4">
        <w:rPr>
          <w:lang w:val="en-GB"/>
        </w:rPr>
        <w:t xml:space="preserve"> </w:t>
      </w:r>
      <w:r w:rsidR="00C60AF3">
        <w:rPr>
          <w:lang w:val="en-GB"/>
        </w:rPr>
        <w:t>Also,</w:t>
      </w:r>
      <w:r w:rsidR="00482651" w:rsidRPr="00302EB4">
        <w:rPr>
          <w:lang w:val="en-GB"/>
        </w:rPr>
        <w:t xml:space="preserve"> </w:t>
      </w:r>
      <w:r w:rsidR="001704B4" w:rsidRPr="00302EB4">
        <w:rPr>
          <w:lang w:val="en-GB"/>
        </w:rPr>
        <w:t>there are other drugs available that</w:t>
      </w:r>
      <w:r w:rsidR="00141BB5">
        <w:rPr>
          <w:lang w:val="en-GB"/>
        </w:rPr>
        <w:t xml:space="preserve"> have been shown in clinical trials to</w:t>
      </w:r>
      <w:r w:rsidR="001704B4" w:rsidRPr="00302EB4">
        <w:rPr>
          <w:lang w:val="en-GB"/>
        </w:rPr>
        <w:t xml:space="preserve"> </w:t>
      </w:r>
      <w:r w:rsidR="00566F4C">
        <w:rPr>
          <w:lang w:val="en-GB"/>
        </w:rPr>
        <w:t>work better than</w:t>
      </w:r>
      <w:r w:rsidR="001704B4" w:rsidRPr="00302EB4">
        <w:rPr>
          <w:lang w:val="en-GB"/>
        </w:rPr>
        <w:t xml:space="preserve"> interferon beta</w:t>
      </w:r>
      <w:r w:rsidR="00AB1CED">
        <w:rPr>
          <w:lang w:val="en-GB"/>
        </w:rPr>
        <w:noBreakHyphen/>
      </w:r>
      <w:r w:rsidR="001704B4" w:rsidRPr="00302EB4">
        <w:rPr>
          <w:lang w:val="en-GB"/>
        </w:rPr>
        <w:t>1a for this outcome. The committee</w:t>
      </w:r>
      <w:r w:rsidR="003A07D8" w:rsidRPr="00302EB4">
        <w:rPr>
          <w:lang w:val="en-GB"/>
        </w:rPr>
        <w:t xml:space="preserve"> </w:t>
      </w:r>
      <w:r w:rsidR="000F3755">
        <w:rPr>
          <w:lang w:val="en-GB"/>
        </w:rPr>
        <w:t>recognised that</w:t>
      </w:r>
      <w:r w:rsidR="003A07D8" w:rsidRPr="00302EB4">
        <w:rPr>
          <w:lang w:val="en-GB"/>
        </w:rPr>
        <w:t xml:space="preserve"> </w:t>
      </w:r>
      <w:r w:rsidR="007B1F60">
        <w:rPr>
          <w:lang w:val="en-GB"/>
        </w:rPr>
        <w:t xml:space="preserve">the </w:t>
      </w:r>
      <w:r w:rsidR="003A07D8" w:rsidRPr="00302EB4">
        <w:rPr>
          <w:lang w:val="en-GB"/>
        </w:rPr>
        <w:t xml:space="preserve">clinical experts suspected </w:t>
      </w:r>
      <w:r w:rsidR="000A3DB4">
        <w:rPr>
          <w:lang w:val="en-GB"/>
        </w:rPr>
        <w:t xml:space="preserve">the </w:t>
      </w:r>
      <w:r w:rsidR="000F3755">
        <w:rPr>
          <w:lang w:val="en-GB"/>
        </w:rPr>
        <w:t xml:space="preserve">non-statistically significant </w:t>
      </w:r>
      <w:r w:rsidR="00C46080">
        <w:rPr>
          <w:lang w:val="en-GB"/>
        </w:rPr>
        <w:t>CDP</w:t>
      </w:r>
      <w:r w:rsidR="00AB1CED">
        <w:rPr>
          <w:lang w:val="en-GB"/>
        </w:rPr>
        <w:noBreakHyphen/>
      </w:r>
      <w:r w:rsidR="00C46080">
        <w:rPr>
          <w:lang w:val="en-GB"/>
        </w:rPr>
        <w:t xml:space="preserve">6M </w:t>
      </w:r>
      <w:r w:rsidR="000A3DB4">
        <w:rPr>
          <w:lang w:val="en-GB"/>
        </w:rPr>
        <w:t xml:space="preserve">results </w:t>
      </w:r>
      <w:r w:rsidR="00C46080">
        <w:rPr>
          <w:lang w:val="en-GB"/>
        </w:rPr>
        <w:t xml:space="preserve">in the </w:t>
      </w:r>
      <w:r w:rsidR="003A07D8" w:rsidRPr="00302EB4">
        <w:rPr>
          <w:lang w:val="en-GB"/>
        </w:rPr>
        <w:t>ozanimod trial</w:t>
      </w:r>
      <w:r w:rsidR="000A3DB4">
        <w:rPr>
          <w:lang w:val="en-GB"/>
        </w:rPr>
        <w:t>s</w:t>
      </w:r>
      <w:r w:rsidR="003A07D8" w:rsidRPr="00302EB4">
        <w:rPr>
          <w:lang w:val="en-GB"/>
        </w:rPr>
        <w:t xml:space="preserve"> </w:t>
      </w:r>
      <w:r w:rsidR="00C46080">
        <w:rPr>
          <w:lang w:val="en-GB"/>
        </w:rPr>
        <w:t xml:space="preserve">could be </w:t>
      </w:r>
      <w:r w:rsidR="00B605AB">
        <w:rPr>
          <w:lang w:val="en-GB"/>
        </w:rPr>
        <w:t>because of</w:t>
      </w:r>
      <w:r w:rsidR="00C46080">
        <w:rPr>
          <w:lang w:val="en-GB"/>
        </w:rPr>
        <w:t xml:space="preserve"> </w:t>
      </w:r>
      <w:r w:rsidR="005220E1">
        <w:rPr>
          <w:lang w:val="en-GB"/>
        </w:rPr>
        <w:t xml:space="preserve">milder </w:t>
      </w:r>
      <w:r w:rsidR="00A03E50">
        <w:rPr>
          <w:lang w:val="en-GB"/>
        </w:rPr>
        <w:t>disease</w:t>
      </w:r>
      <w:r w:rsidR="000A3DB4">
        <w:rPr>
          <w:lang w:val="en-GB"/>
        </w:rPr>
        <w:t xml:space="preserve"> </w:t>
      </w:r>
      <w:r w:rsidR="005220E1">
        <w:rPr>
          <w:lang w:val="en-GB"/>
        </w:rPr>
        <w:t xml:space="preserve">and short trial </w:t>
      </w:r>
      <w:r w:rsidR="000A3DB4">
        <w:rPr>
          <w:lang w:val="en-GB"/>
        </w:rPr>
        <w:t>duration</w:t>
      </w:r>
      <w:r w:rsidR="008527BC">
        <w:rPr>
          <w:lang w:val="en-GB"/>
        </w:rPr>
        <w:t>.</w:t>
      </w:r>
      <w:r w:rsidR="005220E1">
        <w:rPr>
          <w:lang w:val="en-GB"/>
        </w:rPr>
        <w:t xml:space="preserve"> </w:t>
      </w:r>
      <w:r w:rsidR="008527BC">
        <w:rPr>
          <w:lang w:val="en-GB"/>
        </w:rPr>
        <w:t>That is, not</w:t>
      </w:r>
      <w:r w:rsidR="003A07D8" w:rsidRPr="00302EB4">
        <w:rPr>
          <w:lang w:val="en-GB"/>
        </w:rPr>
        <w:t xml:space="preserve"> because ozanimod </w:t>
      </w:r>
      <w:r w:rsidR="00FB7C23">
        <w:rPr>
          <w:lang w:val="en-GB"/>
        </w:rPr>
        <w:t>does not work as well as</w:t>
      </w:r>
      <w:r w:rsidR="003A07D8" w:rsidRPr="00302EB4">
        <w:rPr>
          <w:lang w:val="en-GB"/>
        </w:rPr>
        <w:t xml:space="preserve"> interferon beta</w:t>
      </w:r>
      <w:r w:rsidR="00AB1CED">
        <w:rPr>
          <w:lang w:val="en-GB"/>
        </w:rPr>
        <w:noBreakHyphen/>
      </w:r>
      <w:r w:rsidR="003A07D8" w:rsidRPr="00302EB4">
        <w:rPr>
          <w:lang w:val="en-GB"/>
        </w:rPr>
        <w:t xml:space="preserve">1a </w:t>
      </w:r>
      <w:r w:rsidR="00431C88" w:rsidRPr="00302EB4">
        <w:rPr>
          <w:lang w:val="en-GB"/>
        </w:rPr>
        <w:t xml:space="preserve">for this outcome </w:t>
      </w:r>
      <w:r w:rsidR="003A07D8" w:rsidRPr="00302EB4">
        <w:rPr>
          <w:lang w:val="en-GB"/>
        </w:rPr>
        <w:t>(see section</w:t>
      </w:r>
      <w:r w:rsidR="00AB1CED">
        <w:rPr>
          <w:lang w:val="en-GB"/>
        </w:rPr>
        <w:t> </w:t>
      </w:r>
      <w:r w:rsidR="006A57F2">
        <w:rPr>
          <w:lang w:val="en-GB"/>
        </w:rPr>
        <w:t>3.5</w:t>
      </w:r>
      <w:r w:rsidR="003A07D8" w:rsidRPr="00302EB4">
        <w:rPr>
          <w:lang w:val="en-GB"/>
        </w:rPr>
        <w:t xml:space="preserve">). However, the committee also understood </w:t>
      </w:r>
      <w:r w:rsidR="00AD7ECD">
        <w:rPr>
          <w:lang w:val="en-GB"/>
        </w:rPr>
        <w:t xml:space="preserve">that </w:t>
      </w:r>
      <w:r w:rsidR="003A07D8" w:rsidRPr="00302EB4">
        <w:rPr>
          <w:lang w:val="en-GB"/>
        </w:rPr>
        <w:t xml:space="preserve">the ozanimod trials </w:t>
      </w:r>
      <w:r w:rsidR="00AD7ECD">
        <w:rPr>
          <w:lang w:val="en-GB"/>
        </w:rPr>
        <w:t>were</w:t>
      </w:r>
      <w:r w:rsidR="00431C88" w:rsidRPr="00302EB4">
        <w:rPr>
          <w:lang w:val="en-GB"/>
        </w:rPr>
        <w:t xml:space="preserve"> </w:t>
      </w:r>
      <w:r w:rsidR="002157AA">
        <w:rPr>
          <w:lang w:val="en-GB"/>
        </w:rPr>
        <w:t xml:space="preserve">of </w:t>
      </w:r>
      <w:r w:rsidR="003A07D8" w:rsidRPr="00302EB4">
        <w:rPr>
          <w:lang w:val="en-GB"/>
        </w:rPr>
        <w:t>high quality</w:t>
      </w:r>
      <w:r w:rsidR="00AD7ECD">
        <w:rPr>
          <w:lang w:val="en-GB"/>
        </w:rPr>
        <w:t>. So</w:t>
      </w:r>
      <w:r w:rsidR="003A07D8" w:rsidRPr="00302EB4">
        <w:rPr>
          <w:lang w:val="en-GB"/>
        </w:rPr>
        <w:t>, given the</w:t>
      </w:r>
      <w:r w:rsidR="00431C88" w:rsidRPr="00302EB4">
        <w:rPr>
          <w:lang w:val="en-GB"/>
        </w:rPr>
        <w:t xml:space="preserve"> uncertainty and for consistency with other outcomes, the committee considered </w:t>
      </w:r>
      <w:r w:rsidR="00AD7ECD">
        <w:rPr>
          <w:lang w:val="en-GB"/>
        </w:rPr>
        <w:t xml:space="preserve">that </w:t>
      </w:r>
      <w:r w:rsidR="00431C88" w:rsidRPr="00302EB4">
        <w:rPr>
          <w:lang w:val="en-GB"/>
        </w:rPr>
        <w:t>ozanimod’s CDP</w:t>
      </w:r>
      <w:r w:rsidR="00F079C4">
        <w:rPr>
          <w:lang w:val="en-GB"/>
        </w:rPr>
        <w:noBreakHyphen/>
      </w:r>
      <w:r w:rsidR="00431C88" w:rsidRPr="00302EB4">
        <w:rPr>
          <w:lang w:val="en-GB"/>
        </w:rPr>
        <w:t>6M hazard ratio from the NMA should be used.</w:t>
      </w:r>
      <w:r w:rsidR="005263FF" w:rsidRPr="00302EB4">
        <w:rPr>
          <w:lang w:val="en-GB"/>
        </w:rPr>
        <w:t xml:space="preserve"> </w:t>
      </w:r>
      <w:r w:rsidR="0070157B" w:rsidRPr="00302EB4">
        <w:rPr>
          <w:lang w:val="en-GB"/>
        </w:rPr>
        <w:t xml:space="preserve">The committee also considered </w:t>
      </w:r>
      <w:r w:rsidR="00AD7ECD">
        <w:rPr>
          <w:lang w:val="en-GB"/>
        </w:rPr>
        <w:t xml:space="preserve">that </w:t>
      </w:r>
      <w:r w:rsidR="0070157B" w:rsidRPr="00302EB4">
        <w:rPr>
          <w:lang w:val="en-GB"/>
        </w:rPr>
        <w:t>the NMA results estimated directly from the CDP</w:t>
      </w:r>
      <w:r w:rsidR="00F079C4">
        <w:rPr>
          <w:lang w:val="en-GB"/>
        </w:rPr>
        <w:noBreakHyphen/>
      </w:r>
      <w:r w:rsidR="0070157B" w:rsidRPr="00302EB4">
        <w:rPr>
          <w:lang w:val="en-GB"/>
        </w:rPr>
        <w:t>6M trial data, rather than the CDP</w:t>
      </w:r>
      <w:r w:rsidR="00F079C4">
        <w:rPr>
          <w:lang w:val="en-GB"/>
        </w:rPr>
        <w:noBreakHyphen/>
      </w:r>
      <w:r w:rsidR="0070157B" w:rsidRPr="00302EB4">
        <w:rPr>
          <w:lang w:val="en-GB"/>
        </w:rPr>
        <w:t>6M results from the combined outcome estimated from the CDP</w:t>
      </w:r>
      <w:r w:rsidR="00F079C4">
        <w:rPr>
          <w:lang w:val="en-GB"/>
        </w:rPr>
        <w:noBreakHyphen/>
      </w:r>
      <w:r w:rsidR="0070157B" w:rsidRPr="00302EB4">
        <w:rPr>
          <w:lang w:val="en-GB"/>
        </w:rPr>
        <w:t>3M data</w:t>
      </w:r>
      <w:r w:rsidR="00BF41C4">
        <w:rPr>
          <w:lang w:val="en-GB"/>
        </w:rPr>
        <w:t>,</w:t>
      </w:r>
      <w:r w:rsidR="00A828A7" w:rsidRPr="00302EB4">
        <w:rPr>
          <w:lang w:val="en-GB"/>
        </w:rPr>
        <w:t xml:space="preserve"> </w:t>
      </w:r>
      <w:r w:rsidR="0070157B" w:rsidRPr="00302EB4">
        <w:rPr>
          <w:lang w:val="en-GB"/>
        </w:rPr>
        <w:t>should be used in the model</w:t>
      </w:r>
      <w:r w:rsidR="00A828A7" w:rsidRPr="00302EB4">
        <w:rPr>
          <w:lang w:val="en-GB"/>
        </w:rPr>
        <w:t xml:space="preserve"> whe</w:t>
      </w:r>
      <w:r w:rsidR="00AD7ECD">
        <w:rPr>
          <w:lang w:val="en-GB"/>
        </w:rPr>
        <w:t>n</w:t>
      </w:r>
      <w:r w:rsidR="00A828A7" w:rsidRPr="00302EB4">
        <w:rPr>
          <w:lang w:val="en-GB"/>
        </w:rPr>
        <w:t xml:space="preserve"> possible (see section</w:t>
      </w:r>
      <w:r w:rsidR="00196D8A">
        <w:rPr>
          <w:lang w:val="en-GB"/>
        </w:rPr>
        <w:t> </w:t>
      </w:r>
      <w:r w:rsidR="006A57F2">
        <w:rPr>
          <w:lang w:val="en-GB"/>
        </w:rPr>
        <w:t>3.6</w:t>
      </w:r>
      <w:r w:rsidR="00A828A7" w:rsidRPr="00302EB4">
        <w:rPr>
          <w:lang w:val="en-GB"/>
        </w:rPr>
        <w:t>)</w:t>
      </w:r>
      <w:r w:rsidR="0070157B" w:rsidRPr="00302EB4">
        <w:rPr>
          <w:lang w:val="en-GB"/>
        </w:rPr>
        <w:t xml:space="preserve">. </w:t>
      </w:r>
      <w:r w:rsidR="008E2689" w:rsidRPr="00302EB4">
        <w:rPr>
          <w:lang w:val="en-GB"/>
        </w:rPr>
        <w:t xml:space="preserve">The committee </w:t>
      </w:r>
      <w:r w:rsidR="00BD6E86" w:rsidRPr="00302EB4">
        <w:rPr>
          <w:lang w:val="en-GB"/>
        </w:rPr>
        <w:t xml:space="preserve">concluded that </w:t>
      </w:r>
      <w:r w:rsidR="0070157B" w:rsidRPr="00302EB4">
        <w:rPr>
          <w:lang w:val="en-GB"/>
        </w:rPr>
        <w:t xml:space="preserve">ozanimod’s disability progression hazard ratio from the </w:t>
      </w:r>
      <w:r w:rsidR="00B3437B">
        <w:rPr>
          <w:lang w:val="en-GB"/>
        </w:rPr>
        <w:t>NMA</w:t>
      </w:r>
      <w:r w:rsidR="0070157B" w:rsidRPr="00302EB4">
        <w:rPr>
          <w:lang w:val="en-GB"/>
        </w:rPr>
        <w:t xml:space="preserve"> should be used, rather than the interferon beta</w:t>
      </w:r>
      <w:r w:rsidR="001B3B53">
        <w:rPr>
          <w:lang w:val="en-GB"/>
        </w:rPr>
        <w:noBreakHyphen/>
      </w:r>
      <w:r w:rsidR="0070157B" w:rsidRPr="00302EB4">
        <w:rPr>
          <w:lang w:val="en-GB"/>
        </w:rPr>
        <w:t>1a hazard ratio</w:t>
      </w:r>
      <w:r w:rsidR="00BD6E86" w:rsidRPr="00302EB4">
        <w:rPr>
          <w:lang w:val="en-GB"/>
        </w:rPr>
        <w:t>.</w:t>
      </w:r>
    </w:p>
    <w:p w14:paraId="5D9C3EDD" w14:textId="233C57BC" w:rsidR="00290D09" w:rsidRPr="00302EB4" w:rsidRDefault="00290D09" w:rsidP="00290D09">
      <w:pPr>
        <w:pStyle w:val="Heading3"/>
      </w:pPr>
      <w:r w:rsidRPr="00302EB4">
        <w:rPr>
          <w:iCs/>
        </w:rPr>
        <w:t>B</w:t>
      </w:r>
      <w:r w:rsidRPr="00302EB4">
        <w:t>oth the company’s and ERG’s approaches to modelling treatment</w:t>
      </w:r>
      <w:r w:rsidRPr="00302EB4">
        <w:rPr>
          <w:iCs/>
        </w:rPr>
        <w:t xml:space="preserve"> </w:t>
      </w:r>
      <w:r w:rsidRPr="00302EB4">
        <w:t>discontinuation have limitations</w:t>
      </w:r>
    </w:p>
    <w:p w14:paraId="24F7B71C" w14:textId="0F67933D" w:rsidR="00290D09" w:rsidRPr="00302EB4" w:rsidRDefault="00290D09" w:rsidP="00290D09">
      <w:pPr>
        <w:pStyle w:val="Numberedlevel2text"/>
        <w:rPr>
          <w:lang w:val="en-GB"/>
        </w:rPr>
      </w:pPr>
      <w:r w:rsidRPr="00302EB4">
        <w:rPr>
          <w:lang w:val="en-GB"/>
        </w:rPr>
        <w:t>T</w:t>
      </w:r>
      <w:r w:rsidR="00E47364" w:rsidRPr="00302EB4">
        <w:rPr>
          <w:lang w:val="en-GB"/>
        </w:rPr>
        <w:t xml:space="preserve">he company’s cost–utility model did not allow </w:t>
      </w:r>
      <w:r w:rsidRPr="00302EB4">
        <w:rPr>
          <w:lang w:val="en-GB"/>
        </w:rPr>
        <w:t>people to switch between treatments</w:t>
      </w:r>
      <w:r w:rsidR="00E47364" w:rsidRPr="00302EB4">
        <w:rPr>
          <w:lang w:val="en-GB"/>
        </w:rPr>
        <w:t xml:space="preserve">, so people were assumed to only </w:t>
      </w:r>
      <w:r w:rsidR="00467C7B">
        <w:rPr>
          <w:lang w:val="en-GB"/>
        </w:rPr>
        <w:t>have</w:t>
      </w:r>
      <w:r w:rsidR="00E47364" w:rsidRPr="00302EB4">
        <w:rPr>
          <w:lang w:val="en-GB"/>
        </w:rPr>
        <w:t xml:space="preserve"> 1</w:t>
      </w:r>
      <w:r w:rsidR="00467C7B">
        <w:rPr>
          <w:lang w:val="en-GB"/>
        </w:rPr>
        <w:t> </w:t>
      </w:r>
      <w:r w:rsidR="00E47364" w:rsidRPr="00302EB4">
        <w:rPr>
          <w:lang w:val="en-GB"/>
        </w:rPr>
        <w:t>disease-modifying treatment. T</w:t>
      </w:r>
      <w:r w:rsidR="005064B4" w:rsidRPr="00302EB4">
        <w:rPr>
          <w:lang w:val="en-GB"/>
        </w:rPr>
        <w:t xml:space="preserve">he company took rates of discontinuation for each treatment from its </w:t>
      </w:r>
      <w:r w:rsidR="00337E38">
        <w:rPr>
          <w:lang w:val="en-GB"/>
        </w:rPr>
        <w:t>NMA</w:t>
      </w:r>
      <w:r w:rsidR="005064B4" w:rsidRPr="00302EB4">
        <w:rPr>
          <w:lang w:val="en-GB"/>
        </w:rPr>
        <w:t xml:space="preserve">. It assumed that the rate of discontinuation was the same over the entire model time horizon. </w:t>
      </w:r>
      <w:r w:rsidR="002F40F0" w:rsidRPr="00302EB4">
        <w:rPr>
          <w:lang w:val="en-GB"/>
        </w:rPr>
        <w:t xml:space="preserve">People </w:t>
      </w:r>
      <w:r w:rsidR="005360AE">
        <w:rPr>
          <w:lang w:val="en-GB"/>
        </w:rPr>
        <w:t>stopped</w:t>
      </w:r>
      <w:r w:rsidR="002F40F0" w:rsidRPr="00302EB4">
        <w:rPr>
          <w:lang w:val="en-GB"/>
        </w:rPr>
        <w:t xml:space="preserve"> treatment if they reached EDSS state</w:t>
      </w:r>
      <w:r w:rsidR="00AF6447">
        <w:rPr>
          <w:lang w:val="en-GB"/>
        </w:rPr>
        <w:t> </w:t>
      </w:r>
      <w:r w:rsidR="002F40F0" w:rsidRPr="00302EB4">
        <w:rPr>
          <w:lang w:val="en-GB"/>
        </w:rPr>
        <w:t>7 or above, developed secondary progressive multiple sclerosis or died.</w:t>
      </w:r>
      <w:r w:rsidRPr="00302EB4">
        <w:rPr>
          <w:lang w:val="en-GB"/>
        </w:rPr>
        <w:t xml:space="preserve"> </w:t>
      </w:r>
      <w:r w:rsidR="00E47364" w:rsidRPr="00302EB4">
        <w:rPr>
          <w:lang w:val="en-GB"/>
        </w:rPr>
        <w:t xml:space="preserve">The ERG preferred a different approach. Its clinical advisers suggested that if no switching of treatments </w:t>
      </w:r>
      <w:r w:rsidR="002F40F0" w:rsidRPr="00302EB4">
        <w:rPr>
          <w:lang w:val="en-GB"/>
        </w:rPr>
        <w:t>were</w:t>
      </w:r>
      <w:r w:rsidR="00E47364" w:rsidRPr="00302EB4">
        <w:rPr>
          <w:lang w:val="en-GB"/>
        </w:rPr>
        <w:t xml:space="preserve"> allowed (as was the case in the model), people would only </w:t>
      </w:r>
      <w:r w:rsidR="005360AE">
        <w:rPr>
          <w:lang w:val="en-GB"/>
        </w:rPr>
        <w:t>stop</w:t>
      </w:r>
      <w:r w:rsidR="005360AE" w:rsidRPr="00302EB4">
        <w:rPr>
          <w:lang w:val="en-GB"/>
        </w:rPr>
        <w:t xml:space="preserve"> </w:t>
      </w:r>
      <w:r w:rsidR="00E47364" w:rsidRPr="00302EB4">
        <w:rPr>
          <w:lang w:val="en-GB"/>
        </w:rPr>
        <w:t>treatment if they were no longer benefitting, even if they still had relapses. Based on this, the ERG used trial treatment discontinuation rates whe</w:t>
      </w:r>
      <w:r w:rsidR="00467C7B">
        <w:rPr>
          <w:lang w:val="en-GB"/>
        </w:rPr>
        <w:t>n</w:t>
      </w:r>
      <w:r w:rsidR="00E47364" w:rsidRPr="00302EB4">
        <w:rPr>
          <w:lang w:val="en-GB"/>
        </w:rPr>
        <w:t xml:space="preserve"> possible, then assumed every</w:t>
      </w:r>
      <w:r w:rsidR="00AF6447">
        <w:rPr>
          <w:lang w:val="en-GB"/>
        </w:rPr>
        <w:t>one</w:t>
      </w:r>
      <w:r w:rsidR="00E47364" w:rsidRPr="00302EB4">
        <w:rPr>
          <w:lang w:val="en-GB"/>
        </w:rPr>
        <w:t xml:space="preserve"> stayed on treatment</w:t>
      </w:r>
      <w:r w:rsidR="002F40F0" w:rsidRPr="00302EB4">
        <w:rPr>
          <w:lang w:val="en-GB"/>
        </w:rPr>
        <w:t xml:space="preserve"> </w:t>
      </w:r>
      <w:r w:rsidR="00932623" w:rsidRPr="00302EB4">
        <w:rPr>
          <w:lang w:val="en-GB"/>
        </w:rPr>
        <w:t>until</w:t>
      </w:r>
      <w:r w:rsidR="00E47364" w:rsidRPr="00302EB4">
        <w:rPr>
          <w:lang w:val="en-GB"/>
        </w:rPr>
        <w:t xml:space="preserve"> they reached EDSS state</w:t>
      </w:r>
      <w:r w:rsidR="00AF6447">
        <w:rPr>
          <w:lang w:val="en-GB"/>
        </w:rPr>
        <w:t> </w:t>
      </w:r>
      <w:r w:rsidR="00E47364" w:rsidRPr="00302EB4">
        <w:rPr>
          <w:lang w:val="en-GB"/>
        </w:rPr>
        <w:t xml:space="preserve">7 </w:t>
      </w:r>
      <w:r w:rsidR="00E47364" w:rsidRPr="00302EB4">
        <w:rPr>
          <w:lang w:val="en-GB"/>
        </w:rPr>
        <w:lastRenderedPageBreak/>
        <w:t>or above, developed secondary progressive multiple sclerosis or died.</w:t>
      </w:r>
      <w:r w:rsidRPr="00302EB4">
        <w:rPr>
          <w:lang w:val="en-GB"/>
        </w:rPr>
        <w:t xml:space="preserve"> </w:t>
      </w:r>
      <w:r w:rsidR="00467C7B">
        <w:rPr>
          <w:lang w:val="en-GB"/>
        </w:rPr>
        <w:t>The c</w:t>
      </w:r>
      <w:r w:rsidR="00932623" w:rsidRPr="00302EB4">
        <w:rPr>
          <w:lang w:val="en-GB"/>
        </w:rPr>
        <w:t>linical experts explained that it</w:t>
      </w:r>
      <w:r w:rsidRPr="00302EB4">
        <w:rPr>
          <w:lang w:val="en-GB"/>
        </w:rPr>
        <w:t xml:space="preserve"> </w:t>
      </w:r>
      <w:r w:rsidR="00AF6447">
        <w:rPr>
          <w:lang w:val="en-GB"/>
        </w:rPr>
        <w:t>wa</w:t>
      </w:r>
      <w:r w:rsidR="00932623" w:rsidRPr="00302EB4">
        <w:rPr>
          <w:lang w:val="en-GB"/>
        </w:rPr>
        <w:t>s difficult to determine whether the company or ERG’s approach better represent</w:t>
      </w:r>
      <w:r w:rsidR="00AF6447">
        <w:rPr>
          <w:lang w:val="en-GB"/>
        </w:rPr>
        <w:t>ed</w:t>
      </w:r>
      <w:r w:rsidR="00932623" w:rsidRPr="00302EB4">
        <w:rPr>
          <w:lang w:val="en-GB"/>
        </w:rPr>
        <w:t xml:space="preserve"> NHS practice because people usually switch between several disease-modifying treatments over their lifetime.</w:t>
      </w:r>
      <w:r w:rsidR="00F50F35" w:rsidRPr="00302EB4">
        <w:rPr>
          <w:lang w:val="en-GB"/>
        </w:rPr>
        <w:t xml:space="preserve"> </w:t>
      </w:r>
      <w:r w:rsidR="00083362">
        <w:rPr>
          <w:lang w:val="en-GB"/>
        </w:rPr>
        <w:t>So</w:t>
      </w:r>
      <w:r w:rsidRPr="00302EB4">
        <w:rPr>
          <w:lang w:val="en-GB"/>
        </w:rPr>
        <w:t xml:space="preserve">, neither approach </w:t>
      </w:r>
      <w:r w:rsidR="00DE2320" w:rsidRPr="00302EB4">
        <w:rPr>
          <w:lang w:val="en-GB"/>
        </w:rPr>
        <w:t xml:space="preserve">wholly </w:t>
      </w:r>
      <w:r w:rsidRPr="00302EB4">
        <w:rPr>
          <w:lang w:val="en-GB"/>
        </w:rPr>
        <w:t>reflect</w:t>
      </w:r>
      <w:r w:rsidR="000727E4">
        <w:rPr>
          <w:lang w:val="en-GB"/>
        </w:rPr>
        <w:t>ed</w:t>
      </w:r>
      <w:r w:rsidRPr="00302EB4">
        <w:rPr>
          <w:lang w:val="en-GB"/>
        </w:rPr>
        <w:t xml:space="preserve"> what would happen in </w:t>
      </w:r>
      <w:r w:rsidR="000727E4">
        <w:rPr>
          <w:lang w:val="en-GB"/>
        </w:rPr>
        <w:t>practice</w:t>
      </w:r>
      <w:r w:rsidRPr="00302EB4">
        <w:rPr>
          <w:lang w:val="en-GB"/>
        </w:rPr>
        <w:t xml:space="preserve">. The committee considered the </w:t>
      </w:r>
      <w:r w:rsidR="00C05D27" w:rsidRPr="00302EB4">
        <w:rPr>
          <w:lang w:val="en-GB"/>
        </w:rPr>
        <w:t>lack of treatment switching to be a limitation of the company’s model</w:t>
      </w:r>
      <w:r w:rsidR="008E2689" w:rsidRPr="00302EB4">
        <w:rPr>
          <w:lang w:val="en-GB"/>
        </w:rPr>
        <w:t xml:space="preserve"> (see section</w:t>
      </w:r>
      <w:r w:rsidR="00AC169B">
        <w:rPr>
          <w:lang w:val="en-GB"/>
        </w:rPr>
        <w:t> </w:t>
      </w:r>
      <w:r w:rsidR="006A57F2">
        <w:rPr>
          <w:lang w:val="en-GB"/>
        </w:rPr>
        <w:t>3.7</w:t>
      </w:r>
      <w:r w:rsidR="008E2689" w:rsidRPr="00302EB4">
        <w:rPr>
          <w:lang w:val="en-GB"/>
        </w:rPr>
        <w:t>)</w:t>
      </w:r>
      <w:r w:rsidR="00C05D27" w:rsidRPr="00302EB4">
        <w:rPr>
          <w:lang w:val="en-GB"/>
        </w:rPr>
        <w:t>.</w:t>
      </w:r>
      <w:r w:rsidRPr="00302EB4">
        <w:rPr>
          <w:lang w:val="en-GB"/>
        </w:rPr>
        <w:t xml:space="preserve"> </w:t>
      </w:r>
      <w:r w:rsidR="00FE2F54">
        <w:rPr>
          <w:lang w:val="en-GB"/>
        </w:rPr>
        <w:t>It</w:t>
      </w:r>
      <w:r w:rsidRPr="00302EB4">
        <w:rPr>
          <w:lang w:val="en-GB"/>
        </w:rPr>
        <w:t xml:space="preserve"> concluded that </w:t>
      </w:r>
      <w:bookmarkStart w:id="7" w:name="_Hlk58594934"/>
      <w:r w:rsidRPr="00302EB4">
        <w:rPr>
          <w:lang w:val="en-GB"/>
        </w:rPr>
        <w:t>both the company and ERG’s approaches to modelling treatment discontinuation ha</w:t>
      </w:r>
      <w:r w:rsidR="00E75BE4">
        <w:rPr>
          <w:lang w:val="en-GB"/>
        </w:rPr>
        <w:t>d</w:t>
      </w:r>
      <w:r w:rsidRPr="00302EB4">
        <w:rPr>
          <w:lang w:val="en-GB"/>
        </w:rPr>
        <w:t xml:space="preserve"> limitations.</w:t>
      </w:r>
      <w:bookmarkEnd w:id="7"/>
    </w:p>
    <w:p w14:paraId="7585B79D" w14:textId="66000538" w:rsidR="0099154E" w:rsidRPr="00302EB4" w:rsidRDefault="0099154E" w:rsidP="00B82A82">
      <w:pPr>
        <w:pStyle w:val="Heading2"/>
      </w:pPr>
      <w:r w:rsidRPr="00302EB4">
        <w:t>Cost-effectiveness estimate</w:t>
      </w:r>
    </w:p>
    <w:p w14:paraId="36AB5515" w14:textId="733757D1" w:rsidR="0099154E" w:rsidRPr="00302EB4" w:rsidRDefault="0099154E" w:rsidP="0099154E">
      <w:pPr>
        <w:pStyle w:val="Heading3"/>
        <w:rPr>
          <w:rFonts w:cs="Times New Roman"/>
          <w:iCs/>
          <w:sz w:val="24"/>
          <w:szCs w:val="28"/>
        </w:rPr>
      </w:pPr>
      <w:r w:rsidRPr="00302EB4">
        <w:t xml:space="preserve">The most likely cost-effectiveness estimates are outside </w:t>
      </w:r>
      <w:r w:rsidR="00E75BE4">
        <w:t>what</w:t>
      </w:r>
      <w:r w:rsidRPr="00302EB4">
        <w:t xml:space="preserve"> NICE normally considers an acceptable use of NHS </w:t>
      </w:r>
      <w:proofErr w:type="gramStart"/>
      <w:r w:rsidRPr="00302EB4">
        <w:t>resources</w:t>
      </w:r>
      <w:proofErr w:type="gramEnd"/>
    </w:p>
    <w:p w14:paraId="221407A4" w14:textId="6473B465" w:rsidR="00302EB4" w:rsidRPr="00302EB4" w:rsidRDefault="00232B3F" w:rsidP="00D52844">
      <w:pPr>
        <w:pStyle w:val="Numberedlevel2text"/>
        <w:rPr>
          <w:lang w:val="en-GB"/>
        </w:rPr>
      </w:pPr>
      <w:r w:rsidRPr="00302EB4">
        <w:rPr>
          <w:lang w:val="en-GB"/>
        </w:rPr>
        <w:t>Because of confidential commercial arrangements for ozanimod and comparator</w:t>
      </w:r>
      <w:r w:rsidR="001421F5" w:rsidRPr="00302EB4">
        <w:rPr>
          <w:lang w:val="en-GB"/>
        </w:rPr>
        <w:t xml:space="preserve"> treatments</w:t>
      </w:r>
      <w:r w:rsidRPr="00302EB4">
        <w:rPr>
          <w:lang w:val="en-GB"/>
        </w:rPr>
        <w:t>, the cost-effectiveness results cannot be reported here. However, the cost-effectiveness estimates for ozanimod compared with other first</w:t>
      </w:r>
      <w:r w:rsidR="00E75BE4">
        <w:rPr>
          <w:lang w:val="en-GB"/>
        </w:rPr>
        <w:t>-</w:t>
      </w:r>
      <w:r w:rsidRPr="00302EB4">
        <w:rPr>
          <w:lang w:val="en-GB"/>
        </w:rPr>
        <w:t xml:space="preserve">line treatments for relapsing–remitting multiple sclerosis </w:t>
      </w:r>
      <w:proofErr w:type="gramStart"/>
      <w:r w:rsidRPr="00302EB4">
        <w:rPr>
          <w:lang w:val="en-GB"/>
        </w:rPr>
        <w:t>were</w:t>
      </w:r>
      <w:proofErr w:type="gramEnd"/>
      <w:r w:rsidRPr="00302EB4">
        <w:rPr>
          <w:lang w:val="en-GB"/>
        </w:rPr>
        <w:t xml:space="preserve"> outside </w:t>
      </w:r>
      <w:r w:rsidR="00E75BE4">
        <w:rPr>
          <w:lang w:val="en-GB"/>
        </w:rPr>
        <w:t>what</w:t>
      </w:r>
      <w:r w:rsidRPr="00302EB4">
        <w:rPr>
          <w:lang w:val="en-GB"/>
        </w:rPr>
        <w:t xml:space="preserve"> NICE normally considers an acceptable use of NHS resources. </w:t>
      </w:r>
      <w:r w:rsidR="00E75BE4">
        <w:rPr>
          <w:lang w:val="en-GB"/>
        </w:rPr>
        <w:t>Also</w:t>
      </w:r>
      <w:r w:rsidRPr="00302EB4">
        <w:rPr>
          <w:lang w:val="en-GB"/>
        </w:rPr>
        <w:t xml:space="preserve">, </w:t>
      </w:r>
      <w:r w:rsidR="001421F5" w:rsidRPr="00302EB4">
        <w:rPr>
          <w:lang w:val="en-GB"/>
        </w:rPr>
        <w:t xml:space="preserve">neither the </w:t>
      </w:r>
      <w:r w:rsidRPr="00302EB4">
        <w:rPr>
          <w:lang w:val="en-GB"/>
        </w:rPr>
        <w:t>company</w:t>
      </w:r>
      <w:r w:rsidR="001421F5" w:rsidRPr="00302EB4">
        <w:rPr>
          <w:lang w:val="en-GB"/>
        </w:rPr>
        <w:t xml:space="preserve"> nor the ERG’s</w:t>
      </w:r>
      <w:r w:rsidRPr="00302EB4">
        <w:rPr>
          <w:lang w:val="en-GB"/>
        </w:rPr>
        <w:t xml:space="preserve"> analyses </w:t>
      </w:r>
      <w:r w:rsidR="001421F5" w:rsidRPr="00302EB4">
        <w:rPr>
          <w:lang w:val="en-GB"/>
        </w:rPr>
        <w:t>reflected</w:t>
      </w:r>
      <w:r w:rsidR="006F5D90" w:rsidRPr="00302EB4">
        <w:rPr>
          <w:lang w:val="en-GB"/>
        </w:rPr>
        <w:t xml:space="preserve"> the committee’s preferred assumptions</w:t>
      </w:r>
      <w:r w:rsidR="004E7498" w:rsidRPr="00302EB4">
        <w:rPr>
          <w:lang w:val="en-GB"/>
        </w:rPr>
        <w:t xml:space="preserve">, </w:t>
      </w:r>
      <w:r w:rsidR="00E75BE4">
        <w:rPr>
          <w:lang w:val="en-GB"/>
        </w:rPr>
        <w:t>which</w:t>
      </w:r>
      <w:r w:rsidR="005220E1" w:rsidRPr="00302EB4">
        <w:rPr>
          <w:lang w:val="en-GB"/>
        </w:rPr>
        <w:t xml:space="preserve"> </w:t>
      </w:r>
      <w:r w:rsidR="004E7498" w:rsidRPr="00302EB4">
        <w:rPr>
          <w:lang w:val="en-GB"/>
        </w:rPr>
        <w:t xml:space="preserve">were likely to </w:t>
      </w:r>
      <w:r w:rsidR="00E75BE4">
        <w:rPr>
          <w:lang w:val="en-GB"/>
        </w:rPr>
        <w:t>increase</w:t>
      </w:r>
      <w:r w:rsidR="00E75BE4" w:rsidRPr="00302EB4">
        <w:rPr>
          <w:lang w:val="en-GB"/>
        </w:rPr>
        <w:t xml:space="preserve"> </w:t>
      </w:r>
      <w:r w:rsidR="004E7498" w:rsidRPr="00302EB4">
        <w:rPr>
          <w:lang w:val="en-GB"/>
        </w:rPr>
        <w:t xml:space="preserve">the </w:t>
      </w:r>
      <w:r w:rsidR="00CD77D1">
        <w:rPr>
          <w:lang w:val="en-GB"/>
        </w:rPr>
        <w:t>incremental cost-effectiveness ratios</w:t>
      </w:r>
      <w:r w:rsidR="006F5D90" w:rsidRPr="00302EB4">
        <w:rPr>
          <w:lang w:val="en-GB"/>
        </w:rPr>
        <w:t xml:space="preserve">. </w:t>
      </w:r>
      <w:r w:rsidR="00302EB4" w:rsidRPr="00302EB4">
        <w:rPr>
          <w:lang w:val="en-GB"/>
        </w:rPr>
        <w:t>The committee noted that although the company had mentioned at technical engagement that ozanimod may be used a</w:t>
      </w:r>
      <w:r w:rsidR="006C0E4E">
        <w:rPr>
          <w:lang w:val="en-GB"/>
        </w:rPr>
        <w:t xml:space="preserve">s a </w:t>
      </w:r>
      <w:r w:rsidR="00302EB4" w:rsidRPr="00302EB4">
        <w:rPr>
          <w:lang w:val="en-GB"/>
        </w:rPr>
        <w:t>second</w:t>
      </w:r>
      <w:r w:rsidR="006C0E4E">
        <w:rPr>
          <w:lang w:val="en-GB"/>
        </w:rPr>
        <w:t>-</w:t>
      </w:r>
      <w:r w:rsidR="00302EB4" w:rsidRPr="00302EB4">
        <w:rPr>
          <w:lang w:val="en-GB"/>
        </w:rPr>
        <w:t>line</w:t>
      </w:r>
      <w:r w:rsidR="006C0E4E">
        <w:rPr>
          <w:lang w:val="en-GB"/>
        </w:rPr>
        <w:t xml:space="preserve"> treatment</w:t>
      </w:r>
      <w:r w:rsidR="00302EB4" w:rsidRPr="00302EB4">
        <w:rPr>
          <w:lang w:val="en-GB"/>
        </w:rPr>
        <w:t>, it had not explained why it had change</w:t>
      </w:r>
      <w:r w:rsidR="0088203F">
        <w:rPr>
          <w:lang w:val="en-GB"/>
        </w:rPr>
        <w:t>d</w:t>
      </w:r>
      <w:r w:rsidR="00302EB4" w:rsidRPr="00302EB4">
        <w:rPr>
          <w:lang w:val="en-GB"/>
        </w:rPr>
        <w:t xml:space="preserve"> </w:t>
      </w:r>
      <w:r w:rsidR="0088203F">
        <w:rPr>
          <w:lang w:val="en-GB"/>
        </w:rPr>
        <w:t>its</w:t>
      </w:r>
      <w:r w:rsidR="0088203F" w:rsidRPr="00302EB4">
        <w:rPr>
          <w:lang w:val="en-GB"/>
        </w:rPr>
        <w:t xml:space="preserve"> </w:t>
      </w:r>
      <w:r w:rsidR="00302EB4" w:rsidRPr="00302EB4">
        <w:rPr>
          <w:lang w:val="en-GB"/>
        </w:rPr>
        <w:t>opinion or provided any update</w:t>
      </w:r>
      <w:r w:rsidR="0088203F">
        <w:rPr>
          <w:lang w:val="en-GB"/>
        </w:rPr>
        <w:t>d</w:t>
      </w:r>
      <w:r w:rsidR="00302EB4" w:rsidRPr="00302EB4">
        <w:rPr>
          <w:lang w:val="en-GB"/>
        </w:rPr>
        <w:t xml:space="preserve"> analyses to reflect this. For example, the company’s base case only included comparators used a</w:t>
      </w:r>
      <w:r w:rsidR="00C473A2">
        <w:rPr>
          <w:lang w:val="en-GB"/>
        </w:rPr>
        <w:t>s</w:t>
      </w:r>
      <w:r w:rsidR="00302EB4" w:rsidRPr="00302EB4">
        <w:rPr>
          <w:lang w:val="en-GB"/>
        </w:rPr>
        <w:t xml:space="preserve"> first</w:t>
      </w:r>
      <w:r w:rsidR="00C473A2">
        <w:rPr>
          <w:lang w:val="en-GB"/>
        </w:rPr>
        <w:t>-</w:t>
      </w:r>
      <w:r w:rsidR="00302EB4" w:rsidRPr="00302EB4">
        <w:rPr>
          <w:lang w:val="en-GB"/>
        </w:rPr>
        <w:t xml:space="preserve">line </w:t>
      </w:r>
      <w:r w:rsidR="00C473A2">
        <w:rPr>
          <w:lang w:val="en-GB"/>
        </w:rPr>
        <w:t xml:space="preserve">treatment </w:t>
      </w:r>
      <w:r w:rsidR="00302EB4" w:rsidRPr="00302EB4">
        <w:rPr>
          <w:lang w:val="en-GB"/>
        </w:rPr>
        <w:t>(see section</w:t>
      </w:r>
      <w:r w:rsidR="00451389">
        <w:rPr>
          <w:lang w:val="en-GB"/>
        </w:rPr>
        <w:t> </w:t>
      </w:r>
      <w:r w:rsidR="006A57F2">
        <w:rPr>
          <w:lang w:val="en-GB"/>
        </w:rPr>
        <w:t>3.3</w:t>
      </w:r>
      <w:r w:rsidR="00302EB4" w:rsidRPr="00302EB4">
        <w:rPr>
          <w:lang w:val="en-GB"/>
        </w:rPr>
        <w:t>).</w:t>
      </w:r>
    </w:p>
    <w:p w14:paraId="6C666E1C" w14:textId="3E99FC15" w:rsidR="00232B3F" w:rsidRPr="00302EB4" w:rsidRDefault="006F5D90" w:rsidP="00302EB4">
      <w:pPr>
        <w:pStyle w:val="Numberedlevel2text"/>
        <w:numPr>
          <w:ilvl w:val="0"/>
          <w:numId w:val="0"/>
        </w:numPr>
        <w:ind w:left="1134"/>
        <w:rPr>
          <w:lang w:val="en-GB"/>
        </w:rPr>
      </w:pPr>
      <w:r w:rsidRPr="00302EB4">
        <w:rPr>
          <w:lang w:val="en-GB"/>
        </w:rPr>
        <w:t>The committee would have preferred to see a cost–utility analysis that:</w:t>
      </w:r>
    </w:p>
    <w:p w14:paraId="5AA6FAED" w14:textId="43B68858" w:rsidR="006F5D90" w:rsidRPr="00302EB4" w:rsidRDefault="001421F5" w:rsidP="006F5D90">
      <w:pPr>
        <w:pStyle w:val="Bulletindent1"/>
        <w:numPr>
          <w:ilvl w:val="0"/>
          <w:numId w:val="23"/>
        </w:numPr>
        <w:tabs>
          <w:tab w:val="num" w:pos="1418"/>
        </w:tabs>
        <w:ind w:left="1418" w:hanging="284"/>
      </w:pPr>
      <w:r w:rsidRPr="00302EB4">
        <w:t>u</w:t>
      </w:r>
      <w:r w:rsidR="006F5D90" w:rsidRPr="00302EB4">
        <w:t>se</w:t>
      </w:r>
      <w:r w:rsidRPr="00302EB4">
        <w:t>s</w:t>
      </w:r>
      <w:r w:rsidR="006F5D90" w:rsidRPr="00302EB4">
        <w:t xml:space="preserve"> </w:t>
      </w:r>
      <w:r w:rsidR="00CA2600">
        <w:t>ozanimod’s</w:t>
      </w:r>
      <w:r w:rsidR="00CA2600" w:rsidRPr="00302EB4">
        <w:t xml:space="preserve"> </w:t>
      </w:r>
      <w:r w:rsidR="006F5D90" w:rsidRPr="00302EB4">
        <w:t>CDP</w:t>
      </w:r>
      <w:r w:rsidR="00451389">
        <w:noBreakHyphen/>
      </w:r>
      <w:r w:rsidR="006F5D90" w:rsidRPr="00302EB4">
        <w:t xml:space="preserve">6M hazard ratio from the </w:t>
      </w:r>
      <w:r w:rsidR="00337E38">
        <w:t>NMA</w:t>
      </w:r>
      <w:r w:rsidR="006F5D90" w:rsidRPr="00302EB4">
        <w:t>, rather than</w:t>
      </w:r>
      <w:r w:rsidRPr="00302EB4">
        <w:t xml:space="preserve"> setting ozanimod as equivalent to </w:t>
      </w:r>
      <w:r w:rsidR="006F5D90" w:rsidRPr="00302EB4">
        <w:t>interferon beta</w:t>
      </w:r>
      <w:r w:rsidR="00451389">
        <w:noBreakHyphen/>
      </w:r>
      <w:proofErr w:type="gramStart"/>
      <w:r w:rsidR="006F5D90" w:rsidRPr="00302EB4">
        <w:t>1a</w:t>
      </w:r>
      <w:proofErr w:type="gramEnd"/>
    </w:p>
    <w:p w14:paraId="3EF4FEF4" w14:textId="17C427EF" w:rsidR="006F5D90" w:rsidRDefault="001421F5" w:rsidP="006F5D90">
      <w:pPr>
        <w:pStyle w:val="Bulletindent1"/>
        <w:numPr>
          <w:ilvl w:val="0"/>
          <w:numId w:val="23"/>
        </w:numPr>
        <w:tabs>
          <w:tab w:val="num" w:pos="1418"/>
        </w:tabs>
        <w:ind w:left="1418" w:hanging="284"/>
      </w:pPr>
      <w:r w:rsidRPr="00302EB4">
        <w:t>uses</w:t>
      </w:r>
      <w:r w:rsidR="006F5D90" w:rsidRPr="00302EB4">
        <w:t xml:space="preserve"> the</w:t>
      </w:r>
      <w:r w:rsidRPr="00302EB4">
        <w:t xml:space="preserve"> </w:t>
      </w:r>
      <w:r w:rsidR="00CA2600">
        <w:t>trials</w:t>
      </w:r>
      <w:r w:rsidR="003B71AE">
        <w:t>’</w:t>
      </w:r>
      <w:r w:rsidR="00CA2600" w:rsidRPr="00302EB4">
        <w:t xml:space="preserve"> </w:t>
      </w:r>
      <w:r w:rsidR="006F5D90" w:rsidRPr="00302EB4">
        <w:t>CDP</w:t>
      </w:r>
      <w:r w:rsidR="00451389">
        <w:noBreakHyphen/>
      </w:r>
      <w:r w:rsidR="006F5D90" w:rsidRPr="00302EB4">
        <w:t>6M hazard ratios whe</w:t>
      </w:r>
      <w:r w:rsidR="001276C1">
        <w:t>n</w:t>
      </w:r>
      <w:r w:rsidR="006F5D90" w:rsidRPr="00302EB4">
        <w:t xml:space="preserve"> possible, and </w:t>
      </w:r>
      <w:r w:rsidR="00251DBD" w:rsidRPr="00302EB4">
        <w:t>only use</w:t>
      </w:r>
      <w:r w:rsidR="00451389">
        <w:t>d</w:t>
      </w:r>
      <w:r w:rsidR="00251DBD" w:rsidRPr="00302EB4">
        <w:t xml:space="preserve"> </w:t>
      </w:r>
      <w:r w:rsidR="006F5D90" w:rsidRPr="00302EB4">
        <w:t>the combined CDP</w:t>
      </w:r>
      <w:r w:rsidR="00451389">
        <w:noBreakHyphen/>
      </w:r>
      <w:r w:rsidR="006F5D90" w:rsidRPr="00302EB4">
        <w:t xml:space="preserve">6M hazard ratios for treatments that do not have </w:t>
      </w:r>
      <w:r w:rsidR="006F5D90" w:rsidRPr="00302EB4">
        <w:lastRenderedPageBreak/>
        <w:t>CDP</w:t>
      </w:r>
      <w:r w:rsidR="00451389">
        <w:noBreakHyphen/>
      </w:r>
      <w:r w:rsidR="006F5D90" w:rsidRPr="00302EB4">
        <w:t>6M data available</w:t>
      </w:r>
      <w:r w:rsidR="00251DBD" w:rsidRPr="00302EB4">
        <w:t xml:space="preserve"> (</w:t>
      </w:r>
      <w:r w:rsidRPr="00302EB4">
        <w:t>glatiramer acetate 40</w:t>
      </w:r>
      <w:r w:rsidR="001276C1">
        <w:t> </w:t>
      </w:r>
      <w:r w:rsidRPr="00302EB4">
        <w:t>mg</w:t>
      </w:r>
      <w:r w:rsidR="00DE2320" w:rsidRPr="00302EB4">
        <w:t xml:space="preserve"> [if available</w:t>
      </w:r>
      <w:r w:rsidR="0033305A">
        <w:t>;</w:t>
      </w:r>
      <w:r w:rsidR="00DE2320" w:rsidRPr="00302EB4">
        <w:t xml:space="preserve"> see section</w:t>
      </w:r>
      <w:r w:rsidR="00451389">
        <w:t> </w:t>
      </w:r>
      <w:r w:rsidR="006A57F2">
        <w:t>3.6</w:t>
      </w:r>
      <w:r w:rsidR="00DE2320" w:rsidRPr="00302EB4">
        <w:t>]</w:t>
      </w:r>
      <w:r w:rsidRPr="00302EB4">
        <w:t>, interferon beta</w:t>
      </w:r>
      <w:r w:rsidR="00451389">
        <w:noBreakHyphen/>
      </w:r>
      <w:r w:rsidRPr="00302EB4">
        <w:t>1a 22</w:t>
      </w:r>
      <w:r w:rsidR="001276C1">
        <w:t> micrograms</w:t>
      </w:r>
      <w:r w:rsidRPr="00302EB4">
        <w:t xml:space="preserve"> and peginterferon beta</w:t>
      </w:r>
      <w:r w:rsidR="00CA2600">
        <w:noBreakHyphen/>
      </w:r>
      <w:r w:rsidRPr="00302EB4">
        <w:t>1a)</w:t>
      </w:r>
    </w:p>
    <w:p w14:paraId="606CF64D" w14:textId="391E3867" w:rsidR="00076BAF" w:rsidRPr="00302EB4" w:rsidRDefault="00F64D79" w:rsidP="00076BAF">
      <w:pPr>
        <w:pStyle w:val="Bulletindent1"/>
        <w:numPr>
          <w:ilvl w:val="0"/>
          <w:numId w:val="23"/>
        </w:numPr>
        <w:tabs>
          <w:tab w:val="num" w:pos="1418"/>
        </w:tabs>
        <w:ind w:left="1418" w:hanging="284"/>
      </w:pPr>
      <w:r>
        <w:t>use</w:t>
      </w:r>
      <w:r w:rsidR="00A93D51">
        <w:t>s</w:t>
      </w:r>
      <w:r w:rsidR="00076BAF">
        <w:t xml:space="preserve"> </w:t>
      </w:r>
      <w:r w:rsidR="00284B4E">
        <w:t>combined CDP-6M hazard ratios</w:t>
      </w:r>
      <w:r w:rsidR="00A93D51">
        <w:t>,</w:t>
      </w:r>
      <w:r w:rsidR="007B1F60">
        <w:t xml:space="preserve"> when </w:t>
      </w:r>
      <w:r w:rsidR="00A93D51">
        <w:t>these are used,</w:t>
      </w:r>
      <w:r w:rsidR="00284B4E">
        <w:t xml:space="preserve"> from</w:t>
      </w:r>
      <w:r w:rsidR="00076BAF">
        <w:t xml:space="preserve"> an NMA that </w:t>
      </w:r>
      <w:r w:rsidR="00284B4E">
        <w:t xml:space="preserve">accounts for </w:t>
      </w:r>
      <w:r w:rsidR="00284B4E" w:rsidRPr="00302EB4">
        <w:t>between-study</w:t>
      </w:r>
      <w:r w:rsidR="00284B4E">
        <w:t xml:space="preserve"> or between</w:t>
      </w:r>
      <w:r w:rsidR="00860623">
        <w:t>-</w:t>
      </w:r>
      <w:r w:rsidR="00284B4E">
        <w:t>treatment</w:t>
      </w:r>
      <w:r w:rsidR="00284B4E" w:rsidRPr="00302EB4">
        <w:t xml:space="preserve"> variability</w:t>
      </w:r>
      <w:r w:rsidR="007B1F60">
        <w:t xml:space="preserve">, or </w:t>
      </w:r>
      <w:proofErr w:type="gramStart"/>
      <w:r w:rsidR="007B1F60">
        <w:t>both</w:t>
      </w:r>
      <w:proofErr w:type="gramEnd"/>
    </w:p>
    <w:p w14:paraId="6D190BC5" w14:textId="6D3AF996" w:rsidR="00B70CB7" w:rsidRPr="00302EB4" w:rsidRDefault="001421F5" w:rsidP="00302EB4">
      <w:pPr>
        <w:pStyle w:val="Bulletindent1"/>
        <w:numPr>
          <w:ilvl w:val="0"/>
          <w:numId w:val="23"/>
        </w:numPr>
        <w:tabs>
          <w:tab w:val="num" w:pos="1418"/>
        </w:tabs>
        <w:ind w:left="1418" w:hanging="284"/>
      </w:pPr>
      <w:r w:rsidRPr="00302EB4">
        <w:t>i</w:t>
      </w:r>
      <w:r w:rsidR="006F5D90" w:rsidRPr="00302EB4">
        <w:t>ncludes</w:t>
      </w:r>
      <w:r w:rsidR="004E7498" w:rsidRPr="00302EB4">
        <w:t xml:space="preserve"> comparisons with</w:t>
      </w:r>
      <w:r w:rsidR="006F5D90" w:rsidRPr="00302EB4">
        <w:t xml:space="preserve"> </w:t>
      </w:r>
      <w:r w:rsidR="006C0E4E">
        <w:t xml:space="preserve">second-line </w:t>
      </w:r>
      <w:r w:rsidRPr="00302EB4">
        <w:t xml:space="preserve">treatments </w:t>
      </w:r>
      <w:r w:rsidR="006F5D90" w:rsidRPr="00302EB4">
        <w:t>(alemtuzumab, cladribine, fingolimod and ocrelizumab)</w:t>
      </w:r>
      <w:r w:rsidR="00723C8C">
        <w:t xml:space="preserve"> </w:t>
      </w:r>
      <w:r w:rsidR="00723C8C" w:rsidRPr="00302EB4">
        <w:t xml:space="preserve">if ozanimod </w:t>
      </w:r>
      <w:r w:rsidR="00A446E0">
        <w:t>is positioned for</w:t>
      </w:r>
      <w:r w:rsidR="00723C8C" w:rsidRPr="00302EB4">
        <w:t xml:space="preserve"> second</w:t>
      </w:r>
      <w:r w:rsidR="00723C8C">
        <w:t>-</w:t>
      </w:r>
      <w:r w:rsidR="00723C8C" w:rsidRPr="00302EB4">
        <w:t>line treatment</w:t>
      </w:r>
      <w:r w:rsidRPr="00302EB4">
        <w:t>.</w:t>
      </w:r>
    </w:p>
    <w:p w14:paraId="35BB2B3E" w14:textId="28BDA3AD" w:rsidR="0099154E" w:rsidRPr="00302EB4" w:rsidRDefault="0099154E" w:rsidP="00643582">
      <w:pPr>
        <w:pStyle w:val="Heading2"/>
      </w:pPr>
      <w:r w:rsidRPr="00302EB4">
        <w:t>Other factors</w:t>
      </w:r>
    </w:p>
    <w:p w14:paraId="41E09F04" w14:textId="70300CC3" w:rsidR="00232B3F" w:rsidRPr="00302EB4" w:rsidRDefault="00232B3F" w:rsidP="00643582">
      <w:pPr>
        <w:pStyle w:val="Numberedlevel2text"/>
        <w:numPr>
          <w:ilvl w:val="1"/>
          <w:numId w:val="1"/>
        </w:numPr>
        <w:rPr>
          <w:lang w:val="en-GB"/>
        </w:rPr>
      </w:pPr>
      <w:r w:rsidRPr="00302EB4">
        <w:rPr>
          <w:lang w:val="en-GB"/>
        </w:rPr>
        <w:t>The committee con</w:t>
      </w:r>
      <w:r w:rsidR="002D528A">
        <w:rPr>
          <w:lang w:val="en-GB"/>
        </w:rPr>
        <w:t>cluded that</w:t>
      </w:r>
      <w:r w:rsidRPr="00302EB4">
        <w:rPr>
          <w:lang w:val="en-GB"/>
        </w:rPr>
        <w:t xml:space="preserve"> </w:t>
      </w:r>
      <w:r w:rsidR="002D528A">
        <w:rPr>
          <w:lang w:val="en-GB"/>
        </w:rPr>
        <w:t>ozanimod’s</w:t>
      </w:r>
      <w:r w:rsidRPr="00302EB4">
        <w:rPr>
          <w:lang w:val="en-GB"/>
        </w:rPr>
        <w:t xml:space="preserve"> benefits </w:t>
      </w:r>
      <w:r w:rsidR="002D528A">
        <w:rPr>
          <w:lang w:val="en-GB"/>
        </w:rPr>
        <w:t>were</w:t>
      </w:r>
      <w:r w:rsidRPr="00302EB4">
        <w:rPr>
          <w:lang w:val="en-GB"/>
        </w:rPr>
        <w:t xml:space="preserve"> adequately captured </w:t>
      </w:r>
      <w:r w:rsidR="002D528A">
        <w:rPr>
          <w:lang w:val="en-GB"/>
        </w:rPr>
        <w:t>in</w:t>
      </w:r>
      <w:r w:rsidR="002D528A" w:rsidRPr="00302EB4">
        <w:rPr>
          <w:lang w:val="en-GB"/>
        </w:rPr>
        <w:t xml:space="preserve"> </w:t>
      </w:r>
      <w:r w:rsidRPr="00302EB4">
        <w:rPr>
          <w:lang w:val="en-GB"/>
        </w:rPr>
        <w:t xml:space="preserve">the </w:t>
      </w:r>
      <w:r w:rsidR="002D528A">
        <w:rPr>
          <w:lang w:val="en-GB"/>
        </w:rPr>
        <w:t xml:space="preserve">economic analysis </w:t>
      </w:r>
      <w:r w:rsidR="008F0556">
        <w:rPr>
          <w:lang w:val="en-GB"/>
        </w:rPr>
        <w:t>so</w:t>
      </w:r>
      <w:r w:rsidRPr="00302EB4">
        <w:rPr>
          <w:lang w:val="en-GB"/>
        </w:rPr>
        <w:t xml:space="preserve"> did not </w:t>
      </w:r>
      <w:r w:rsidR="002D528A">
        <w:rPr>
          <w:lang w:val="en-GB"/>
        </w:rPr>
        <w:t xml:space="preserve">consider </w:t>
      </w:r>
      <w:r w:rsidR="008F0556">
        <w:rPr>
          <w:lang w:val="en-GB"/>
        </w:rPr>
        <w:t xml:space="preserve">it </w:t>
      </w:r>
      <w:r w:rsidRPr="00302EB4">
        <w:rPr>
          <w:lang w:val="en-GB"/>
        </w:rPr>
        <w:t>innovative.</w:t>
      </w:r>
    </w:p>
    <w:p w14:paraId="598CD2A6" w14:textId="77777777" w:rsidR="000F48EC" w:rsidRPr="00302EB4" w:rsidRDefault="007A2801" w:rsidP="002E73E7">
      <w:pPr>
        <w:pStyle w:val="Numberedheading1"/>
      </w:pPr>
      <w:r w:rsidRPr="00302EB4">
        <w:t xml:space="preserve">Proposed date for </w:t>
      </w:r>
      <w:r w:rsidR="00000441" w:rsidRPr="00302EB4">
        <w:t>r</w:t>
      </w:r>
      <w:r w:rsidR="000F48EC" w:rsidRPr="00302EB4">
        <w:t>eview of guidance</w:t>
      </w:r>
    </w:p>
    <w:p w14:paraId="0A7A1D53" w14:textId="21860813" w:rsidR="001823EB" w:rsidRPr="00302EB4" w:rsidRDefault="001823EB" w:rsidP="001823EB">
      <w:pPr>
        <w:pStyle w:val="Numberedlevel2text"/>
        <w:rPr>
          <w:lang w:val="en-GB"/>
        </w:rPr>
      </w:pPr>
      <w:r w:rsidRPr="00302EB4">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0390B3C3" w14:textId="07EE62F4" w:rsidR="004845D0" w:rsidRPr="00302EB4" w:rsidRDefault="002D3CE7" w:rsidP="00ED5F88">
      <w:pPr>
        <w:pStyle w:val="NICEnormal"/>
      </w:pPr>
      <w:r w:rsidRPr="00302EB4">
        <w:t>Sanjeev Patel</w:t>
      </w:r>
      <w:r w:rsidR="004845D0" w:rsidRPr="00302EB4">
        <w:br/>
        <w:t xml:space="preserve">Chair, </w:t>
      </w:r>
      <w:r w:rsidR="003847B9" w:rsidRPr="00302EB4">
        <w:t>a</w:t>
      </w:r>
      <w:r w:rsidR="004845D0" w:rsidRPr="00302EB4">
        <w:t xml:space="preserve">ppraisal </w:t>
      </w:r>
      <w:r w:rsidR="003847B9" w:rsidRPr="00302EB4">
        <w:t>c</w:t>
      </w:r>
      <w:r w:rsidR="004845D0" w:rsidRPr="00302EB4">
        <w:t>ommittee</w:t>
      </w:r>
      <w:r w:rsidR="004845D0" w:rsidRPr="00302EB4">
        <w:br/>
      </w:r>
      <w:r w:rsidR="003C529C">
        <w:t>January</w:t>
      </w:r>
      <w:r w:rsidR="003C529C" w:rsidRPr="00302EB4">
        <w:t xml:space="preserve"> </w:t>
      </w:r>
      <w:r w:rsidRPr="00302EB4">
        <w:t>202</w:t>
      </w:r>
      <w:r w:rsidR="003C529C">
        <w:t>1</w:t>
      </w:r>
    </w:p>
    <w:p w14:paraId="614CE59A" w14:textId="77777777" w:rsidR="00B16431" w:rsidRPr="00302EB4" w:rsidRDefault="00B16431" w:rsidP="00B16431">
      <w:pPr>
        <w:pStyle w:val="Numberedheading1"/>
        <w:numPr>
          <w:ilvl w:val="0"/>
          <w:numId w:val="1"/>
        </w:numPr>
      </w:pPr>
      <w:r w:rsidRPr="00302EB4">
        <w:t xml:space="preserve">Appraisal </w:t>
      </w:r>
      <w:r w:rsidR="00343B53" w:rsidRPr="00302EB4">
        <w:t>c</w:t>
      </w:r>
      <w:r w:rsidRPr="00302EB4">
        <w:t>ommittee members and NICE project team</w:t>
      </w:r>
    </w:p>
    <w:p w14:paraId="5E1133C3" w14:textId="77777777" w:rsidR="00B16431" w:rsidRPr="00302EB4" w:rsidRDefault="00B16431" w:rsidP="00B16431">
      <w:pPr>
        <w:pStyle w:val="Heading2"/>
      </w:pPr>
      <w:bookmarkStart w:id="8" w:name="_Appraisal_committee_members"/>
      <w:bookmarkEnd w:id="8"/>
      <w:r w:rsidRPr="00302EB4">
        <w:t xml:space="preserve">Appraisal </w:t>
      </w:r>
      <w:r w:rsidR="00343B53" w:rsidRPr="00302EB4">
        <w:t>c</w:t>
      </w:r>
      <w:r w:rsidRPr="00302EB4">
        <w:t>ommittee members</w:t>
      </w:r>
    </w:p>
    <w:p w14:paraId="54FBB27B" w14:textId="0CE6C29E" w:rsidR="002F2583" w:rsidRPr="00302EB4" w:rsidRDefault="002F2583" w:rsidP="002F2583">
      <w:pPr>
        <w:pStyle w:val="NICEnormal"/>
        <w:rPr>
          <w:rFonts w:eastAsia="Calibri"/>
        </w:rPr>
      </w:pPr>
      <w:r w:rsidRPr="00302EB4">
        <w:t xml:space="preserve">The 4 technology appraisal committees are standing advisory committees of NICE. This topic was considered by </w:t>
      </w:r>
      <w:hyperlink r:id="rId10" w:history="1">
        <w:r w:rsidRPr="00302EB4">
          <w:rPr>
            <w:rStyle w:val="Hyperlink"/>
            <w:rFonts w:eastAsia="Calibri"/>
          </w:rPr>
          <w:t xml:space="preserve">committee </w:t>
        </w:r>
      </w:hyperlink>
      <w:r w:rsidR="00436DAD" w:rsidRPr="00302EB4">
        <w:rPr>
          <w:rStyle w:val="Hyperlink"/>
          <w:rFonts w:eastAsia="Calibri"/>
        </w:rPr>
        <w:t>B</w:t>
      </w:r>
      <w:r w:rsidRPr="00302EB4">
        <w:t>.</w:t>
      </w:r>
    </w:p>
    <w:p w14:paraId="56FAEF13" w14:textId="2DF0956C" w:rsidR="002F2583" w:rsidRPr="00302EB4" w:rsidRDefault="002F2583" w:rsidP="002F2583">
      <w:pPr>
        <w:pStyle w:val="NICEnormal"/>
      </w:pPr>
      <w:r w:rsidRPr="00302EB4">
        <w:lastRenderedPageBreak/>
        <w:t>Committee members are asked to declare any interests in the technology to be appraised. If it is considered there is a conflict of interest, the member is excluded from participating further in that appraisal.</w:t>
      </w:r>
    </w:p>
    <w:p w14:paraId="73B2964C" w14:textId="77777777" w:rsidR="002F2583" w:rsidRPr="00302EB4" w:rsidRDefault="002F2583" w:rsidP="002F2583">
      <w:pPr>
        <w:pStyle w:val="NICEnormal"/>
      </w:pPr>
      <w:r w:rsidRPr="00302EB4">
        <w:t xml:space="preserve">The </w:t>
      </w:r>
      <w:hyperlink r:id="rId11" w:history="1">
        <w:r w:rsidRPr="00302EB4">
          <w:rPr>
            <w:rStyle w:val="Hyperlink"/>
            <w:rFonts w:eastAsia="Calibri"/>
          </w:rPr>
          <w:t>minutes</w:t>
        </w:r>
        <w:r w:rsidRPr="00302EB4">
          <w:rPr>
            <w:rStyle w:val="Hyperlink"/>
          </w:rPr>
          <w:t xml:space="preserve"> of each appraisal committee meeting</w:t>
        </w:r>
      </w:hyperlink>
      <w:r w:rsidRPr="00302EB4">
        <w:t>, which include the names of the members who attended and their declarations of interests, are posted on the NICE website.</w:t>
      </w:r>
    </w:p>
    <w:p w14:paraId="76C34740" w14:textId="77777777" w:rsidR="00B16431" w:rsidRPr="00302EB4" w:rsidRDefault="00B16431" w:rsidP="00B16431">
      <w:pPr>
        <w:pStyle w:val="Heading2"/>
      </w:pPr>
      <w:r w:rsidRPr="00302EB4">
        <w:t>NICE project team</w:t>
      </w:r>
    </w:p>
    <w:p w14:paraId="3C91606E" w14:textId="01A125E2" w:rsidR="00B16431" w:rsidRPr="00302EB4" w:rsidRDefault="00B16431" w:rsidP="00B16431">
      <w:pPr>
        <w:pStyle w:val="NICEnormal"/>
      </w:pPr>
      <w:r w:rsidRPr="00302EB4">
        <w:t>Each technology appraisal is assigned to a team consisting of 1 or more health technology analysts (who act as technical leads for the appraisal), a technical adviser and a project manager.</w:t>
      </w:r>
    </w:p>
    <w:p w14:paraId="302D314E" w14:textId="60B2B8CA" w:rsidR="00B16431" w:rsidRPr="00302EB4" w:rsidRDefault="00436DAD" w:rsidP="00B16431">
      <w:pPr>
        <w:pStyle w:val="NICEnormal"/>
      </w:pPr>
      <w:bookmarkStart w:id="9" w:name="Text45"/>
      <w:r w:rsidRPr="00302EB4">
        <w:rPr>
          <w:b/>
        </w:rPr>
        <w:t>Hannah Nicholas</w:t>
      </w:r>
      <w:r w:rsidR="00B16431" w:rsidRPr="00302EB4">
        <w:br/>
        <w:t xml:space="preserve">Technical </w:t>
      </w:r>
      <w:r w:rsidR="00E65C76" w:rsidRPr="00302EB4">
        <w:t>l</w:t>
      </w:r>
      <w:r w:rsidR="00B16431" w:rsidRPr="00302EB4">
        <w:t>ead</w:t>
      </w:r>
    </w:p>
    <w:p w14:paraId="50C952E7" w14:textId="4F683661" w:rsidR="00B16431" w:rsidRPr="00302EB4" w:rsidRDefault="00436DAD" w:rsidP="00B16431">
      <w:pPr>
        <w:pStyle w:val="NICEnormal"/>
      </w:pPr>
      <w:r w:rsidRPr="00302EB4">
        <w:rPr>
          <w:b/>
        </w:rPr>
        <w:t>Carl Prescott</w:t>
      </w:r>
      <w:r w:rsidR="00B16431" w:rsidRPr="00302EB4">
        <w:br/>
        <w:t xml:space="preserve">Technical </w:t>
      </w:r>
      <w:r w:rsidR="00E65C76" w:rsidRPr="00302EB4">
        <w:t>a</w:t>
      </w:r>
      <w:r w:rsidR="00B16431" w:rsidRPr="00302EB4">
        <w:t>dviser</w:t>
      </w:r>
    </w:p>
    <w:p w14:paraId="567E5264" w14:textId="0C4EA6F1" w:rsidR="00B16431" w:rsidRPr="00302EB4" w:rsidRDefault="00436DAD" w:rsidP="005D3FD9">
      <w:pPr>
        <w:pStyle w:val="NICEnormal"/>
      </w:pPr>
      <w:r w:rsidRPr="00302EB4">
        <w:rPr>
          <w:b/>
        </w:rPr>
        <w:t>Jeremy Powell</w:t>
      </w:r>
      <w:r w:rsidR="00B16431" w:rsidRPr="00302EB4">
        <w:br/>
        <w:t xml:space="preserve">Project </w:t>
      </w:r>
      <w:r w:rsidR="00E65C76" w:rsidRPr="00302EB4">
        <w:t>m</w:t>
      </w:r>
      <w:r w:rsidR="00B16431" w:rsidRPr="00302EB4">
        <w:t>anager</w:t>
      </w:r>
      <w:bookmarkEnd w:id="9"/>
    </w:p>
    <w:p w14:paraId="40671F54" w14:textId="3DF0AC9B" w:rsidR="00436DAD" w:rsidRPr="00302EB4" w:rsidRDefault="00436DAD" w:rsidP="005D3FD9">
      <w:pPr>
        <w:pStyle w:val="NICEnormal"/>
      </w:pPr>
      <w:r w:rsidRPr="00302EB4">
        <w:rPr>
          <w:b/>
        </w:rPr>
        <w:t>Joanne Ekeledo</w:t>
      </w:r>
      <w:r w:rsidRPr="00302EB4">
        <w:br/>
        <w:t>Project manager</w:t>
      </w:r>
    </w:p>
    <w:p w14:paraId="472BA470" w14:textId="77777777" w:rsidR="006E7647" w:rsidRPr="00302EB4" w:rsidRDefault="006E7647" w:rsidP="00F05E37">
      <w:pPr>
        <w:pStyle w:val="NICEnormal"/>
      </w:pPr>
      <w:r w:rsidRPr="00302EB4">
        <w:t xml:space="preserve">ISBN: </w:t>
      </w:r>
      <w:r w:rsidRPr="00302EB4">
        <w:rPr>
          <w:highlight w:val="green"/>
        </w:rPr>
        <w:t>[to be added at publication]</w:t>
      </w:r>
    </w:p>
    <w:sectPr w:rsidR="006E7647" w:rsidRPr="00302EB4" w:rsidSect="00C76DDA">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AD467" w14:textId="77777777" w:rsidR="00141BB5" w:rsidRDefault="00141BB5">
      <w:r>
        <w:separator/>
      </w:r>
    </w:p>
  </w:endnote>
  <w:endnote w:type="continuationSeparator" w:id="0">
    <w:p w14:paraId="7D40EFFF" w14:textId="77777777" w:rsidR="00141BB5" w:rsidRDefault="0014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B7B7" w14:textId="633EF67D" w:rsidR="00141BB5" w:rsidRPr="003D33FB" w:rsidRDefault="00141BB5" w:rsidP="007A7EC8">
    <w:pPr>
      <w:pStyle w:val="NICEnormalsinglespacing"/>
      <w:spacing w:after="120"/>
      <w:rPr>
        <w:sz w:val="18"/>
        <w:szCs w:val="18"/>
      </w:rPr>
    </w:pPr>
    <w:r w:rsidRPr="00662350">
      <w:rPr>
        <w:sz w:val="18"/>
        <w:szCs w:val="18"/>
      </w:rPr>
      <w:t>Appraisal consultation document – ozanimod</w:t>
    </w:r>
    <w:r w:rsidRPr="0030717B">
      <w:rPr>
        <w:sz w:val="18"/>
        <w:szCs w:val="18"/>
      </w:rPr>
      <w:t xml:space="preserve"> for treating relapsing–remitting multiple sclerosis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3E63B8C7" w14:textId="05183DAF" w:rsidR="00141BB5" w:rsidRDefault="00141BB5" w:rsidP="007A7EC8">
    <w:pPr>
      <w:pStyle w:val="NICEnormalsinglespacing"/>
      <w:spacing w:after="120"/>
      <w:rPr>
        <w:sz w:val="18"/>
        <w:szCs w:val="18"/>
      </w:rPr>
    </w:pPr>
    <w:r w:rsidRPr="003D33FB">
      <w:rPr>
        <w:sz w:val="18"/>
        <w:szCs w:val="18"/>
      </w:rPr>
      <w:t xml:space="preserve">Issue date: </w:t>
    </w:r>
    <w:r>
      <w:rPr>
        <w:sz w:val="18"/>
        <w:szCs w:val="18"/>
      </w:rPr>
      <w:t>January 2021</w:t>
    </w:r>
  </w:p>
  <w:p w14:paraId="12B48735" w14:textId="2735651D" w:rsidR="00141BB5" w:rsidRPr="007A7EC8" w:rsidRDefault="00141BB5" w:rsidP="007A7EC8">
    <w:pPr>
      <w:pStyle w:val="NICEnormalsinglespacing"/>
      <w:spacing w:after="120"/>
    </w:pPr>
    <w:r>
      <w:rPr>
        <w:sz w:val="18"/>
        <w:szCs w:val="18"/>
      </w:rPr>
      <w:t xml:space="preserve">© NICE </w:t>
    </w:r>
    <w:r w:rsidRPr="00CD104A">
      <w:rPr>
        <w:sz w:val="18"/>
        <w:szCs w:val="18"/>
      </w:rPr>
      <w:t>2021</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9906" w14:textId="77777777" w:rsidR="00141BB5" w:rsidRDefault="00141BB5">
      <w:r>
        <w:separator/>
      </w:r>
    </w:p>
  </w:footnote>
  <w:footnote w:type="continuationSeparator" w:id="0">
    <w:p w14:paraId="79F4EEEC" w14:textId="77777777" w:rsidR="00141BB5" w:rsidRDefault="0014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58E19" w14:textId="77777777" w:rsidR="00141BB5" w:rsidRPr="004E6427" w:rsidRDefault="00141BB5"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BB66B80"/>
    <w:multiLevelType w:val="hybridMultilevel"/>
    <w:tmpl w:val="C6C4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A9A348B"/>
    <w:multiLevelType w:val="hybridMultilevel"/>
    <w:tmpl w:val="FADC676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C462A"/>
    <w:multiLevelType w:val="hybridMultilevel"/>
    <w:tmpl w:val="1830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34340"/>
    <w:multiLevelType w:val="hybridMultilevel"/>
    <w:tmpl w:val="844A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6D54D91"/>
    <w:multiLevelType w:val="hybridMultilevel"/>
    <w:tmpl w:val="B06CC18C"/>
    <w:lvl w:ilvl="0" w:tplc="4DCE404A">
      <w:numFmt w:val="bullet"/>
      <w:lvlText w:val="•"/>
      <w:lvlJc w:val="left"/>
      <w:pPr>
        <w:ind w:left="1080" w:hanging="720"/>
      </w:pPr>
      <w:rPr>
        <w:rFonts w:ascii="Arial" w:eastAsia="Times New Roman" w:hAnsi="Arial" w:cs="Arial" w:hint="default"/>
      </w:rPr>
    </w:lvl>
    <w:lvl w:ilvl="1" w:tplc="88824258">
      <w:numFmt w:val="bullet"/>
      <w:lvlText w:val=""/>
      <w:lvlJc w:val="left"/>
      <w:pPr>
        <w:ind w:left="1800" w:hanging="72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022F9"/>
    <w:multiLevelType w:val="hybridMultilevel"/>
    <w:tmpl w:val="A036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9B462C"/>
    <w:multiLevelType w:val="hybridMultilevel"/>
    <w:tmpl w:val="8D74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5" w15:restartNumberingAfterBreak="0">
    <w:nsid w:val="74676456"/>
    <w:multiLevelType w:val="hybridMultilevel"/>
    <w:tmpl w:val="CACEE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
  </w:num>
  <w:num w:numId="3">
    <w:abstractNumId w:val="19"/>
  </w:num>
  <w:num w:numId="4">
    <w:abstractNumId w:val="13"/>
  </w:num>
  <w:num w:numId="5">
    <w:abstractNumId w:val="14"/>
  </w:num>
  <w:num w:numId="6">
    <w:abstractNumId w:val="0"/>
  </w:num>
  <w:num w:numId="7">
    <w:abstractNumId w:val="3"/>
  </w:num>
  <w:num w:numId="8">
    <w:abstractNumId w:val="6"/>
  </w:num>
  <w:num w:numId="9">
    <w:abstractNumId w:val="7"/>
  </w:num>
  <w:num w:numId="10">
    <w:abstractNumId w:val="10"/>
  </w:num>
  <w:num w:numId="11">
    <w:abstractNumId w:val="12"/>
  </w:num>
  <w:num w:numId="12">
    <w:abstractNumId w:val="11"/>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7"/>
  </w:num>
  <w:num w:numId="23">
    <w:abstractNumId w:val="18"/>
  </w:num>
  <w:num w:numId="24">
    <w:abstractNumId w:val="10"/>
  </w:num>
  <w:num w:numId="25">
    <w:abstractNumId w:val="17"/>
  </w:num>
  <w:num w:numId="26">
    <w:abstractNumId w:val="15"/>
  </w:num>
  <w:num w:numId="27">
    <w:abstractNumId w:val="21"/>
  </w:num>
  <w:num w:numId="28">
    <w:abstractNumId w:val="9"/>
  </w:num>
  <w:num w:numId="29">
    <w:abstractNumId w:val="23"/>
  </w:num>
  <w:num w:numId="30">
    <w:abstractNumId w:val="20"/>
  </w:num>
  <w:num w:numId="31">
    <w:abstractNumId w:val="8"/>
  </w:num>
  <w:num w:numId="32">
    <w:abstractNumId w:val="25"/>
  </w:num>
  <w:num w:numId="33">
    <w:abstractNumId w:val="2"/>
  </w:num>
  <w:num w:numId="34">
    <w:abstractNumId w:val="0"/>
  </w:num>
  <w:num w:numId="35">
    <w:abstractNumId w:val="7"/>
  </w:num>
  <w:num w:numId="3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EBA"/>
    <w:rsid w:val="00000441"/>
    <w:rsid w:val="0000053D"/>
    <w:rsid w:val="00004D16"/>
    <w:rsid w:val="000059C8"/>
    <w:rsid w:val="00006590"/>
    <w:rsid w:val="000066CE"/>
    <w:rsid w:val="000069A4"/>
    <w:rsid w:val="000069F9"/>
    <w:rsid w:val="0000727D"/>
    <w:rsid w:val="000119FB"/>
    <w:rsid w:val="00014990"/>
    <w:rsid w:val="00015497"/>
    <w:rsid w:val="00016A22"/>
    <w:rsid w:val="00016E5E"/>
    <w:rsid w:val="00017610"/>
    <w:rsid w:val="000205C6"/>
    <w:rsid w:val="00021FB0"/>
    <w:rsid w:val="000221AA"/>
    <w:rsid w:val="00022922"/>
    <w:rsid w:val="0002331F"/>
    <w:rsid w:val="00023F26"/>
    <w:rsid w:val="000249F8"/>
    <w:rsid w:val="00024CC4"/>
    <w:rsid w:val="000261C3"/>
    <w:rsid w:val="00026E82"/>
    <w:rsid w:val="00030676"/>
    <w:rsid w:val="00030714"/>
    <w:rsid w:val="0003322C"/>
    <w:rsid w:val="00034110"/>
    <w:rsid w:val="00035AC1"/>
    <w:rsid w:val="000368FC"/>
    <w:rsid w:val="000376EE"/>
    <w:rsid w:val="00037C6D"/>
    <w:rsid w:val="000421F8"/>
    <w:rsid w:val="00043262"/>
    <w:rsid w:val="00045528"/>
    <w:rsid w:val="00046D27"/>
    <w:rsid w:val="00052063"/>
    <w:rsid w:val="00055DDF"/>
    <w:rsid w:val="00057724"/>
    <w:rsid w:val="00061C83"/>
    <w:rsid w:val="00064266"/>
    <w:rsid w:val="0006624B"/>
    <w:rsid w:val="0006743A"/>
    <w:rsid w:val="000711F1"/>
    <w:rsid w:val="000727E4"/>
    <w:rsid w:val="00073DA8"/>
    <w:rsid w:val="000755E6"/>
    <w:rsid w:val="000764D3"/>
    <w:rsid w:val="00076BAF"/>
    <w:rsid w:val="00080A47"/>
    <w:rsid w:val="00082F77"/>
    <w:rsid w:val="00083362"/>
    <w:rsid w:val="00085C5A"/>
    <w:rsid w:val="000862FC"/>
    <w:rsid w:val="00086795"/>
    <w:rsid w:val="00087323"/>
    <w:rsid w:val="000879ED"/>
    <w:rsid w:val="00093649"/>
    <w:rsid w:val="00096246"/>
    <w:rsid w:val="000A0A6E"/>
    <w:rsid w:val="000A3DB4"/>
    <w:rsid w:val="000A4016"/>
    <w:rsid w:val="000A6C40"/>
    <w:rsid w:val="000B1027"/>
    <w:rsid w:val="000B26E5"/>
    <w:rsid w:val="000B70D6"/>
    <w:rsid w:val="000B7F7A"/>
    <w:rsid w:val="000C04A1"/>
    <w:rsid w:val="000C194F"/>
    <w:rsid w:val="000C2222"/>
    <w:rsid w:val="000C7678"/>
    <w:rsid w:val="000D09ED"/>
    <w:rsid w:val="000D0A87"/>
    <w:rsid w:val="000D0FB1"/>
    <w:rsid w:val="000D11B8"/>
    <w:rsid w:val="000D145B"/>
    <w:rsid w:val="000D6016"/>
    <w:rsid w:val="000D7185"/>
    <w:rsid w:val="000E1CED"/>
    <w:rsid w:val="000E24BD"/>
    <w:rsid w:val="000E29D1"/>
    <w:rsid w:val="000E5BF6"/>
    <w:rsid w:val="000E6F19"/>
    <w:rsid w:val="000F1B3B"/>
    <w:rsid w:val="000F1E3F"/>
    <w:rsid w:val="000F1E49"/>
    <w:rsid w:val="000F356B"/>
    <w:rsid w:val="000F3755"/>
    <w:rsid w:val="000F3D23"/>
    <w:rsid w:val="000F3DBC"/>
    <w:rsid w:val="000F48EC"/>
    <w:rsid w:val="000F5D8D"/>
    <w:rsid w:val="001000F0"/>
    <w:rsid w:val="001017A9"/>
    <w:rsid w:val="00101F34"/>
    <w:rsid w:val="001030E1"/>
    <w:rsid w:val="001033D5"/>
    <w:rsid w:val="001039F7"/>
    <w:rsid w:val="00105409"/>
    <w:rsid w:val="00107DBD"/>
    <w:rsid w:val="00113666"/>
    <w:rsid w:val="001140DB"/>
    <w:rsid w:val="001169FE"/>
    <w:rsid w:val="00116D19"/>
    <w:rsid w:val="00117513"/>
    <w:rsid w:val="001209CD"/>
    <w:rsid w:val="00121E78"/>
    <w:rsid w:val="001230AC"/>
    <w:rsid w:val="00123F4B"/>
    <w:rsid w:val="00124604"/>
    <w:rsid w:val="001265C0"/>
    <w:rsid w:val="001276C1"/>
    <w:rsid w:val="001337B7"/>
    <w:rsid w:val="00133921"/>
    <w:rsid w:val="001344B3"/>
    <w:rsid w:val="00140C93"/>
    <w:rsid w:val="00141BB5"/>
    <w:rsid w:val="001421F5"/>
    <w:rsid w:val="00143536"/>
    <w:rsid w:val="0014464F"/>
    <w:rsid w:val="00145B2F"/>
    <w:rsid w:val="00145D7F"/>
    <w:rsid w:val="001464B2"/>
    <w:rsid w:val="0014784E"/>
    <w:rsid w:val="00150440"/>
    <w:rsid w:val="00151D8E"/>
    <w:rsid w:val="00152979"/>
    <w:rsid w:val="001570BC"/>
    <w:rsid w:val="001579BF"/>
    <w:rsid w:val="00161AA0"/>
    <w:rsid w:val="00165CD8"/>
    <w:rsid w:val="00166231"/>
    <w:rsid w:val="001662BC"/>
    <w:rsid w:val="001673D0"/>
    <w:rsid w:val="001704B4"/>
    <w:rsid w:val="0017072D"/>
    <w:rsid w:val="00170B60"/>
    <w:rsid w:val="00171A2B"/>
    <w:rsid w:val="00174090"/>
    <w:rsid w:val="00174C6D"/>
    <w:rsid w:val="001755B1"/>
    <w:rsid w:val="00176FB2"/>
    <w:rsid w:val="001823EB"/>
    <w:rsid w:val="00183520"/>
    <w:rsid w:val="00184A64"/>
    <w:rsid w:val="0018716E"/>
    <w:rsid w:val="001873CB"/>
    <w:rsid w:val="00191B56"/>
    <w:rsid w:val="00193945"/>
    <w:rsid w:val="001956FC"/>
    <w:rsid w:val="001959FF"/>
    <w:rsid w:val="00196D8A"/>
    <w:rsid w:val="00196FE1"/>
    <w:rsid w:val="0019718A"/>
    <w:rsid w:val="001A1AE2"/>
    <w:rsid w:val="001A5561"/>
    <w:rsid w:val="001A6449"/>
    <w:rsid w:val="001A6EB3"/>
    <w:rsid w:val="001B2DD8"/>
    <w:rsid w:val="001B3B53"/>
    <w:rsid w:val="001B4E3F"/>
    <w:rsid w:val="001B7C06"/>
    <w:rsid w:val="001B7E00"/>
    <w:rsid w:val="001C0EF4"/>
    <w:rsid w:val="001C59E4"/>
    <w:rsid w:val="001C5E36"/>
    <w:rsid w:val="001D093E"/>
    <w:rsid w:val="001D1D43"/>
    <w:rsid w:val="001D615E"/>
    <w:rsid w:val="001D6D57"/>
    <w:rsid w:val="001E0F91"/>
    <w:rsid w:val="001E27E5"/>
    <w:rsid w:val="001E2CAF"/>
    <w:rsid w:val="001E4D37"/>
    <w:rsid w:val="001E5587"/>
    <w:rsid w:val="001F1400"/>
    <w:rsid w:val="001F6078"/>
    <w:rsid w:val="001F6AD3"/>
    <w:rsid w:val="001F7251"/>
    <w:rsid w:val="001F765B"/>
    <w:rsid w:val="001F7D76"/>
    <w:rsid w:val="0020432E"/>
    <w:rsid w:val="00204F82"/>
    <w:rsid w:val="002053A7"/>
    <w:rsid w:val="0020793F"/>
    <w:rsid w:val="00210624"/>
    <w:rsid w:val="0021081C"/>
    <w:rsid w:val="002119CD"/>
    <w:rsid w:val="002157AA"/>
    <w:rsid w:val="002159C9"/>
    <w:rsid w:val="00215CF4"/>
    <w:rsid w:val="00217763"/>
    <w:rsid w:val="00217FB0"/>
    <w:rsid w:val="00220D0A"/>
    <w:rsid w:val="002218BC"/>
    <w:rsid w:val="002229D3"/>
    <w:rsid w:val="00222BEA"/>
    <w:rsid w:val="00225439"/>
    <w:rsid w:val="00225F9B"/>
    <w:rsid w:val="00232061"/>
    <w:rsid w:val="00232B3F"/>
    <w:rsid w:val="00235945"/>
    <w:rsid w:val="00235CAB"/>
    <w:rsid w:val="00236778"/>
    <w:rsid w:val="00240C24"/>
    <w:rsid w:val="0024358D"/>
    <w:rsid w:val="00247A2F"/>
    <w:rsid w:val="00251DBD"/>
    <w:rsid w:val="002529BA"/>
    <w:rsid w:val="00253EB9"/>
    <w:rsid w:val="002555BE"/>
    <w:rsid w:val="00255679"/>
    <w:rsid w:val="00257B1C"/>
    <w:rsid w:val="00260D45"/>
    <w:rsid w:val="002614EA"/>
    <w:rsid w:val="00261C45"/>
    <w:rsid w:val="002637B0"/>
    <w:rsid w:val="00265B0E"/>
    <w:rsid w:val="00271FCC"/>
    <w:rsid w:val="00275FD2"/>
    <w:rsid w:val="0028181C"/>
    <w:rsid w:val="00282C30"/>
    <w:rsid w:val="00282D7E"/>
    <w:rsid w:val="00284B4E"/>
    <w:rsid w:val="00290445"/>
    <w:rsid w:val="00290D09"/>
    <w:rsid w:val="00291D25"/>
    <w:rsid w:val="00292044"/>
    <w:rsid w:val="00293811"/>
    <w:rsid w:val="00294472"/>
    <w:rsid w:val="0029649E"/>
    <w:rsid w:val="002A151A"/>
    <w:rsid w:val="002A2687"/>
    <w:rsid w:val="002A5C23"/>
    <w:rsid w:val="002A686F"/>
    <w:rsid w:val="002B1D69"/>
    <w:rsid w:val="002B2781"/>
    <w:rsid w:val="002B3340"/>
    <w:rsid w:val="002B3E10"/>
    <w:rsid w:val="002B5772"/>
    <w:rsid w:val="002B6D1D"/>
    <w:rsid w:val="002C0551"/>
    <w:rsid w:val="002C0F98"/>
    <w:rsid w:val="002C257D"/>
    <w:rsid w:val="002C2774"/>
    <w:rsid w:val="002C2EBB"/>
    <w:rsid w:val="002C381D"/>
    <w:rsid w:val="002D0D39"/>
    <w:rsid w:val="002D29F4"/>
    <w:rsid w:val="002D3CE7"/>
    <w:rsid w:val="002D528A"/>
    <w:rsid w:val="002D6049"/>
    <w:rsid w:val="002D79A7"/>
    <w:rsid w:val="002E19B7"/>
    <w:rsid w:val="002E258D"/>
    <w:rsid w:val="002E26DB"/>
    <w:rsid w:val="002E3F68"/>
    <w:rsid w:val="002E5C16"/>
    <w:rsid w:val="002E73E7"/>
    <w:rsid w:val="002E7BE5"/>
    <w:rsid w:val="002F0AA7"/>
    <w:rsid w:val="002F1B28"/>
    <w:rsid w:val="002F23F3"/>
    <w:rsid w:val="002F2583"/>
    <w:rsid w:val="002F279A"/>
    <w:rsid w:val="002F2C1A"/>
    <w:rsid w:val="002F3B11"/>
    <w:rsid w:val="002F40F0"/>
    <w:rsid w:val="002F4A69"/>
    <w:rsid w:val="002F4F5B"/>
    <w:rsid w:val="002F52BA"/>
    <w:rsid w:val="002F68FE"/>
    <w:rsid w:val="00300DCC"/>
    <w:rsid w:val="00300DF8"/>
    <w:rsid w:val="00302EB4"/>
    <w:rsid w:val="00303156"/>
    <w:rsid w:val="003070AF"/>
    <w:rsid w:val="0030717B"/>
    <w:rsid w:val="003107AB"/>
    <w:rsid w:val="0031127A"/>
    <w:rsid w:val="00311A01"/>
    <w:rsid w:val="003128E6"/>
    <w:rsid w:val="00314AA3"/>
    <w:rsid w:val="003152A2"/>
    <w:rsid w:val="003154E8"/>
    <w:rsid w:val="00315C29"/>
    <w:rsid w:val="0031664C"/>
    <w:rsid w:val="00324997"/>
    <w:rsid w:val="003256B1"/>
    <w:rsid w:val="0033020A"/>
    <w:rsid w:val="00331545"/>
    <w:rsid w:val="00331DCA"/>
    <w:rsid w:val="0033305A"/>
    <w:rsid w:val="003330E6"/>
    <w:rsid w:val="0033333E"/>
    <w:rsid w:val="00334CCF"/>
    <w:rsid w:val="003368C0"/>
    <w:rsid w:val="00337E38"/>
    <w:rsid w:val="00340360"/>
    <w:rsid w:val="003405A3"/>
    <w:rsid w:val="00342C50"/>
    <w:rsid w:val="00343439"/>
    <w:rsid w:val="00343B53"/>
    <w:rsid w:val="00344821"/>
    <w:rsid w:val="003459E9"/>
    <w:rsid w:val="00346BA7"/>
    <w:rsid w:val="00347FB5"/>
    <w:rsid w:val="00354915"/>
    <w:rsid w:val="00357225"/>
    <w:rsid w:val="003576BE"/>
    <w:rsid w:val="003624E5"/>
    <w:rsid w:val="00362AA4"/>
    <w:rsid w:val="00362BF4"/>
    <w:rsid w:val="00364E30"/>
    <w:rsid w:val="00372031"/>
    <w:rsid w:val="003738C2"/>
    <w:rsid w:val="003803FE"/>
    <w:rsid w:val="003807E1"/>
    <w:rsid w:val="00383594"/>
    <w:rsid w:val="003842A9"/>
    <w:rsid w:val="003847B9"/>
    <w:rsid w:val="00385E85"/>
    <w:rsid w:val="0039118D"/>
    <w:rsid w:val="00391AC8"/>
    <w:rsid w:val="00392FB4"/>
    <w:rsid w:val="00394DFF"/>
    <w:rsid w:val="003956C3"/>
    <w:rsid w:val="00395C05"/>
    <w:rsid w:val="003A0250"/>
    <w:rsid w:val="003A04CD"/>
    <w:rsid w:val="003A07D8"/>
    <w:rsid w:val="003A11AB"/>
    <w:rsid w:val="003A1F14"/>
    <w:rsid w:val="003A3974"/>
    <w:rsid w:val="003A5838"/>
    <w:rsid w:val="003A72EC"/>
    <w:rsid w:val="003B0BC2"/>
    <w:rsid w:val="003B1B09"/>
    <w:rsid w:val="003B205C"/>
    <w:rsid w:val="003B37BB"/>
    <w:rsid w:val="003B71AE"/>
    <w:rsid w:val="003C138F"/>
    <w:rsid w:val="003C36AC"/>
    <w:rsid w:val="003C529C"/>
    <w:rsid w:val="003C5E33"/>
    <w:rsid w:val="003C7EF9"/>
    <w:rsid w:val="003D0517"/>
    <w:rsid w:val="003D68D5"/>
    <w:rsid w:val="003D7050"/>
    <w:rsid w:val="003E14CF"/>
    <w:rsid w:val="003E684C"/>
    <w:rsid w:val="003F168A"/>
    <w:rsid w:val="003F2C49"/>
    <w:rsid w:val="0040499D"/>
    <w:rsid w:val="00407D59"/>
    <w:rsid w:val="00413DC1"/>
    <w:rsid w:val="0041525E"/>
    <w:rsid w:val="00415939"/>
    <w:rsid w:val="00420742"/>
    <w:rsid w:val="00421005"/>
    <w:rsid w:val="00421FAF"/>
    <w:rsid w:val="00423946"/>
    <w:rsid w:val="0043032C"/>
    <w:rsid w:val="0043118F"/>
    <w:rsid w:val="00431372"/>
    <w:rsid w:val="00431C88"/>
    <w:rsid w:val="00433564"/>
    <w:rsid w:val="00434723"/>
    <w:rsid w:val="00436DAD"/>
    <w:rsid w:val="00437CA3"/>
    <w:rsid w:val="004400DA"/>
    <w:rsid w:val="0044027B"/>
    <w:rsid w:val="004408F8"/>
    <w:rsid w:val="00444AA1"/>
    <w:rsid w:val="0044648F"/>
    <w:rsid w:val="0044686D"/>
    <w:rsid w:val="00446DA2"/>
    <w:rsid w:val="00451389"/>
    <w:rsid w:val="004551DD"/>
    <w:rsid w:val="00456BFA"/>
    <w:rsid w:val="00457843"/>
    <w:rsid w:val="00462002"/>
    <w:rsid w:val="0046212F"/>
    <w:rsid w:val="00462733"/>
    <w:rsid w:val="00463227"/>
    <w:rsid w:val="00463973"/>
    <w:rsid w:val="00466674"/>
    <w:rsid w:val="00467061"/>
    <w:rsid w:val="00467C7B"/>
    <w:rsid w:val="00471113"/>
    <w:rsid w:val="00471200"/>
    <w:rsid w:val="00472FF8"/>
    <w:rsid w:val="00474069"/>
    <w:rsid w:val="00475F03"/>
    <w:rsid w:val="004804B3"/>
    <w:rsid w:val="00481E06"/>
    <w:rsid w:val="004820E9"/>
    <w:rsid w:val="00482651"/>
    <w:rsid w:val="00483119"/>
    <w:rsid w:val="0048361F"/>
    <w:rsid w:val="004845D0"/>
    <w:rsid w:val="004852FF"/>
    <w:rsid w:val="004876EC"/>
    <w:rsid w:val="004921C3"/>
    <w:rsid w:val="00492FDA"/>
    <w:rsid w:val="00494599"/>
    <w:rsid w:val="00494E73"/>
    <w:rsid w:val="004A2830"/>
    <w:rsid w:val="004A28D5"/>
    <w:rsid w:val="004A7CC7"/>
    <w:rsid w:val="004B514C"/>
    <w:rsid w:val="004B7D57"/>
    <w:rsid w:val="004C00D8"/>
    <w:rsid w:val="004C113A"/>
    <w:rsid w:val="004C3DAD"/>
    <w:rsid w:val="004C5310"/>
    <w:rsid w:val="004C5923"/>
    <w:rsid w:val="004C6116"/>
    <w:rsid w:val="004C7339"/>
    <w:rsid w:val="004C7C61"/>
    <w:rsid w:val="004D0DFD"/>
    <w:rsid w:val="004D1A95"/>
    <w:rsid w:val="004D1FBE"/>
    <w:rsid w:val="004D4A86"/>
    <w:rsid w:val="004D6804"/>
    <w:rsid w:val="004D7664"/>
    <w:rsid w:val="004E074F"/>
    <w:rsid w:val="004E1166"/>
    <w:rsid w:val="004E52B2"/>
    <w:rsid w:val="004E5477"/>
    <w:rsid w:val="004E6427"/>
    <w:rsid w:val="004E7498"/>
    <w:rsid w:val="004E7625"/>
    <w:rsid w:val="004E7E43"/>
    <w:rsid w:val="004F1423"/>
    <w:rsid w:val="004F1956"/>
    <w:rsid w:val="004F4740"/>
    <w:rsid w:val="004F4A43"/>
    <w:rsid w:val="004F5FC6"/>
    <w:rsid w:val="004F69FA"/>
    <w:rsid w:val="005037B2"/>
    <w:rsid w:val="0050455E"/>
    <w:rsid w:val="005047AD"/>
    <w:rsid w:val="00505788"/>
    <w:rsid w:val="005064B4"/>
    <w:rsid w:val="00510B1D"/>
    <w:rsid w:val="0051107D"/>
    <w:rsid w:val="00511167"/>
    <w:rsid w:val="00512626"/>
    <w:rsid w:val="005141E7"/>
    <w:rsid w:val="00517CA3"/>
    <w:rsid w:val="005220E1"/>
    <w:rsid w:val="00522BD7"/>
    <w:rsid w:val="005263FF"/>
    <w:rsid w:val="00526C07"/>
    <w:rsid w:val="005273A6"/>
    <w:rsid w:val="00527533"/>
    <w:rsid w:val="00527E88"/>
    <w:rsid w:val="0053387C"/>
    <w:rsid w:val="00534F74"/>
    <w:rsid w:val="005360AE"/>
    <w:rsid w:val="00536789"/>
    <w:rsid w:val="00536D2F"/>
    <w:rsid w:val="00537E22"/>
    <w:rsid w:val="00540052"/>
    <w:rsid w:val="0054146B"/>
    <w:rsid w:val="00542A47"/>
    <w:rsid w:val="005435F4"/>
    <w:rsid w:val="00543DB4"/>
    <w:rsid w:val="00543E08"/>
    <w:rsid w:val="005449AD"/>
    <w:rsid w:val="005505ED"/>
    <w:rsid w:val="00551241"/>
    <w:rsid w:val="005545AB"/>
    <w:rsid w:val="00564B04"/>
    <w:rsid w:val="00564F6A"/>
    <w:rsid w:val="00566156"/>
    <w:rsid w:val="00566F4C"/>
    <w:rsid w:val="00570524"/>
    <w:rsid w:val="00573059"/>
    <w:rsid w:val="0057433D"/>
    <w:rsid w:val="0057621E"/>
    <w:rsid w:val="00577B05"/>
    <w:rsid w:val="00580D6F"/>
    <w:rsid w:val="005812C6"/>
    <w:rsid w:val="0058382A"/>
    <w:rsid w:val="0059188F"/>
    <w:rsid w:val="005948FA"/>
    <w:rsid w:val="005959BE"/>
    <w:rsid w:val="00596210"/>
    <w:rsid w:val="00596286"/>
    <w:rsid w:val="00596999"/>
    <w:rsid w:val="005A0F31"/>
    <w:rsid w:val="005A1598"/>
    <w:rsid w:val="005A28A1"/>
    <w:rsid w:val="005A46D0"/>
    <w:rsid w:val="005A6FB5"/>
    <w:rsid w:val="005A7B81"/>
    <w:rsid w:val="005B25E4"/>
    <w:rsid w:val="005B30C8"/>
    <w:rsid w:val="005B3A8D"/>
    <w:rsid w:val="005B4E83"/>
    <w:rsid w:val="005B67FE"/>
    <w:rsid w:val="005B7778"/>
    <w:rsid w:val="005C051F"/>
    <w:rsid w:val="005C3D3D"/>
    <w:rsid w:val="005C6E7B"/>
    <w:rsid w:val="005C762E"/>
    <w:rsid w:val="005D098C"/>
    <w:rsid w:val="005D0C39"/>
    <w:rsid w:val="005D311B"/>
    <w:rsid w:val="005D3FD9"/>
    <w:rsid w:val="005E2139"/>
    <w:rsid w:val="005E46BB"/>
    <w:rsid w:val="005E7605"/>
    <w:rsid w:val="005F2FB0"/>
    <w:rsid w:val="006001CC"/>
    <w:rsid w:val="00602B4D"/>
    <w:rsid w:val="00603C94"/>
    <w:rsid w:val="006048E0"/>
    <w:rsid w:val="00604FAD"/>
    <w:rsid w:val="0060662A"/>
    <w:rsid w:val="00612789"/>
    <w:rsid w:val="00613D24"/>
    <w:rsid w:val="00614BDA"/>
    <w:rsid w:val="006173DC"/>
    <w:rsid w:val="00621AFB"/>
    <w:rsid w:val="00621FB6"/>
    <w:rsid w:val="0062589A"/>
    <w:rsid w:val="0062596D"/>
    <w:rsid w:val="00630614"/>
    <w:rsid w:val="006307C7"/>
    <w:rsid w:val="0063188E"/>
    <w:rsid w:val="00632B82"/>
    <w:rsid w:val="006331B4"/>
    <w:rsid w:val="006343F3"/>
    <w:rsid w:val="00640CF2"/>
    <w:rsid w:val="006417D6"/>
    <w:rsid w:val="00642906"/>
    <w:rsid w:val="00643582"/>
    <w:rsid w:val="00643B75"/>
    <w:rsid w:val="006457EF"/>
    <w:rsid w:val="00650F96"/>
    <w:rsid w:val="006512B7"/>
    <w:rsid w:val="00651C22"/>
    <w:rsid w:val="00655679"/>
    <w:rsid w:val="00655B4D"/>
    <w:rsid w:val="00655ED5"/>
    <w:rsid w:val="00662350"/>
    <w:rsid w:val="00662451"/>
    <w:rsid w:val="00665734"/>
    <w:rsid w:val="006669C6"/>
    <w:rsid w:val="0067033F"/>
    <w:rsid w:val="00671977"/>
    <w:rsid w:val="00671D80"/>
    <w:rsid w:val="00672EFB"/>
    <w:rsid w:val="006739CF"/>
    <w:rsid w:val="00676313"/>
    <w:rsid w:val="00676F8F"/>
    <w:rsid w:val="0067752C"/>
    <w:rsid w:val="006776A2"/>
    <w:rsid w:val="006801A6"/>
    <w:rsid w:val="0068124B"/>
    <w:rsid w:val="00681610"/>
    <w:rsid w:val="0068499B"/>
    <w:rsid w:val="00684AD6"/>
    <w:rsid w:val="00685D36"/>
    <w:rsid w:val="00687304"/>
    <w:rsid w:val="006909A1"/>
    <w:rsid w:val="00692C71"/>
    <w:rsid w:val="006931A0"/>
    <w:rsid w:val="006935BC"/>
    <w:rsid w:val="00696E55"/>
    <w:rsid w:val="006A0B0E"/>
    <w:rsid w:val="006A2615"/>
    <w:rsid w:val="006A34A6"/>
    <w:rsid w:val="006A3A9C"/>
    <w:rsid w:val="006A3CC5"/>
    <w:rsid w:val="006A57F2"/>
    <w:rsid w:val="006A721F"/>
    <w:rsid w:val="006A7CCF"/>
    <w:rsid w:val="006B0581"/>
    <w:rsid w:val="006B0F36"/>
    <w:rsid w:val="006B2B79"/>
    <w:rsid w:val="006B30FD"/>
    <w:rsid w:val="006B4254"/>
    <w:rsid w:val="006B54B1"/>
    <w:rsid w:val="006B59CF"/>
    <w:rsid w:val="006B5CB4"/>
    <w:rsid w:val="006B6DCF"/>
    <w:rsid w:val="006B791B"/>
    <w:rsid w:val="006C0E4E"/>
    <w:rsid w:val="006C3B5B"/>
    <w:rsid w:val="006C4793"/>
    <w:rsid w:val="006C7D12"/>
    <w:rsid w:val="006D07D9"/>
    <w:rsid w:val="006D36FB"/>
    <w:rsid w:val="006D42ED"/>
    <w:rsid w:val="006D4D1A"/>
    <w:rsid w:val="006D6EB2"/>
    <w:rsid w:val="006D73F1"/>
    <w:rsid w:val="006E04D3"/>
    <w:rsid w:val="006E2A29"/>
    <w:rsid w:val="006E3514"/>
    <w:rsid w:val="006E7421"/>
    <w:rsid w:val="006E7647"/>
    <w:rsid w:val="006F162C"/>
    <w:rsid w:val="006F1DA8"/>
    <w:rsid w:val="006F22E9"/>
    <w:rsid w:val="006F26F2"/>
    <w:rsid w:val="006F4CFA"/>
    <w:rsid w:val="006F5310"/>
    <w:rsid w:val="006F5D90"/>
    <w:rsid w:val="006F696E"/>
    <w:rsid w:val="006F6B91"/>
    <w:rsid w:val="00700A56"/>
    <w:rsid w:val="0070157B"/>
    <w:rsid w:val="007040CB"/>
    <w:rsid w:val="0070523B"/>
    <w:rsid w:val="00706796"/>
    <w:rsid w:val="00707D16"/>
    <w:rsid w:val="0071197A"/>
    <w:rsid w:val="00713C59"/>
    <w:rsid w:val="00715E8A"/>
    <w:rsid w:val="00717218"/>
    <w:rsid w:val="00717226"/>
    <w:rsid w:val="00720FDD"/>
    <w:rsid w:val="00721A60"/>
    <w:rsid w:val="007220ED"/>
    <w:rsid w:val="00722883"/>
    <w:rsid w:val="00723AF0"/>
    <w:rsid w:val="00723C8C"/>
    <w:rsid w:val="00727911"/>
    <w:rsid w:val="0073007E"/>
    <w:rsid w:val="007311E2"/>
    <w:rsid w:val="00732519"/>
    <w:rsid w:val="00732A1A"/>
    <w:rsid w:val="0073365B"/>
    <w:rsid w:val="00734587"/>
    <w:rsid w:val="00734F5A"/>
    <w:rsid w:val="0073579D"/>
    <w:rsid w:val="00735AEC"/>
    <w:rsid w:val="00736D97"/>
    <w:rsid w:val="00737CEF"/>
    <w:rsid w:val="00737DDA"/>
    <w:rsid w:val="007469B9"/>
    <w:rsid w:val="00746B57"/>
    <w:rsid w:val="00747D90"/>
    <w:rsid w:val="007501B9"/>
    <w:rsid w:val="00751CB9"/>
    <w:rsid w:val="00754B34"/>
    <w:rsid w:val="0075624F"/>
    <w:rsid w:val="00756580"/>
    <w:rsid w:val="00756D96"/>
    <w:rsid w:val="007608A2"/>
    <w:rsid w:val="007620C2"/>
    <w:rsid w:val="007634A1"/>
    <w:rsid w:val="00763641"/>
    <w:rsid w:val="00763AB5"/>
    <w:rsid w:val="0076638F"/>
    <w:rsid w:val="007668BA"/>
    <w:rsid w:val="00770596"/>
    <w:rsid w:val="0077277D"/>
    <w:rsid w:val="007747D4"/>
    <w:rsid w:val="00774963"/>
    <w:rsid w:val="00781B7F"/>
    <w:rsid w:val="007825AF"/>
    <w:rsid w:val="00782DCB"/>
    <w:rsid w:val="00784156"/>
    <w:rsid w:val="007865AB"/>
    <w:rsid w:val="007910D6"/>
    <w:rsid w:val="00791280"/>
    <w:rsid w:val="007933B3"/>
    <w:rsid w:val="00794D72"/>
    <w:rsid w:val="007A048E"/>
    <w:rsid w:val="007A19AF"/>
    <w:rsid w:val="007A1E9D"/>
    <w:rsid w:val="007A2801"/>
    <w:rsid w:val="007A36C5"/>
    <w:rsid w:val="007A3D3F"/>
    <w:rsid w:val="007A4EEE"/>
    <w:rsid w:val="007A4F93"/>
    <w:rsid w:val="007A5E7A"/>
    <w:rsid w:val="007A6DAA"/>
    <w:rsid w:val="007A7EC8"/>
    <w:rsid w:val="007B032C"/>
    <w:rsid w:val="007B1AF8"/>
    <w:rsid w:val="007B1F60"/>
    <w:rsid w:val="007B2A16"/>
    <w:rsid w:val="007B4B3F"/>
    <w:rsid w:val="007B787D"/>
    <w:rsid w:val="007B7B7B"/>
    <w:rsid w:val="007C3165"/>
    <w:rsid w:val="007C58D6"/>
    <w:rsid w:val="007C5BA8"/>
    <w:rsid w:val="007C732D"/>
    <w:rsid w:val="007D1008"/>
    <w:rsid w:val="007D339D"/>
    <w:rsid w:val="007D5B27"/>
    <w:rsid w:val="007D5C80"/>
    <w:rsid w:val="007D62AE"/>
    <w:rsid w:val="007D65D9"/>
    <w:rsid w:val="007E013D"/>
    <w:rsid w:val="007E2754"/>
    <w:rsid w:val="007E2D32"/>
    <w:rsid w:val="007E5818"/>
    <w:rsid w:val="007E61A7"/>
    <w:rsid w:val="007E65D7"/>
    <w:rsid w:val="007F227E"/>
    <w:rsid w:val="0080089C"/>
    <w:rsid w:val="008015CD"/>
    <w:rsid w:val="00803318"/>
    <w:rsid w:val="00803456"/>
    <w:rsid w:val="0080390A"/>
    <w:rsid w:val="008075E0"/>
    <w:rsid w:val="00811BBD"/>
    <w:rsid w:val="00812976"/>
    <w:rsid w:val="00814DEF"/>
    <w:rsid w:val="00816A4B"/>
    <w:rsid w:val="0082239E"/>
    <w:rsid w:val="00823220"/>
    <w:rsid w:val="008243A9"/>
    <w:rsid w:val="00825A87"/>
    <w:rsid w:val="00831B9B"/>
    <w:rsid w:val="00835008"/>
    <w:rsid w:val="00836A12"/>
    <w:rsid w:val="0084299A"/>
    <w:rsid w:val="00842A7E"/>
    <w:rsid w:val="00844D3D"/>
    <w:rsid w:val="0084532E"/>
    <w:rsid w:val="00845810"/>
    <w:rsid w:val="00845F3C"/>
    <w:rsid w:val="00846159"/>
    <w:rsid w:val="00846B8D"/>
    <w:rsid w:val="008505C3"/>
    <w:rsid w:val="00851677"/>
    <w:rsid w:val="008522C6"/>
    <w:rsid w:val="008527BC"/>
    <w:rsid w:val="00852E40"/>
    <w:rsid w:val="00857A90"/>
    <w:rsid w:val="00857CDD"/>
    <w:rsid w:val="00860623"/>
    <w:rsid w:val="00860EA8"/>
    <w:rsid w:val="00863A9F"/>
    <w:rsid w:val="0086472B"/>
    <w:rsid w:val="0086485F"/>
    <w:rsid w:val="00866CC6"/>
    <w:rsid w:val="0087368E"/>
    <w:rsid w:val="008802D9"/>
    <w:rsid w:val="00880B98"/>
    <w:rsid w:val="0088183E"/>
    <w:rsid w:val="00881F26"/>
    <w:rsid w:val="0088203F"/>
    <w:rsid w:val="008838A1"/>
    <w:rsid w:val="0088685E"/>
    <w:rsid w:val="0088689E"/>
    <w:rsid w:val="00891794"/>
    <w:rsid w:val="00891929"/>
    <w:rsid w:val="00893176"/>
    <w:rsid w:val="00895446"/>
    <w:rsid w:val="008A05E4"/>
    <w:rsid w:val="008A2098"/>
    <w:rsid w:val="008A32D1"/>
    <w:rsid w:val="008B03D8"/>
    <w:rsid w:val="008B1476"/>
    <w:rsid w:val="008B17F1"/>
    <w:rsid w:val="008B4290"/>
    <w:rsid w:val="008B61CD"/>
    <w:rsid w:val="008C4A61"/>
    <w:rsid w:val="008C4CB3"/>
    <w:rsid w:val="008C4F0F"/>
    <w:rsid w:val="008C5575"/>
    <w:rsid w:val="008C6CFD"/>
    <w:rsid w:val="008C7D07"/>
    <w:rsid w:val="008C7F38"/>
    <w:rsid w:val="008D068B"/>
    <w:rsid w:val="008D3B9E"/>
    <w:rsid w:val="008D55C9"/>
    <w:rsid w:val="008D590E"/>
    <w:rsid w:val="008E2689"/>
    <w:rsid w:val="008E5747"/>
    <w:rsid w:val="008E5909"/>
    <w:rsid w:val="008E7460"/>
    <w:rsid w:val="008E7585"/>
    <w:rsid w:val="008F0556"/>
    <w:rsid w:val="008F2E5C"/>
    <w:rsid w:val="008F646F"/>
    <w:rsid w:val="00903E50"/>
    <w:rsid w:val="009047A3"/>
    <w:rsid w:val="00906047"/>
    <w:rsid w:val="00906982"/>
    <w:rsid w:val="009076D0"/>
    <w:rsid w:val="00912CBD"/>
    <w:rsid w:val="00914F38"/>
    <w:rsid w:val="0091776B"/>
    <w:rsid w:val="00920396"/>
    <w:rsid w:val="0092653E"/>
    <w:rsid w:val="0092657D"/>
    <w:rsid w:val="00931E1D"/>
    <w:rsid w:val="00932623"/>
    <w:rsid w:val="00932B67"/>
    <w:rsid w:val="00935018"/>
    <w:rsid w:val="0093671F"/>
    <w:rsid w:val="00936ACF"/>
    <w:rsid w:val="00937D0C"/>
    <w:rsid w:val="00937F0D"/>
    <w:rsid w:val="00941D1F"/>
    <w:rsid w:val="0094366C"/>
    <w:rsid w:val="0094666B"/>
    <w:rsid w:val="009479C0"/>
    <w:rsid w:val="00947B9F"/>
    <w:rsid w:val="00950914"/>
    <w:rsid w:val="00950C51"/>
    <w:rsid w:val="00951973"/>
    <w:rsid w:val="00952329"/>
    <w:rsid w:val="0095252E"/>
    <w:rsid w:val="00952591"/>
    <w:rsid w:val="00952C90"/>
    <w:rsid w:val="00953ADF"/>
    <w:rsid w:val="00953B55"/>
    <w:rsid w:val="0095579B"/>
    <w:rsid w:val="00957E73"/>
    <w:rsid w:val="009611BD"/>
    <w:rsid w:val="0096135C"/>
    <w:rsid w:val="009714AB"/>
    <w:rsid w:val="009746D7"/>
    <w:rsid w:val="009808B4"/>
    <w:rsid w:val="00983391"/>
    <w:rsid w:val="00984821"/>
    <w:rsid w:val="0099154E"/>
    <w:rsid w:val="009937F0"/>
    <w:rsid w:val="00994070"/>
    <w:rsid w:val="009961A7"/>
    <w:rsid w:val="0099716A"/>
    <w:rsid w:val="009A0593"/>
    <w:rsid w:val="009A2797"/>
    <w:rsid w:val="009A2C14"/>
    <w:rsid w:val="009A3D97"/>
    <w:rsid w:val="009A3ED6"/>
    <w:rsid w:val="009A598B"/>
    <w:rsid w:val="009A698B"/>
    <w:rsid w:val="009B0490"/>
    <w:rsid w:val="009B22A8"/>
    <w:rsid w:val="009B2D86"/>
    <w:rsid w:val="009B3F94"/>
    <w:rsid w:val="009B5E70"/>
    <w:rsid w:val="009B621A"/>
    <w:rsid w:val="009B672F"/>
    <w:rsid w:val="009B6EAB"/>
    <w:rsid w:val="009B718D"/>
    <w:rsid w:val="009C0BCC"/>
    <w:rsid w:val="009C3FA3"/>
    <w:rsid w:val="009C45D9"/>
    <w:rsid w:val="009C46A9"/>
    <w:rsid w:val="009C6530"/>
    <w:rsid w:val="009C6F32"/>
    <w:rsid w:val="009C6F7E"/>
    <w:rsid w:val="009C789C"/>
    <w:rsid w:val="009D0A78"/>
    <w:rsid w:val="009D2BEF"/>
    <w:rsid w:val="009D358E"/>
    <w:rsid w:val="009D7187"/>
    <w:rsid w:val="009D783B"/>
    <w:rsid w:val="009E01DD"/>
    <w:rsid w:val="009E2F49"/>
    <w:rsid w:val="009E547A"/>
    <w:rsid w:val="009E7183"/>
    <w:rsid w:val="009F0898"/>
    <w:rsid w:val="009F30C8"/>
    <w:rsid w:val="009F4054"/>
    <w:rsid w:val="009F58D8"/>
    <w:rsid w:val="00A02EBA"/>
    <w:rsid w:val="00A02F7D"/>
    <w:rsid w:val="00A03791"/>
    <w:rsid w:val="00A03E50"/>
    <w:rsid w:val="00A06657"/>
    <w:rsid w:val="00A12DA0"/>
    <w:rsid w:val="00A16DFA"/>
    <w:rsid w:val="00A17C0A"/>
    <w:rsid w:val="00A2148D"/>
    <w:rsid w:val="00A22FA7"/>
    <w:rsid w:val="00A238D0"/>
    <w:rsid w:val="00A26B57"/>
    <w:rsid w:val="00A31F1E"/>
    <w:rsid w:val="00A32D98"/>
    <w:rsid w:val="00A33919"/>
    <w:rsid w:val="00A33D03"/>
    <w:rsid w:val="00A346B2"/>
    <w:rsid w:val="00A346CE"/>
    <w:rsid w:val="00A34FB7"/>
    <w:rsid w:val="00A3601F"/>
    <w:rsid w:val="00A36968"/>
    <w:rsid w:val="00A36EC5"/>
    <w:rsid w:val="00A36F0F"/>
    <w:rsid w:val="00A41149"/>
    <w:rsid w:val="00A446E0"/>
    <w:rsid w:val="00A44745"/>
    <w:rsid w:val="00A44F15"/>
    <w:rsid w:val="00A47B7B"/>
    <w:rsid w:val="00A50621"/>
    <w:rsid w:val="00A54175"/>
    <w:rsid w:val="00A56809"/>
    <w:rsid w:val="00A60D9A"/>
    <w:rsid w:val="00A63A07"/>
    <w:rsid w:val="00A654A2"/>
    <w:rsid w:val="00A67183"/>
    <w:rsid w:val="00A70079"/>
    <w:rsid w:val="00A705CD"/>
    <w:rsid w:val="00A76391"/>
    <w:rsid w:val="00A76452"/>
    <w:rsid w:val="00A828A7"/>
    <w:rsid w:val="00A837FB"/>
    <w:rsid w:val="00A83F5F"/>
    <w:rsid w:val="00A84DF8"/>
    <w:rsid w:val="00A856FA"/>
    <w:rsid w:val="00A86D3D"/>
    <w:rsid w:val="00A9013E"/>
    <w:rsid w:val="00A915F3"/>
    <w:rsid w:val="00A93D51"/>
    <w:rsid w:val="00A94B17"/>
    <w:rsid w:val="00A94F1F"/>
    <w:rsid w:val="00A95347"/>
    <w:rsid w:val="00A96D96"/>
    <w:rsid w:val="00AA3259"/>
    <w:rsid w:val="00AA349C"/>
    <w:rsid w:val="00AA3B1F"/>
    <w:rsid w:val="00AA471D"/>
    <w:rsid w:val="00AA4B1C"/>
    <w:rsid w:val="00AA6188"/>
    <w:rsid w:val="00AA7E33"/>
    <w:rsid w:val="00AB1CED"/>
    <w:rsid w:val="00AB265E"/>
    <w:rsid w:val="00AB286E"/>
    <w:rsid w:val="00AB2948"/>
    <w:rsid w:val="00AB39FA"/>
    <w:rsid w:val="00AB3B30"/>
    <w:rsid w:val="00AB426C"/>
    <w:rsid w:val="00AB451C"/>
    <w:rsid w:val="00AB59F2"/>
    <w:rsid w:val="00AC169B"/>
    <w:rsid w:val="00AC3E62"/>
    <w:rsid w:val="00AC5620"/>
    <w:rsid w:val="00AC5AF9"/>
    <w:rsid w:val="00AC5E55"/>
    <w:rsid w:val="00AC6192"/>
    <w:rsid w:val="00AC6C72"/>
    <w:rsid w:val="00AD1961"/>
    <w:rsid w:val="00AD2F03"/>
    <w:rsid w:val="00AD4C4A"/>
    <w:rsid w:val="00AD4D9B"/>
    <w:rsid w:val="00AD57FE"/>
    <w:rsid w:val="00AD6933"/>
    <w:rsid w:val="00AD6B7B"/>
    <w:rsid w:val="00AD7CAB"/>
    <w:rsid w:val="00AD7ECD"/>
    <w:rsid w:val="00AE0D6A"/>
    <w:rsid w:val="00AE10BE"/>
    <w:rsid w:val="00AE16C9"/>
    <w:rsid w:val="00AE2538"/>
    <w:rsid w:val="00AE3EF5"/>
    <w:rsid w:val="00AE4C36"/>
    <w:rsid w:val="00AE4F2A"/>
    <w:rsid w:val="00AE5F33"/>
    <w:rsid w:val="00AE7EA9"/>
    <w:rsid w:val="00AF0AD5"/>
    <w:rsid w:val="00AF15E6"/>
    <w:rsid w:val="00AF51E7"/>
    <w:rsid w:val="00AF6447"/>
    <w:rsid w:val="00AF6744"/>
    <w:rsid w:val="00B019B0"/>
    <w:rsid w:val="00B05392"/>
    <w:rsid w:val="00B05620"/>
    <w:rsid w:val="00B11BE5"/>
    <w:rsid w:val="00B12E05"/>
    <w:rsid w:val="00B12EBE"/>
    <w:rsid w:val="00B16169"/>
    <w:rsid w:val="00B16431"/>
    <w:rsid w:val="00B166A4"/>
    <w:rsid w:val="00B219B7"/>
    <w:rsid w:val="00B25038"/>
    <w:rsid w:val="00B2610C"/>
    <w:rsid w:val="00B26E55"/>
    <w:rsid w:val="00B27FF1"/>
    <w:rsid w:val="00B3159A"/>
    <w:rsid w:val="00B31E48"/>
    <w:rsid w:val="00B33465"/>
    <w:rsid w:val="00B3437B"/>
    <w:rsid w:val="00B35C09"/>
    <w:rsid w:val="00B379C5"/>
    <w:rsid w:val="00B4183F"/>
    <w:rsid w:val="00B42198"/>
    <w:rsid w:val="00B46AD2"/>
    <w:rsid w:val="00B50A8F"/>
    <w:rsid w:val="00B531B3"/>
    <w:rsid w:val="00B544A6"/>
    <w:rsid w:val="00B605AB"/>
    <w:rsid w:val="00B61AB5"/>
    <w:rsid w:val="00B6339F"/>
    <w:rsid w:val="00B633A7"/>
    <w:rsid w:val="00B64BBE"/>
    <w:rsid w:val="00B67DE1"/>
    <w:rsid w:val="00B70CB7"/>
    <w:rsid w:val="00B70CC6"/>
    <w:rsid w:val="00B73894"/>
    <w:rsid w:val="00B761D5"/>
    <w:rsid w:val="00B776B5"/>
    <w:rsid w:val="00B8193F"/>
    <w:rsid w:val="00B82A82"/>
    <w:rsid w:val="00B82F07"/>
    <w:rsid w:val="00B8464A"/>
    <w:rsid w:val="00B8473D"/>
    <w:rsid w:val="00B90410"/>
    <w:rsid w:val="00B90E10"/>
    <w:rsid w:val="00B9283F"/>
    <w:rsid w:val="00B93AF6"/>
    <w:rsid w:val="00B96107"/>
    <w:rsid w:val="00B964CA"/>
    <w:rsid w:val="00B969D7"/>
    <w:rsid w:val="00BA31C4"/>
    <w:rsid w:val="00BA3777"/>
    <w:rsid w:val="00BA4655"/>
    <w:rsid w:val="00BA5F28"/>
    <w:rsid w:val="00BA78B6"/>
    <w:rsid w:val="00BA7935"/>
    <w:rsid w:val="00BB047B"/>
    <w:rsid w:val="00BB06F1"/>
    <w:rsid w:val="00BB24A8"/>
    <w:rsid w:val="00BB3086"/>
    <w:rsid w:val="00BB3BB7"/>
    <w:rsid w:val="00BB4818"/>
    <w:rsid w:val="00BB4AF3"/>
    <w:rsid w:val="00BB56A5"/>
    <w:rsid w:val="00BB6398"/>
    <w:rsid w:val="00BC2599"/>
    <w:rsid w:val="00BC25EF"/>
    <w:rsid w:val="00BC2DAF"/>
    <w:rsid w:val="00BC4FD3"/>
    <w:rsid w:val="00BC6827"/>
    <w:rsid w:val="00BC6C7A"/>
    <w:rsid w:val="00BC7D9E"/>
    <w:rsid w:val="00BD0372"/>
    <w:rsid w:val="00BD34DA"/>
    <w:rsid w:val="00BD44F5"/>
    <w:rsid w:val="00BD6E86"/>
    <w:rsid w:val="00BE1297"/>
    <w:rsid w:val="00BE4340"/>
    <w:rsid w:val="00BE5C41"/>
    <w:rsid w:val="00BF0646"/>
    <w:rsid w:val="00BF1C32"/>
    <w:rsid w:val="00BF41C4"/>
    <w:rsid w:val="00BF76A6"/>
    <w:rsid w:val="00C0068D"/>
    <w:rsid w:val="00C01F23"/>
    <w:rsid w:val="00C03433"/>
    <w:rsid w:val="00C044BE"/>
    <w:rsid w:val="00C04BAB"/>
    <w:rsid w:val="00C05D27"/>
    <w:rsid w:val="00C0607B"/>
    <w:rsid w:val="00C06DEF"/>
    <w:rsid w:val="00C075A2"/>
    <w:rsid w:val="00C10343"/>
    <w:rsid w:val="00C107CB"/>
    <w:rsid w:val="00C118C4"/>
    <w:rsid w:val="00C11F58"/>
    <w:rsid w:val="00C120D7"/>
    <w:rsid w:val="00C132D1"/>
    <w:rsid w:val="00C139CA"/>
    <w:rsid w:val="00C13A7D"/>
    <w:rsid w:val="00C2313A"/>
    <w:rsid w:val="00C241A8"/>
    <w:rsid w:val="00C24ABA"/>
    <w:rsid w:val="00C264CB"/>
    <w:rsid w:val="00C31253"/>
    <w:rsid w:val="00C35129"/>
    <w:rsid w:val="00C37C4B"/>
    <w:rsid w:val="00C41197"/>
    <w:rsid w:val="00C41289"/>
    <w:rsid w:val="00C419DB"/>
    <w:rsid w:val="00C46080"/>
    <w:rsid w:val="00C473A2"/>
    <w:rsid w:val="00C476F1"/>
    <w:rsid w:val="00C51429"/>
    <w:rsid w:val="00C51E8F"/>
    <w:rsid w:val="00C52CE9"/>
    <w:rsid w:val="00C52FC0"/>
    <w:rsid w:val="00C53F9E"/>
    <w:rsid w:val="00C559E9"/>
    <w:rsid w:val="00C56E29"/>
    <w:rsid w:val="00C608C1"/>
    <w:rsid w:val="00C60AF3"/>
    <w:rsid w:val="00C61360"/>
    <w:rsid w:val="00C63D4E"/>
    <w:rsid w:val="00C63EA9"/>
    <w:rsid w:val="00C665A0"/>
    <w:rsid w:val="00C67725"/>
    <w:rsid w:val="00C700F3"/>
    <w:rsid w:val="00C7092F"/>
    <w:rsid w:val="00C731D7"/>
    <w:rsid w:val="00C74F0E"/>
    <w:rsid w:val="00C7679D"/>
    <w:rsid w:val="00C76DD6"/>
    <w:rsid w:val="00C76DDA"/>
    <w:rsid w:val="00C77BBD"/>
    <w:rsid w:val="00C807B3"/>
    <w:rsid w:val="00C825C9"/>
    <w:rsid w:val="00C85539"/>
    <w:rsid w:val="00C86CC3"/>
    <w:rsid w:val="00C86E37"/>
    <w:rsid w:val="00C901B1"/>
    <w:rsid w:val="00C90EBC"/>
    <w:rsid w:val="00C91B69"/>
    <w:rsid w:val="00CA2600"/>
    <w:rsid w:val="00CA3856"/>
    <w:rsid w:val="00CA5A3F"/>
    <w:rsid w:val="00CA67E0"/>
    <w:rsid w:val="00CA78E9"/>
    <w:rsid w:val="00CB0122"/>
    <w:rsid w:val="00CB0269"/>
    <w:rsid w:val="00CB0833"/>
    <w:rsid w:val="00CB18F5"/>
    <w:rsid w:val="00CC008E"/>
    <w:rsid w:val="00CC02ED"/>
    <w:rsid w:val="00CC12D0"/>
    <w:rsid w:val="00CC3A10"/>
    <w:rsid w:val="00CC63EB"/>
    <w:rsid w:val="00CD022A"/>
    <w:rsid w:val="00CD03BE"/>
    <w:rsid w:val="00CD0707"/>
    <w:rsid w:val="00CD104A"/>
    <w:rsid w:val="00CD1A25"/>
    <w:rsid w:val="00CD2E16"/>
    <w:rsid w:val="00CD2ECC"/>
    <w:rsid w:val="00CD326A"/>
    <w:rsid w:val="00CD4FC6"/>
    <w:rsid w:val="00CD5D21"/>
    <w:rsid w:val="00CD65E7"/>
    <w:rsid w:val="00CD77D1"/>
    <w:rsid w:val="00CD7BFC"/>
    <w:rsid w:val="00CE2B95"/>
    <w:rsid w:val="00CE2F1A"/>
    <w:rsid w:val="00CE3947"/>
    <w:rsid w:val="00CE5822"/>
    <w:rsid w:val="00CF1A11"/>
    <w:rsid w:val="00CF30FC"/>
    <w:rsid w:val="00CF4286"/>
    <w:rsid w:val="00CF5CB2"/>
    <w:rsid w:val="00CF7B6D"/>
    <w:rsid w:val="00D019BA"/>
    <w:rsid w:val="00D01B9F"/>
    <w:rsid w:val="00D03B38"/>
    <w:rsid w:val="00D03F87"/>
    <w:rsid w:val="00D04CD4"/>
    <w:rsid w:val="00D07174"/>
    <w:rsid w:val="00D12095"/>
    <w:rsid w:val="00D13314"/>
    <w:rsid w:val="00D21AEC"/>
    <w:rsid w:val="00D22D06"/>
    <w:rsid w:val="00D24772"/>
    <w:rsid w:val="00D26E91"/>
    <w:rsid w:val="00D272A6"/>
    <w:rsid w:val="00D3441D"/>
    <w:rsid w:val="00D355C4"/>
    <w:rsid w:val="00D35879"/>
    <w:rsid w:val="00D3612A"/>
    <w:rsid w:val="00D37703"/>
    <w:rsid w:val="00D37D7B"/>
    <w:rsid w:val="00D37DBF"/>
    <w:rsid w:val="00D37F25"/>
    <w:rsid w:val="00D42F4F"/>
    <w:rsid w:val="00D4342F"/>
    <w:rsid w:val="00D44141"/>
    <w:rsid w:val="00D52844"/>
    <w:rsid w:val="00D56A53"/>
    <w:rsid w:val="00D57118"/>
    <w:rsid w:val="00D6324F"/>
    <w:rsid w:val="00D63458"/>
    <w:rsid w:val="00D66D37"/>
    <w:rsid w:val="00D725D5"/>
    <w:rsid w:val="00D73D03"/>
    <w:rsid w:val="00D74876"/>
    <w:rsid w:val="00D750CC"/>
    <w:rsid w:val="00D758DC"/>
    <w:rsid w:val="00D760A8"/>
    <w:rsid w:val="00D84369"/>
    <w:rsid w:val="00D84C8F"/>
    <w:rsid w:val="00D86EB6"/>
    <w:rsid w:val="00D873AD"/>
    <w:rsid w:val="00D90BEE"/>
    <w:rsid w:val="00D91AAC"/>
    <w:rsid w:val="00D91C06"/>
    <w:rsid w:val="00D91C9F"/>
    <w:rsid w:val="00D93FD1"/>
    <w:rsid w:val="00DA08F5"/>
    <w:rsid w:val="00DA2379"/>
    <w:rsid w:val="00DA2ADC"/>
    <w:rsid w:val="00DB01E2"/>
    <w:rsid w:val="00DB0764"/>
    <w:rsid w:val="00DB1CAB"/>
    <w:rsid w:val="00DB2B30"/>
    <w:rsid w:val="00DB3506"/>
    <w:rsid w:val="00DB5229"/>
    <w:rsid w:val="00DB7A9A"/>
    <w:rsid w:val="00DC3177"/>
    <w:rsid w:val="00DC3276"/>
    <w:rsid w:val="00DD13AB"/>
    <w:rsid w:val="00DD2841"/>
    <w:rsid w:val="00DD323F"/>
    <w:rsid w:val="00DD37D8"/>
    <w:rsid w:val="00DD4EB5"/>
    <w:rsid w:val="00DD5902"/>
    <w:rsid w:val="00DE01A4"/>
    <w:rsid w:val="00DE2320"/>
    <w:rsid w:val="00DE3E40"/>
    <w:rsid w:val="00DE4597"/>
    <w:rsid w:val="00DE643F"/>
    <w:rsid w:val="00DF5D0B"/>
    <w:rsid w:val="00DF6840"/>
    <w:rsid w:val="00E010AB"/>
    <w:rsid w:val="00E015AD"/>
    <w:rsid w:val="00E0233F"/>
    <w:rsid w:val="00E02678"/>
    <w:rsid w:val="00E04CB9"/>
    <w:rsid w:val="00E050EC"/>
    <w:rsid w:val="00E06262"/>
    <w:rsid w:val="00E0748A"/>
    <w:rsid w:val="00E128A9"/>
    <w:rsid w:val="00E143DA"/>
    <w:rsid w:val="00E14BA3"/>
    <w:rsid w:val="00E16744"/>
    <w:rsid w:val="00E20944"/>
    <w:rsid w:val="00E24CDE"/>
    <w:rsid w:val="00E258AE"/>
    <w:rsid w:val="00E25953"/>
    <w:rsid w:val="00E26B50"/>
    <w:rsid w:val="00E27F5A"/>
    <w:rsid w:val="00E32BEA"/>
    <w:rsid w:val="00E32F5B"/>
    <w:rsid w:val="00E3360C"/>
    <w:rsid w:val="00E357AD"/>
    <w:rsid w:val="00E3799F"/>
    <w:rsid w:val="00E37DA2"/>
    <w:rsid w:val="00E4121B"/>
    <w:rsid w:val="00E42FA4"/>
    <w:rsid w:val="00E43ACF"/>
    <w:rsid w:val="00E43B5E"/>
    <w:rsid w:val="00E45864"/>
    <w:rsid w:val="00E45B8A"/>
    <w:rsid w:val="00E4622C"/>
    <w:rsid w:val="00E46ED3"/>
    <w:rsid w:val="00E47364"/>
    <w:rsid w:val="00E47F40"/>
    <w:rsid w:val="00E51529"/>
    <w:rsid w:val="00E51FFB"/>
    <w:rsid w:val="00E5244A"/>
    <w:rsid w:val="00E52DD3"/>
    <w:rsid w:val="00E5471E"/>
    <w:rsid w:val="00E558A4"/>
    <w:rsid w:val="00E56395"/>
    <w:rsid w:val="00E576D9"/>
    <w:rsid w:val="00E631C3"/>
    <w:rsid w:val="00E65C76"/>
    <w:rsid w:val="00E65DCE"/>
    <w:rsid w:val="00E65EA1"/>
    <w:rsid w:val="00E6605D"/>
    <w:rsid w:val="00E6611F"/>
    <w:rsid w:val="00E75BE4"/>
    <w:rsid w:val="00E7631F"/>
    <w:rsid w:val="00E9168B"/>
    <w:rsid w:val="00E91A28"/>
    <w:rsid w:val="00E923A0"/>
    <w:rsid w:val="00E9265B"/>
    <w:rsid w:val="00E93EA9"/>
    <w:rsid w:val="00E95253"/>
    <w:rsid w:val="00E95569"/>
    <w:rsid w:val="00E9610A"/>
    <w:rsid w:val="00E978F3"/>
    <w:rsid w:val="00EA1CB1"/>
    <w:rsid w:val="00EA3440"/>
    <w:rsid w:val="00EA4FC3"/>
    <w:rsid w:val="00EA6125"/>
    <w:rsid w:val="00EA672D"/>
    <w:rsid w:val="00EC0435"/>
    <w:rsid w:val="00EC400D"/>
    <w:rsid w:val="00EC7180"/>
    <w:rsid w:val="00ED209D"/>
    <w:rsid w:val="00ED2A74"/>
    <w:rsid w:val="00ED418D"/>
    <w:rsid w:val="00ED46C4"/>
    <w:rsid w:val="00ED5F88"/>
    <w:rsid w:val="00ED664B"/>
    <w:rsid w:val="00ED7359"/>
    <w:rsid w:val="00ED7C2E"/>
    <w:rsid w:val="00EE1620"/>
    <w:rsid w:val="00EE5111"/>
    <w:rsid w:val="00EE5A8C"/>
    <w:rsid w:val="00EF157F"/>
    <w:rsid w:val="00EF2730"/>
    <w:rsid w:val="00EF28D7"/>
    <w:rsid w:val="00EF461D"/>
    <w:rsid w:val="00EF4BA1"/>
    <w:rsid w:val="00EF5550"/>
    <w:rsid w:val="00EF7F28"/>
    <w:rsid w:val="00F01D63"/>
    <w:rsid w:val="00F03757"/>
    <w:rsid w:val="00F03786"/>
    <w:rsid w:val="00F03AB8"/>
    <w:rsid w:val="00F05E37"/>
    <w:rsid w:val="00F0667F"/>
    <w:rsid w:val="00F07897"/>
    <w:rsid w:val="00F079C4"/>
    <w:rsid w:val="00F07EF7"/>
    <w:rsid w:val="00F112AC"/>
    <w:rsid w:val="00F11A64"/>
    <w:rsid w:val="00F11CCD"/>
    <w:rsid w:val="00F130AD"/>
    <w:rsid w:val="00F142D0"/>
    <w:rsid w:val="00F1457D"/>
    <w:rsid w:val="00F15751"/>
    <w:rsid w:val="00F17E80"/>
    <w:rsid w:val="00F2002D"/>
    <w:rsid w:val="00F22093"/>
    <w:rsid w:val="00F227E8"/>
    <w:rsid w:val="00F22F83"/>
    <w:rsid w:val="00F23808"/>
    <w:rsid w:val="00F24647"/>
    <w:rsid w:val="00F26374"/>
    <w:rsid w:val="00F26A9F"/>
    <w:rsid w:val="00F27B8C"/>
    <w:rsid w:val="00F30DE4"/>
    <w:rsid w:val="00F31CE2"/>
    <w:rsid w:val="00F331B5"/>
    <w:rsid w:val="00F34AF9"/>
    <w:rsid w:val="00F41E62"/>
    <w:rsid w:val="00F45725"/>
    <w:rsid w:val="00F45B2B"/>
    <w:rsid w:val="00F47B58"/>
    <w:rsid w:val="00F47BED"/>
    <w:rsid w:val="00F50F35"/>
    <w:rsid w:val="00F53521"/>
    <w:rsid w:val="00F53991"/>
    <w:rsid w:val="00F54AB5"/>
    <w:rsid w:val="00F61722"/>
    <w:rsid w:val="00F617C6"/>
    <w:rsid w:val="00F6208E"/>
    <w:rsid w:val="00F64D79"/>
    <w:rsid w:val="00F66A33"/>
    <w:rsid w:val="00F66F7C"/>
    <w:rsid w:val="00F70179"/>
    <w:rsid w:val="00F70BA5"/>
    <w:rsid w:val="00F71818"/>
    <w:rsid w:val="00F73842"/>
    <w:rsid w:val="00F73B39"/>
    <w:rsid w:val="00F74981"/>
    <w:rsid w:val="00F758A3"/>
    <w:rsid w:val="00F75C04"/>
    <w:rsid w:val="00F81282"/>
    <w:rsid w:val="00F81F50"/>
    <w:rsid w:val="00F843B0"/>
    <w:rsid w:val="00F85A1B"/>
    <w:rsid w:val="00F90692"/>
    <w:rsid w:val="00F94D61"/>
    <w:rsid w:val="00F94DB5"/>
    <w:rsid w:val="00F95772"/>
    <w:rsid w:val="00FA0846"/>
    <w:rsid w:val="00FA27ED"/>
    <w:rsid w:val="00FB15C7"/>
    <w:rsid w:val="00FB2CA2"/>
    <w:rsid w:val="00FB4289"/>
    <w:rsid w:val="00FB5140"/>
    <w:rsid w:val="00FB7C23"/>
    <w:rsid w:val="00FC0149"/>
    <w:rsid w:val="00FC1824"/>
    <w:rsid w:val="00FC2985"/>
    <w:rsid w:val="00FC4493"/>
    <w:rsid w:val="00FC57A5"/>
    <w:rsid w:val="00FC7254"/>
    <w:rsid w:val="00FD008B"/>
    <w:rsid w:val="00FD0E0E"/>
    <w:rsid w:val="00FD12A2"/>
    <w:rsid w:val="00FD424D"/>
    <w:rsid w:val="00FD49EB"/>
    <w:rsid w:val="00FD5803"/>
    <w:rsid w:val="00FE2CE3"/>
    <w:rsid w:val="00FE2CF0"/>
    <w:rsid w:val="00FE2F54"/>
    <w:rsid w:val="00FE3B8F"/>
    <w:rsid w:val="00FE7F11"/>
    <w:rsid w:val="00FF0CDD"/>
    <w:rsid w:val="00FF20D4"/>
    <w:rsid w:val="00FF236D"/>
    <w:rsid w:val="00FF2AF6"/>
    <w:rsid w:val="00FF3F39"/>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5CAF394"/>
  <w15:chartTrackingRefBased/>
  <w15:docId w15:val="{EBE2C419-8081-4867-96AF-5D5AED79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3B205C"/>
    <w:pPr>
      <w:numPr>
        <w:numId w:val="34"/>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3B205C"/>
    <w:pPr>
      <w:numPr>
        <w:numId w:val="35"/>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LRIGTABLETEXT">
    <w:name w:val="LRIG TABLE TEXT"/>
    <w:basedOn w:val="Normal"/>
    <w:link w:val="LRIGTABLETEXTChar"/>
    <w:uiPriority w:val="99"/>
    <w:qFormat/>
    <w:rsid w:val="00AE7EA9"/>
    <w:pPr>
      <w:keepNext/>
      <w:tabs>
        <w:tab w:val="right" w:pos="1432"/>
      </w:tabs>
      <w:spacing w:before="40" w:after="40"/>
    </w:pPr>
    <w:rPr>
      <w:rFonts w:ascii="Arial" w:hAnsi="Arial" w:cs="Arial"/>
      <w:sz w:val="18"/>
      <w:szCs w:val="18"/>
    </w:rPr>
  </w:style>
  <w:style w:type="character" w:customStyle="1" w:styleId="LRIGTABLETEXTChar">
    <w:name w:val="LRIG TABLE TEXT Char"/>
    <w:basedOn w:val="DefaultParagraphFont"/>
    <w:link w:val="LRIGTABLETEXT"/>
    <w:uiPriority w:val="99"/>
    <w:rsid w:val="00AE7EA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04118758">
      <w:bodyDiv w:val="1"/>
      <w:marLeft w:val="0"/>
      <w:marRight w:val="0"/>
      <w:marTop w:val="0"/>
      <w:marBottom w:val="0"/>
      <w:divBdr>
        <w:top w:val="none" w:sz="0" w:space="0" w:color="auto"/>
        <w:left w:val="none" w:sz="0" w:space="0" w:color="auto"/>
        <w:bottom w:val="none" w:sz="0" w:space="0" w:color="auto"/>
        <w:right w:val="none" w:sz="0" w:space="0" w:color="auto"/>
      </w:divBdr>
    </w:div>
    <w:div w:id="505824089">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558931412">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11908/smp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et-involved/meetings-in-public/technology-appraisal-commit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Get-Involved/Meetings-in-public/Technology-appraisal-Committee/Committee-B-Members" TargetMode="External"/><Relationship Id="rId4" Type="http://schemas.openxmlformats.org/officeDocument/2006/relationships/settings" Target="settings.xml"/><Relationship Id="rId9" Type="http://schemas.openxmlformats.org/officeDocument/2006/relationships/hyperlink" Target="https://www.nice.org.uk/guidance/indevelopment/gid-ta10299/documen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0</TotalTime>
  <Pages>14</Pages>
  <Words>3784</Words>
  <Characters>21763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25497</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Hannah Nicholas</dc:creator>
  <cp:keywords/>
  <cp:lastModifiedBy>Jeremy Powell</cp:lastModifiedBy>
  <cp:revision>2</cp:revision>
  <cp:lastPrinted>2021-01-15T17:58:00Z</cp:lastPrinted>
  <dcterms:created xsi:type="dcterms:W3CDTF">2021-01-22T00:42:00Z</dcterms:created>
  <dcterms:modified xsi:type="dcterms:W3CDTF">2021-01-22T00:42:00Z</dcterms:modified>
</cp:coreProperties>
</file>