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2958F" w14:textId="77777777" w:rsidR="007A2801" w:rsidRPr="00C3564D" w:rsidRDefault="007A2801">
      <w:pPr>
        <w:rPr>
          <w:rFonts w:ascii="Arial" w:hAnsi="Arial"/>
        </w:rPr>
      </w:pPr>
      <w:r w:rsidRPr="00C3564D">
        <w:br w:type="page"/>
      </w:r>
    </w:p>
    <w:p w14:paraId="40106D95" w14:textId="77777777" w:rsidR="000F48EC" w:rsidRPr="00C3564D" w:rsidRDefault="00B379C5" w:rsidP="00F130AD">
      <w:pPr>
        <w:pStyle w:val="Numberedheading1"/>
      </w:pPr>
      <w:r w:rsidRPr="00C3564D">
        <w:lastRenderedPageBreak/>
        <w:t>Recommendations</w:t>
      </w:r>
    </w:p>
    <w:p w14:paraId="21A54982" w14:textId="1B2B0380" w:rsidR="00C31253" w:rsidRPr="00C3564D" w:rsidRDefault="004463E5" w:rsidP="00DC7B35">
      <w:pPr>
        <w:pStyle w:val="Numberedlevel2text"/>
        <w:rPr>
          <w:lang w:val="en-GB"/>
        </w:rPr>
      </w:pPr>
      <w:r w:rsidRPr="00C3564D">
        <w:rPr>
          <w:lang w:val="en-GB"/>
        </w:rPr>
        <w:t>Nivolumab</w:t>
      </w:r>
      <w:r w:rsidR="00D63458" w:rsidRPr="00C3564D">
        <w:rPr>
          <w:lang w:val="en-GB"/>
        </w:rPr>
        <w:t xml:space="preserve"> </w:t>
      </w:r>
      <w:r w:rsidR="00C31253" w:rsidRPr="00C3564D">
        <w:rPr>
          <w:lang w:val="en-GB"/>
        </w:rPr>
        <w:t xml:space="preserve">is </w:t>
      </w:r>
      <w:r w:rsidR="00DC7B35" w:rsidRPr="00C3564D">
        <w:rPr>
          <w:lang w:val="en-GB"/>
        </w:rPr>
        <w:t xml:space="preserve">not </w:t>
      </w:r>
      <w:r w:rsidR="00C31253" w:rsidRPr="00C3564D">
        <w:rPr>
          <w:lang w:val="en-GB"/>
        </w:rPr>
        <w:t>recommended, within its</w:t>
      </w:r>
      <w:r w:rsidR="00874E3C" w:rsidRPr="00C3564D">
        <w:rPr>
          <w:lang w:val="en-GB"/>
        </w:rPr>
        <w:t xml:space="preserve"> anticipated</w:t>
      </w:r>
      <w:r w:rsidR="00C31253" w:rsidRPr="00C3564D">
        <w:rPr>
          <w:lang w:val="en-GB"/>
        </w:rPr>
        <w:t xml:space="preserve"> marketing authorisation, for treating </w:t>
      </w:r>
      <w:r w:rsidRPr="00C3564D">
        <w:rPr>
          <w:lang w:val="en-GB"/>
        </w:rPr>
        <w:t>unresectable advanced</w:t>
      </w:r>
      <w:r w:rsidR="00DC7B35" w:rsidRPr="00C3564D">
        <w:rPr>
          <w:lang w:val="en-GB"/>
        </w:rPr>
        <w:t xml:space="preserve">, </w:t>
      </w:r>
      <w:proofErr w:type="gramStart"/>
      <w:r w:rsidR="00DC7B35" w:rsidRPr="00C3564D">
        <w:rPr>
          <w:lang w:val="en-GB"/>
        </w:rPr>
        <w:t>recurrent</w:t>
      </w:r>
      <w:proofErr w:type="gramEnd"/>
      <w:r w:rsidR="00DC7B35" w:rsidRPr="00C3564D">
        <w:rPr>
          <w:lang w:val="en-GB"/>
        </w:rPr>
        <w:t xml:space="preserve"> or metastatic</w:t>
      </w:r>
      <w:r w:rsidRPr="00C3564D">
        <w:rPr>
          <w:lang w:val="en-GB"/>
        </w:rPr>
        <w:t xml:space="preserve"> oesophageal </w:t>
      </w:r>
      <w:r w:rsidR="00DC7B35" w:rsidRPr="00C3564D">
        <w:rPr>
          <w:lang w:val="en-GB"/>
        </w:rPr>
        <w:t xml:space="preserve">squamous cell </w:t>
      </w:r>
      <w:r w:rsidRPr="00C3564D">
        <w:rPr>
          <w:lang w:val="en-GB"/>
        </w:rPr>
        <w:t>ca</w:t>
      </w:r>
      <w:r w:rsidR="00001F1A">
        <w:rPr>
          <w:lang w:val="en-GB"/>
        </w:rPr>
        <w:t>rcinoma</w:t>
      </w:r>
      <w:r w:rsidR="000C7DF0">
        <w:rPr>
          <w:lang w:val="en-GB"/>
        </w:rPr>
        <w:t xml:space="preserve"> in adults</w:t>
      </w:r>
      <w:r w:rsidR="0020408C" w:rsidRPr="00C3564D">
        <w:rPr>
          <w:lang w:val="en-GB"/>
        </w:rPr>
        <w:t xml:space="preserve"> after </w:t>
      </w:r>
      <w:r w:rsidR="0020408C" w:rsidRPr="000C7DF0">
        <w:rPr>
          <w:lang w:val="en-GB"/>
        </w:rPr>
        <w:t>fluoropyrimidine and platinum-based therapy</w:t>
      </w:r>
      <w:r w:rsidR="00C31253" w:rsidRPr="00C3564D">
        <w:rPr>
          <w:lang w:val="en-GB"/>
        </w:rPr>
        <w:t>.</w:t>
      </w:r>
    </w:p>
    <w:p w14:paraId="5BC18BFB" w14:textId="3F365EFE" w:rsidR="002F2C1A" w:rsidRPr="00C3564D" w:rsidRDefault="002F2C1A" w:rsidP="00DC7B35">
      <w:pPr>
        <w:pStyle w:val="Numberedlevel2text"/>
        <w:numPr>
          <w:ilvl w:val="1"/>
          <w:numId w:val="1"/>
        </w:numPr>
        <w:rPr>
          <w:lang w:val="en-GB"/>
        </w:rPr>
      </w:pPr>
      <w:r w:rsidRPr="00C3564D">
        <w:rPr>
          <w:lang w:val="en-GB"/>
        </w:rPr>
        <w:t xml:space="preserve">This recommendation is not intended to affect treatment with </w:t>
      </w:r>
      <w:r w:rsidR="004463E5" w:rsidRPr="00C3564D">
        <w:rPr>
          <w:lang w:val="en-GB"/>
        </w:rPr>
        <w:t>nivolumab</w:t>
      </w:r>
      <w:r w:rsidRPr="00C3564D">
        <w:rPr>
          <w:lang w:val="en-GB"/>
        </w:rPr>
        <w:t xml:space="preserve"> that was started in the NHS before this guidance was published. People having treatment outside this recommendation may continue without change to the funding arrangements in place for them before this guidance was published, until they and their NHS clinician consider it appropriate to stop. </w:t>
      </w:r>
    </w:p>
    <w:p w14:paraId="08C0DC19" w14:textId="77777777" w:rsidR="00C11F58" w:rsidRPr="00C3564D" w:rsidRDefault="00C11F58" w:rsidP="008522C6">
      <w:pPr>
        <w:pStyle w:val="NICEnormal"/>
        <w:rPr>
          <w:b/>
        </w:rPr>
      </w:pPr>
      <w:r w:rsidRPr="00C3564D">
        <w:rPr>
          <w:b/>
        </w:rPr>
        <w:t>Why the committee made these recommendations</w:t>
      </w:r>
    </w:p>
    <w:p w14:paraId="4884DE34" w14:textId="232EFF12" w:rsidR="00DC7B35" w:rsidRPr="00C3564D" w:rsidRDefault="00DC7B35" w:rsidP="00DC7B35">
      <w:pPr>
        <w:pStyle w:val="NICEnormal"/>
      </w:pPr>
      <w:r w:rsidRPr="00C3564D">
        <w:t xml:space="preserve">Unresectable advanced, </w:t>
      </w:r>
      <w:proofErr w:type="gramStart"/>
      <w:r w:rsidRPr="00C3564D">
        <w:t>recurrent</w:t>
      </w:r>
      <w:proofErr w:type="gramEnd"/>
      <w:r w:rsidRPr="00C3564D">
        <w:t xml:space="preserve"> or metastatic oesophageal squamous cell ca</w:t>
      </w:r>
      <w:r w:rsidR="000C7DF0">
        <w:t>rcinoma</w:t>
      </w:r>
      <w:r w:rsidRPr="00C3564D">
        <w:t xml:space="preserve"> is usually first treated with fluoropyrimidine and platinum-based therapy. </w:t>
      </w:r>
      <w:r w:rsidR="00874E3C" w:rsidRPr="00C3564D">
        <w:t>Then i</w:t>
      </w:r>
      <w:r w:rsidRPr="00C3564D">
        <w:t xml:space="preserve">f </w:t>
      </w:r>
      <w:r w:rsidR="003F1C22" w:rsidRPr="00C3564D">
        <w:t>the cancer progresses</w:t>
      </w:r>
      <w:r w:rsidR="002E770B" w:rsidRPr="00C3564D">
        <w:t>,</w:t>
      </w:r>
      <w:r w:rsidRPr="00C3564D">
        <w:t xml:space="preserve"> </w:t>
      </w:r>
      <w:r w:rsidR="00874E3C" w:rsidRPr="00C3564D">
        <w:t>it</w:t>
      </w:r>
      <w:r w:rsidRPr="00C3564D">
        <w:t xml:space="preserve"> </w:t>
      </w:r>
      <w:r w:rsidR="00874E3C" w:rsidRPr="00C3564D">
        <w:t>is</w:t>
      </w:r>
      <w:r w:rsidRPr="00C3564D">
        <w:t xml:space="preserve"> treated with a </w:t>
      </w:r>
      <w:proofErr w:type="spellStart"/>
      <w:r w:rsidRPr="00C3564D">
        <w:t>taxane</w:t>
      </w:r>
      <w:proofErr w:type="spellEnd"/>
      <w:r w:rsidRPr="00C3564D">
        <w:t xml:space="preserve"> (docetaxel or paclitaxel).</w:t>
      </w:r>
    </w:p>
    <w:p w14:paraId="111EFB7D" w14:textId="02CE472F" w:rsidR="00855DFF" w:rsidRPr="00C3564D" w:rsidRDefault="001950B8" w:rsidP="00C52CE9">
      <w:pPr>
        <w:pStyle w:val="NICEnormal"/>
      </w:pPr>
      <w:r>
        <w:t>C</w:t>
      </w:r>
      <w:r w:rsidR="002E770B" w:rsidRPr="00C3564D">
        <w:t>linical</w:t>
      </w:r>
      <w:r w:rsidR="00DC7B35" w:rsidRPr="00C3564D">
        <w:t xml:space="preserve"> trial </w:t>
      </w:r>
      <w:r w:rsidR="00443296" w:rsidRPr="00C3564D">
        <w:t>evidence</w:t>
      </w:r>
      <w:r w:rsidR="007D63EE">
        <w:t xml:space="preserve"> </w:t>
      </w:r>
      <w:r w:rsidR="00443296" w:rsidRPr="00C3564D">
        <w:t>s</w:t>
      </w:r>
      <w:r w:rsidR="007D63EE">
        <w:t>uggests</w:t>
      </w:r>
      <w:r w:rsidR="00443296" w:rsidRPr="00C3564D">
        <w:t xml:space="preserve"> </w:t>
      </w:r>
      <w:r w:rsidR="00B4031E">
        <w:t>nivolumab does not improve</w:t>
      </w:r>
      <w:r w:rsidR="006926E9">
        <w:t xml:space="preserve"> how well the disease</w:t>
      </w:r>
      <w:r w:rsidR="000823D6" w:rsidRPr="00C3564D">
        <w:t xml:space="preserve"> respon</w:t>
      </w:r>
      <w:r>
        <w:t>d</w:t>
      </w:r>
      <w:r w:rsidR="000823D6" w:rsidRPr="00C3564D">
        <w:t>s or</w:t>
      </w:r>
      <w:r w:rsidR="00DC7B35" w:rsidRPr="00C3564D">
        <w:t xml:space="preserve"> </w:t>
      </w:r>
      <w:r w:rsidR="00443296" w:rsidRPr="00C3564D">
        <w:t xml:space="preserve">how long </w:t>
      </w:r>
      <w:r w:rsidR="006926E9">
        <w:t>people</w:t>
      </w:r>
      <w:r w:rsidR="00443296" w:rsidRPr="00C3564D">
        <w:t xml:space="preserve"> live without their disease </w:t>
      </w:r>
      <w:r w:rsidR="00DC7B35" w:rsidRPr="00C3564D">
        <w:t>progressi</w:t>
      </w:r>
      <w:r w:rsidR="00443296" w:rsidRPr="00C3564D">
        <w:t>ng</w:t>
      </w:r>
      <w:r w:rsidR="00B4031E">
        <w:t xml:space="preserve"> compared with </w:t>
      </w:r>
      <w:proofErr w:type="spellStart"/>
      <w:r w:rsidR="00B4031E">
        <w:t>taxane</w:t>
      </w:r>
      <w:proofErr w:type="spellEnd"/>
      <w:r w:rsidR="00B4031E">
        <w:t xml:space="preserve"> treatme</w:t>
      </w:r>
      <w:r w:rsidR="003529D0">
        <w:t>nt</w:t>
      </w:r>
      <w:r w:rsidR="00443296" w:rsidRPr="00C3564D">
        <w:t xml:space="preserve">. </w:t>
      </w:r>
      <w:r w:rsidR="002070B8">
        <w:t>In the trial, t</w:t>
      </w:r>
      <w:r w:rsidR="00AC2743" w:rsidRPr="00C3564D">
        <w:t xml:space="preserve">he rate of death in the first </w:t>
      </w:r>
      <w:r w:rsidR="00443296" w:rsidRPr="00C3564D">
        <w:t>3 </w:t>
      </w:r>
      <w:r w:rsidR="00AC2743" w:rsidRPr="00C3564D">
        <w:t>months of treatment was highe</w:t>
      </w:r>
      <w:r w:rsidR="006F6A6D" w:rsidRPr="00C3564D">
        <w:t>r</w:t>
      </w:r>
      <w:r w:rsidR="00AC2743" w:rsidRPr="00C3564D">
        <w:t xml:space="preserve"> with nivolumab tha</w:t>
      </w:r>
      <w:r w:rsidR="00855DFF" w:rsidRPr="00C3564D">
        <w:t>n</w:t>
      </w:r>
      <w:r w:rsidR="00AC2743" w:rsidRPr="00C3564D">
        <w:t xml:space="preserve"> </w:t>
      </w:r>
      <w:r w:rsidR="006F6A6D" w:rsidRPr="00C3564D">
        <w:t>with</w:t>
      </w:r>
      <w:r w:rsidR="002E770B" w:rsidRPr="00C3564D">
        <w:t xml:space="preserve"> </w:t>
      </w:r>
      <w:proofErr w:type="spellStart"/>
      <w:r w:rsidR="00F54EC9" w:rsidRPr="00C3564D">
        <w:t>taxanes</w:t>
      </w:r>
      <w:proofErr w:type="spellEnd"/>
      <w:r w:rsidR="00F54EC9" w:rsidRPr="00C3564D">
        <w:t xml:space="preserve">, </w:t>
      </w:r>
      <w:r w:rsidR="002E770B" w:rsidRPr="00C3564D">
        <w:t>even though the trial excluded p</w:t>
      </w:r>
      <w:r w:rsidR="00AD4C60">
        <w:t>eople</w:t>
      </w:r>
      <w:r w:rsidR="002E770B" w:rsidRPr="00C3564D">
        <w:t xml:space="preserve"> </w:t>
      </w:r>
      <w:r w:rsidR="00AD4C60">
        <w:t>with</w:t>
      </w:r>
      <w:r w:rsidR="002E770B" w:rsidRPr="00C3564D">
        <w:t xml:space="preserve"> a life expectancy of less than 3</w:t>
      </w:r>
      <w:r w:rsidR="0013226A">
        <w:t> </w:t>
      </w:r>
      <w:r w:rsidR="002E770B" w:rsidRPr="00C3564D">
        <w:t xml:space="preserve">months. </w:t>
      </w:r>
      <w:r w:rsidR="008D550A">
        <w:t xml:space="preserve">After </w:t>
      </w:r>
      <w:r w:rsidR="00D57257">
        <w:t>that</w:t>
      </w:r>
      <w:r w:rsidR="008D550A">
        <w:t xml:space="preserve">, </w:t>
      </w:r>
      <w:r w:rsidR="005C519E">
        <w:t xml:space="preserve">evidence suggests </w:t>
      </w:r>
      <w:r w:rsidR="008D550A">
        <w:t xml:space="preserve">people live for longer with nivolumab compared with </w:t>
      </w:r>
      <w:proofErr w:type="spellStart"/>
      <w:r w:rsidR="008D550A">
        <w:t>taxane</w:t>
      </w:r>
      <w:proofErr w:type="spellEnd"/>
      <w:r w:rsidR="008D550A">
        <w:t xml:space="preserve"> treatment</w:t>
      </w:r>
      <w:r w:rsidR="00D813E7">
        <w:t>,</w:t>
      </w:r>
      <w:r w:rsidR="005C519E">
        <w:t xml:space="preserve"> but</w:t>
      </w:r>
      <w:r w:rsidR="00734E28">
        <w:rPr>
          <w:lang w:val="en-US"/>
        </w:rPr>
        <w:t xml:space="preserve"> </w:t>
      </w:r>
      <w:r w:rsidR="005C519E">
        <w:rPr>
          <w:lang w:val="en-US"/>
        </w:rPr>
        <w:t>c</w:t>
      </w:r>
      <w:r w:rsidR="008D550A">
        <w:rPr>
          <w:lang w:val="en-US"/>
        </w:rPr>
        <w:t>lear evidence of long-term survival after 3</w:t>
      </w:r>
      <w:r w:rsidR="00FE65AC">
        <w:rPr>
          <w:lang w:val="en-US"/>
        </w:rPr>
        <w:t> </w:t>
      </w:r>
      <w:r w:rsidR="008D550A">
        <w:rPr>
          <w:lang w:val="en-US"/>
        </w:rPr>
        <w:t>months is needed.</w:t>
      </w:r>
      <w:r w:rsidR="002067AC">
        <w:rPr>
          <w:lang w:val="en-US"/>
        </w:rPr>
        <w:t xml:space="preserve"> </w:t>
      </w:r>
    </w:p>
    <w:p w14:paraId="38202894" w14:textId="6806683C" w:rsidR="008D550A" w:rsidRPr="00C3564D" w:rsidRDefault="008D550A" w:rsidP="00C52CE9">
      <w:pPr>
        <w:pStyle w:val="NICEnormal"/>
      </w:pPr>
      <w:r>
        <w:t>Because of the uncertainty in the clinical evidence, t</w:t>
      </w:r>
      <w:r w:rsidR="002E770B" w:rsidRPr="00C3564D">
        <w:t>he</w:t>
      </w:r>
      <w:r w:rsidR="00781A28" w:rsidRPr="00C3564D">
        <w:t xml:space="preserve">re is </w:t>
      </w:r>
      <w:r w:rsidR="002E770B" w:rsidRPr="00C3564D">
        <w:t xml:space="preserve">substantial uncertainty </w:t>
      </w:r>
      <w:r w:rsidR="00781A28" w:rsidRPr="00C3564D">
        <w:t>about</w:t>
      </w:r>
      <w:r w:rsidR="002E770B" w:rsidRPr="00C3564D">
        <w:t xml:space="preserve"> the most appropriate estimates for</w:t>
      </w:r>
      <w:r w:rsidR="001950B8">
        <w:t xml:space="preserve"> </w:t>
      </w:r>
      <w:r w:rsidR="002E770B" w:rsidRPr="00C3564D">
        <w:t>costs</w:t>
      </w:r>
      <w:r w:rsidR="00E51D31">
        <w:t xml:space="preserve"> asso</w:t>
      </w:r>
      <w:r>
        <w:t>c</w:t>
      </w:r>
      <w:r w:rsidR="00E51D31">
        <w:t>iated with nivolumab</w:t>
      </w:r>
      <w:r w:rsidR="001950B8">
        <w:t>. New data based on further follow</w:t>
      </w:r>
      <w:r w:rsidR="00D91916">
        <w:t xml:space="preserve"> </w:t>
      </w:r>
      <w:r w:rsidR="001950B8">
        <w:t>up from the trial (up to 36</w:t>
      </w:r>
      <w:r w:rsidR="00D91916">
        <w:t> </w:t>
      </w:r>
      <w:r w:rsidR="001950B8">
        <w:t xml:space="preserve">months) has just </w:t>
      </w:r>
      <w:r w:rsidR="00AC379D">
        <w:t>become</w:t>
      </w:r>
      <w:r w:rsidR="001950B8">
        <w:t xml:space="preserve"> available</w:t>
      </w:r>
      <w:r w:rsidR="00AC379D">
        <w:t xml:space="preserve"> to the company</w:t>
      </w:r>
      <w:r w:rsidR="001950B8">
        <w:t>,</w:t>
      </w:r>
      <w:r w:rsidR="00AC379D">
        <w:t xml:space="preserve"> but </w:t>
      </w:r>
      <w:r w:rsidR="001950B8">
        <w:t>the effect on cost</w:t>
      </w:r>
      <w:r w:rsidR="00D91916">
        <w:t>-</w:t>
      </w:r>
      <w:r w:rsidR="001950B8">
        <w:t>effectiveness estimates is unknown.</w:t>
      </w:r>
    </w:p>
    <w:p w14:paraId="69C859C3" w14:textId="208E6DC1" w:rsidR="00B8464A" w:rsidRDefault="00DC7B35" w:rsidP="00C52CE9">
      <w:pPr>
        <w:pStyle w:val="NICEnormal"/>
      </w:pPr>
      <w:r w:rsidRPr="00C3564D">
        <w:t xml:space="preserve">Nivolumab meets NICE’s criteria to be considered a life-extending treatment at the end of life. However, the most </w:t>
      </w:r>
      <w:r w:rsidR="008D550A">
        <w:t>likely</w:t>
      </w:r>
      <w:r w:rsidRPr="00C3564D">
        <w:t xml:space="preserve"> cost-effectiveness estimates are above what </w:t>
      </w:r>
      <w:r w:rsidRPr="00C3564D">
        <w:lastRenderedPageBreak/>
        <w:t>NICE normally considers an acceptable use of NHS resources. So</w:t>
      </w:r>
      <w:r w:rsidR="004B09EC" w:rsidRPr="00C3564D">
        <w:t>,</w:t>
      </w:r>
      <w:r w:rsidRPr="00C3564D">
        <w:t xml:space="preserve"> nivolumab is not recommended</w:t>
      </w:r>
      <w:r w:rsidR="00026687">
        <w:t xml:space="preserve"> for routine use</w:t>
      </w:r>
      <w:r w:rsidRPr="00C3564D">
        <w:t>.</w:t>
      </w:r>
    </w:p>
    <w:p w14:paraId="1932D756" w14:textId="4320C858" w:rsidR="008750F8" w:rsidRDefault="00026687" w:rsidP="00C52CE9">
      <w:pPr>
        <w:pStyle w:val="NICEnormal"/>
      </w:pPr>
      <w:r w:rsidRPr="0097110B">
        <w:t>Nivolumab</w:t>
      </w:r>
      <w:r>
        <w:t xml:space="preserve"> is not</w:t>
      </w:r>
      <w:r w:rsidR="008D550A">
        <w:t xml:space="preserve"> recommended</w:t>
      </w:r>
      <w:r>
        <w:t xml:space="preserve"> for use within the Cancer Drugs Fund because it is unlikely to be cost effective at its current price (even if the uncertainty about its effectiveness is reduced).</w:t>
      </w:r>
    </w:p>
    <w:p w14:paraId="46286DE6" w14:textId="47F6C8EE" w:rsidR="00EA1CB1" w:rsidRPr="00C3564D" w:rsidRDefault="00EA1CB1" w:rsidP="00EA1CB1">
      <w:pPr>
        <w:pStyle w:val="Numberedheading1"/>
        <w:keepLines/>
      </w:pPr>
      <w:r w:rsidRPr="00C3564D">
        <w:t xml:space="preserve">Information about </w:t>
      </w:r>
      <w:r w:rsidR="007A0D21" w:rsidRPr="00C3564D">
        <w:t>nivolumab</w:t>
      </w:r>
    </w:p>
    <w:p w14:paraId="180CE527" w14:textId="03424645" w:rsidR="00B82A82" w:rsidRPr="00C3564D" w:rsidRDefault="00781A28" w:rsidP="00B82A82">
      <w:pPr>
        <w:pStyle w:val="Heading2"/>
      </w:pPr>
      <w:r w:rsidRPr="00C3564D">
        <w:t>A</w:t>
      </w:r>
      <w:r w:rsidR="00B82A82" w:rsidRPr="00C3564D">
        <w:t>nticipated marketing authorisation indication</w:t>
      </w:r>
    </w:p>
    <w:p w14:paraId="6BEDC960" w14:textId="0D29215D" w:rsidR="00B82A82" w:rsidRPr="00BD4297" w:rsidRDefault="00B82A82" w:rsidP="003A0E2A">
      <w:pPr>
        <w:pStyle w:val="Numberedlevel2text"/>
      </w:pPr>
      <w:r w:rsidRPr="00C3564D">
        <w:rPr>
          <w:lang w:val="en-GB"/>
        </w:rPr>
        <w:t xml:space="preserve">On </w:t>
      </w:r>
      <w:r w:rsidR="00EF159F" w:rsidRPr="003A0E2A">
        <w:t>15 October 2020</w:t>
      </w:r>
      <w:r w:rsidRPr="00C3564D">
        <w:rPr>
          <w:lang w:val="en-GB"/>
        </w:rPr>
        <w:t xml:space="preserve">, the Committee for Medicinal Products for Human Use (CHMP) adopted a positive opinion recommending a variation to the terms of the marketing authorisation for the medicinal product </w:t>
      </w:r>
      <w:r w:rsidR="00EF159F" w:rsidRPr="003A0E2A">
        <w:t>nivolumab</w:t>
      </w:r>
      <w:r w:rsidRPr="00C3564D">
        <w:rPr>
          <w:lang w:val="en-GB"/>
        </w:rPr>
        <w:t>. The CHMP adopted a new indication as follows:</w:t>
      </w:r>
      <w:r w:rsidR="0020408C" w:rsidRPr="003A0E2A">
        <w:t xml:space="preserve"> </w:t>
      </w:r>
      <w:r w:rsidR="00491D5A" w:rsidRPr="00985261">
        <w:rPr>
          <w:lang w:val="en-GB"/>
        </w:rPr>
        <w:t>N</w:t>
      </w:r>
      <w:r w:rsidR="00967B12" w:rsidRPr="00985261">
        <w:rPr>
          <w:lang w:val="en-GB"/>
        </w:rPr>
        <w:t>ivolumab (</w:t>
      </w:r>
      <w:proofErr w:type="spellStart"/>
      <w:r w:rsidR="00967B12" w:rsidRPr="00985261">
        <w:rPr>
          <w:lang w:val="en-GB"/>
        </w:rPr>
        <w:t>Opdivo</w:t>
      </w:r>
      <w:proofErr w:type="spellEnd"/>
      <w:r w:rsidR="00967B12" w:rsidRPr="00985261">
        <w:rPr>
          <w:lang w:val="en-GB"/>
        </w:rPr>
        <w:t xml:space="preserve">, Bristol-Myers Squibb) </w:t>
      </w:r>
      <w:r w:rsidR="00BD4297" w:rsidRPr="007B2A91">
        <w:rPr>
          <w:lang w:val="en-GB"/>
        </w:rPr>
        <w:t xml:space="preserve">as monotherapy </w:t>
      </w:r>
      <w:r w:rsidR="00967B12" w:rsidRPr="00985261">
        <w:rPr>
          <w:lang w:val="en-GB"/>
        </w:rPr>
        <w:t xml:space="preserve">is indicated for the treatment of </w:t>
      </w:r>
      <w:r w:rsidR="00BD4297">
        <w:rPr>
          <w:lang w:val="en-GB"/>
        </w:rPr>
        <w:t xml:space="preserve">adult patients with </w:t>
      </w:r>
      <w:r w:rsidR="00967B12" w:rsidRPr="00985261">
        <w:rPr>
          <w:lang w:val="en-GB"/>
        </w:rPr>
        <w:t xml:space="preserve">unresectable advanced, </w:t>
      </w:r>
      <w:proofErr w:type="gramStart"/>
      <w:r w:rsidR="00967B12" w:rsidRPr="00985261">
        <w:rPr>
          <w:lang w:val="en-GB"/>
        </w:rPr>
        <w:t>recurrent</w:t>
      </w:r>
      <w:proofErr w:type="gramEnd"/>
      <w:r w:rsidR="00967B12" w:rsidRPr="00985261">
        <w:rPr>
          <w:lang w:val="en-GB"/>
        </w:rPr>
        <w:t xml:space="preserve"> or metastatic oesophageal squamous cell carcinoma after prior fluoropyrimidine and platinum-based combination </w:t>
      </w:r>
      <w:r w:rsidR="00BD4297" w:rsidRPr="00985261">
        <w:rPr>
          <w:lang w:val="en-GB"/>
        </w:rPr>
        <w:t>chemo</w:t>
      </w:r>
      <w:r w:rsidR="00967B12" w:rsidRPr="00985261">
        <w:rPr>
          <w:lang w:val="en-GB"/>
        </w:rPr>
        <w:t>therapy.</w:t>
      </w:r>
    </w:p>
    <w:p w14:paraId="1C536A7A" w14:textId="77777777" w:rsidR="00B82A82" w:rsidRPr="00C3564D" w:rsidRDefault="00B82A82" w:rsidP="00B82A82">
      <w:pPr>
        <w:pStyle w:val="Heading2"/>
      </w:pPr>
      <w:r w:rsidRPr="00C3564D">
        <w:t>Dosage in the marketing authorisation</w:t>
      </w:r>
    </w:p>
    <w:p w14:paraId="3DE36AB1" w14:textId="3CA8CEA6" w:rsidR="0058453D" w:rsidRPr="00C3564D" w:rsidRDefault="00781A28" w:rsidP="001D507A">
      <w:pPr>
        <w:pStyle w:val="Numberedlevel2text"/>
        <w:numPr>
          <w:ilvl w:val="1"/>
          <w:numId w:val="1"/>
        </w:numPr>
        <w:rPr>
          <w:rStyle w:val="Numberedlevel2textChar"/>
          <w:lang w:val="en-GB"/>
        </w:rPr>
      </w:pPr>
      <w:r w:rsidRPr="00C3564D">
        <w:rPr>
          <w:bCs w:val="0"/>
          <w:iCs w:val="0"/>
          <w:lang w:val="en-GB"/>
        </w:rPr>
        <w:t>The dosage schedule will be available in the s</w:t>
      </w:r>
      <w:r w:rsidR="00DC0E57" w:rsidRPr="00C3564D">
        <w:rPr>
          <w:bCs w:val="0"/>
          <w:iCs w:val="0"/>
          <w:lang w:val="en-GB"/>
        </w:rPr>
        <w:t xml:space="preserve">ummary of </w:t>
      </w:r>
      <w:r w:rsidRPr="00C3564D">
        <w:rPr>
          <w:bCs w:val="0"/>
          <w:iCs w:val="0"/>
          <w:lang w:val="en-GB"/>
        </w:rPr>
        <w:t>p</w:t>
      </w:r>
      <w:r w:rsidR="00DC0E57" w:rsidRPr="00C3564D">
        <w:rPr>
          <w:bCs w:val="0"/>
          <w:iCs w:val="0"/>
          <w:lang w:val="en-GB"/>
        </w:rPr>
        <w:t xml:space="preserve">roduct </w:t>
      </w:r>
      <w:r w:rsidRPr="00C3564D">
        <w:rPr>
          <w:bCs w:val="0"/>
          <w:iCs w:val="0"/>
          <w:lang w:val="en-GB"/>
        </w:rPr>
        <w:t>c</w:t>
      </w:r>
      <w:r w:rsidR="00DC0E57" w:rsidRPr="00C3564D">
        <w:rPr>
          <w:bCs w:val="0"/>
          <w:iCs w:val="0"/>
          <w:lang w:val="en-GB"/>
        </w:rPr>
        <w:t>haracteristics</w:t>
      </w:r>
      <w:r w:rsidRPr="00C3564D">
        <w:rPr>
          <w:bCs w:val="0"/>
          <w:iCs w:val="0"/>
          <w:lang w:val="en-GB"/>
        </w:rPr>
        <w:t>.</w:t>
      </w:r>
    </w:p>
    <w:p w14:paraId="7AE424F2" w14:textId="00605AAB" w:rsidR="00B82A82" w:rsidRPr="00C3564D" w:rsidRDefault="00B82A82" w:rsidP="00B82A82">
      <w:pPr>
        <w:pStyle w:val="Heading2"/>
      </w:pPr>
      <w:r w:rsidRPr="00C3564D">
        <w:t>Price</w:t>
      </w:r>
    </w:p>
    <w:p w14:paraId="400285EC" w14:textId="083D10BD" w:rsidR="00AF05D7" w:rsidRPr="00C3564D" w:rsidRDefault="00C02A76" w:rsidP="00AF05D7">
      <w:pPr>
        <w:pStyle w:val="Numberedlevel2text"/>
        <w:numPr>
          <w:ilvl w:val="1"/>
          <w:numId w:val="1"/>
        </w:numPr>
        <w:rPr>
          <w:rStyle w:val="NICEnormalChar"/>
          <w:szCs w:val="28"/>
        </w:rPr>
      </w:pPr>
      <w:r w:rsidRPr="00C3564D">
        <w:rPr>
          <w:rStyle w:val="NICEnormalChar"/>
          <w:szCs w:val="28"/>
        </w:rPr>
        <w:t xml:space="preserve">Nivolumab is available in </w:t>
      </w:r>
      <w:r w:rsidR="001950B8">
        <w:rPr>
          <w:rStyle w:val="NICEnormalChar"/>
          <w:szCs w:val="28"/>
        </w:rPr>
        <w:t>3</w:t>
      </w:r>
      <w:r w:rsidRPr="00C3564D">
        <w:rPr>
          <w:rStyle w:val="NICEnormalChar"/>
          <w:szCs w:val="28"/>
        </w:rPr>
        <w:t xml:space="preserve"> different sizes as a concentrate for solution for infusion vials. The cost varies according to vial size: £439 (</w:t>
      </w:r>
      <w:r w:rsidR="000C1831">
        <w:rPr>
          <w:rStyle w:val="NICEnormalChar"/>
          <w:szCs w:val="28"/>
        </w:rPr>
        <w:t xml:space="preserve">40 mg per </w:t>
      </w:r>
      <w:r w:rsidRPr="00C3564D">
        <w:rPr>
          <w:rStyle w:val="NICEnormalChar"/>
          <w:szCs w:val="28"/>
        </w:rPr>
        <w:t>4</w:t>
      </w:r>
      <w:r w:rsidR="000D1811">
        <w:rPr>
          <w:rStyle w:val="NICEnormalChar"/>
          <w:szCs w:val="28"/>
        </w:rPr>
        <w:t> </w:t>
      </w:r>
      <w:r w:rsidRPr="00C3564D">
        <w:rPr>
          <w:rStyle w:val="NICEnormalChar"/>
          <w:szCs w:val="28"/>
        </w:rPr>
        <w:t>ml), £1</w:t>
      </w:r>
      <w:r w:rsidR="001950B8">
        <w:rPr>
          <w:rStyle w:val="NICEnormalChar"/>
          <w:szCs w:val="28"/>
        </w:rPr>
        <w:t>,</w:t>
      </w:r>
      <w:r w:rsidRPr="00C3564D">
        <w:rPr>
          <w:rStyle w:val="NICEnormalChar"/>
          <w:szCs w:val="28"/>
        </w:rPr>
        <w:t>097 (</w:t>
      </w:r>
      <w:r w:rsidR="000C1831">
        <w:rPr>
          <w:rStyle w:val="NICEnormalChar"/>
          <w:szCs w:val="28"/>
        </w:rPr>
        <w:t xml:space="preserve">100 mg per </w:t>
      </w:r>
      <w:r w:rsidRPr="00C3564D">
        <w:rPr>
          <w:rStyle w:val="NICEnormalChar"/>
          <w:szCs w:val="28"/>
        </w:rPr>
        <w:t>10</w:t>
      </w:r>
      <w:r w:rsidR="000D1811">
        <w:rPr>
          <w:rStyle w:val="NICEnormalChar"/>
          <w:szCs w:val="28"/>
        </w:rPr>
        <w:t> </w:t>
      </w:r>
      <w:r w:rsidRPr="00C3564D">
        <w:rPr>
          <w:rStyle w:val="NICEnormalChar"/>
          <w:szCs w:val="28"/>
        </w:rPr>
        <w:t>ml) and £2</w:t>
      </w:r>
      <w:r w:rsidR="001950B8">
        <w:rPr>
          <w:rStyle w:val="NICEnormalChar"/>
          <w:szCs w:val="28"/>
        </w:rPr>
        <w:t>,</w:t>
      </w:r>
      <w:r w:rsidRPr="00C3564D">
        <w:rPr>
          <w:rStyle w:val="NICEnormalChar"/>
          <w:szCs w:val="28"/>
        </w:rPr>
        <w:t>633 (</w:t>
      </w:r>
      <w:r w:rsidR="000C1831">
        <w:rPr>
          <w:rStyle w:val="NICEnormalChar"/>
          <w:szCs w:val="28"/>
        </w:rPr>
        <w:t xml:space="preserve">240 mg per </w:t>
      </w:r>
      <w:r w:rsidRPr="00C3564D">
        <w:rPr>
          <w:rStyle w:val="NICEnormalChar"/>
          <w:szCs w:val="28"/>
        </w:rPr>
        <w:t>24</w:t>
      </w:r>
      <w:r w:rsidR="000D1811">
        <w:rPr>
          <w:rStyle w:val="NICEnormalChar"/>
          <w:szCs w:val="28"/>
        </w:rPr>
        <w:t> </w:t>
      </w:r>
      <w:r w:rsidRPr="00C3564D">
        <w:rPr>
          <w:rStyle w:val="NICEnormalChar"/>
          <w:szCs w:val="28"/>
        </w:rPr>
        <w:t xml:space="preserve">ml) </w:t>
      </w:r>
      <w:r w:rsidR="000D1811">
        <w:rPr>
          <w:rStyle w:val="NICEnormalChar"/>
          <w:szCs w:val="28"/>
        </w:rPr>
        <w:t>(</w:t>
      </w:r>
      <w:r w:rsidRPr="00C3564D">
        <w:rPr>
          <w:rStyle w:val="NICEnormalChar"/>
          <w:szCs w:val="28"/>
        </w:rPr>
        <w:t>excluding VAT; BNF online, accessed October 2020</w:t>
      </w:r>
      <w:r w:rsidR="000D1811">
        <w:rPr>
          <w:rStyle w:val="NICEnormalChar"/>
          <w:szCs w:val="28"/>
        </w:rPr>
        <w:t>)</w:t>
      </w:r>
      <w:r w:rsidRPr="00C3564D">
        <w:rPr>
          <w:rStyle w:val="NICEnormalChar"/>
          <w:szCs w:val="28"/>
        </w:rPr>
        <w:t xml:space="preserve">. The cost for </w:t>
      </w:r>
      <w:r w:rsidR="001950B8">
        <w:rPr>
          <w:rStyle w:val="NICEnormalChar"/>
          <w:szCs w:val="28"/>
        </w:rPr>
        <w:t>1</w:t>
      </w:r>
      <w:r w:rsidRPr="00C3564D">
        <w:rPr>
          <w:rStyle w:val="NICEnormalChar"/>
          <w:szCs w:val="28"/>
        </w:rPr>
        <w:t xml:space="preserve"> dose of treatment is £2</w:t>
      </w:r>
      <w:r w:rsidR="001950B8">
        <w:rPr>
          <w:rStyle w:val="NICEnormalChar"/>
          <w:szCs w:val="28"/>
        </w:rPr>
        <w:t>,</w:t>
      </w:r>
      <w:r w:rsidRPr="00C3564D">
        <w:rPr>
          <w:rStyle w:val="NICEnormalChar"/>
          <w:szCs w:val="28"/>
        </w:rPr>
        <w:t>633 (240</w:t>
      </w:r>
      <w:r w:rsidR="000D1811">
        <w:rPr>
          <w:rStyle w:val="NICEnormalChar"/>
          <w:szCs w:val="28"/>
        </w:rPr>
        <w:t> </w:t>
      </w:r>
      <w:r w:rsidRPr="00C3564D">
        <w:rPr>
          <w:rStyle w:val="NICEnormalChar"/>
          <w:szCs w:val="28"/>
        </w:rPr>
        <w:t>mg</w:t>
      </w:r>
      <w:r w:rsidR="001950B8">
        <w:rPr>
          <w:rStyle w:val="NICEnormalChar"/>
          <w:szCs w:val="28"/>
        </w:rPr>
        <w:t xml:space="preserve"> per </w:t>
      </w:r>
      <w:r w:rsidRPr="00C3564D">
        <w:rPr>
          <w:rStyle w:val="NICEnormalChar"/>
          <w:szCs w:val="28"/>
        </w:rPr>
        <w:t>24</w:t>
      </w:r>
      <w:r w:rsidR="000D1811">
        <w:rPr>
          <w:rStyle w:val="NICEnormalChar"/>
          <w:szCs w:val="28"/>
        </w:rPr>
        <w:t> </w:t>
      </w:r>
      <w:r w:rsidRPr="00C3564D">
        <w:rPr>
          <w:rStyle w:val="NICEnormalChar"/>
          <w:szCs w:val="28"/>
        </w:rPr>
        <w:t>ml).</w:t>
      </w:r>
      <w:bookmarkStart w:id="0" w:name="_Hlk24530292"/>
    </w:p>
    <w:p w14:paraId="083C90F2" w14:textId="51A14A50" w:rsidR="00B82A82" w:rsidRPr="00C3564D" w:rsidRDefault="00B82A82" w:rsidP="001950B8">
      <w:pPr>
        <w:pStyle w:val="Numberedlevel2text"/>
        <w:numPr>
          <w:ilvl w:val="0"/>
          <w:numId w:val="0"/>
        </w:numPr>
        <w:ind w:left="1134"/>
        <w:rPr>
          <w:lang w:val="en-GB"/>
        </w:rPr>
      </w:pPr>
      <w:r w:rsidRPr="00C3564D">
        <w:rPr>
          <w:lang w:val="en-GB"/>
        </w:rPr>
        <w:t xml:space="preserve">The company has a commercial arrangement. This makes </w:t>
      </w:r>
      <w:r w:rsidR="004651F6" w:rsidRPr="00C3564D">
        <w:rPr>
          <w:lang w:val="en-GB"/>
        </w:rPr>
        <w:t>nivolumab</w:t>
      </w:r>
      <w:r w:rsidRPr="00C3564D">
        <w:rPr>
          <w:lang w:val="en-GB"/>
        </w:rPr>
        <w:t xml:space="preserve"> available to the NHS with a discount and it would have also applied to this indication if the technology had been recommended. The size of the </w:t>
      </w:r>
      <w:r w:rsidRPr="00C3564D">
        <w:rPr>
          <w:lang w:val="en-GB"/>
        </w:rPr>
        <w:lastRenderedPageBreak/>
        <w:t>discount is commercial in confidence. It is the company’s responsibility to let relevant NHS organisations know details of the discount.</w:t>
      </w:r>
    </w:p>
    <w:bookmarkEnd w:id="0"/>
    <w:p w14:paraId="43DFA3DE" w14:textId="77777777" w:rsidR="00F130AD" w:rsidRPr="00C3564D" w:rsidRDefault="00222BEA" w:rsidP="00F130AD">
      <w:pPr>
        <w:pStyle w:val="Numberedheading1"/>
      </w:pPr>
      <w:r w:rsidRPr="00C3564D">
        <w:t>Committee discussion</w:t>
      </w:r>
    </w:p>
    <w:p w14:paraId="759E4A52" w14:textId="2FAD1E1D" w:rsidR="002B5772" w:rsidRPr="00C3564D" w:rsidRDefault="00BC7D9E" w:rsidP="002B5772">
      <w:pPr>
        <w:pStyle w:val="NICEnormal"/>
      </w:pPr>
      <w:r w:rsidRPr="00C3564D">
        <w:t xml:space="preserve">The </w:t>
      </w:r>
      <w:r w:rsidR="00343B53" w:rsidRPr="00C3564D">
        <w:t>a</w:t>
      </w:r>
      <w:r w:rsidRPr="00C3564D">
        <w:t xml:space="preserve">ppraisal </w:t>
      </w:r>
      <w:r w:rsidR="00343B53" w:rsidRPr="00C3564D">
        <w:t>c</w:t>
      </w:r>
      <w:r w:rsidRPr="00C3564D">
        <w:t xml:space="preserve">ommittee </w:t>
      </w:r>
      <w:r w:rsidR="00CD7BFC" w:rsidRPr="00C3564D">
        <w:t xml:space="preserve">(section </w:t>
      </w:r>
      <w:r w:rsidR="00CB5E67" w:rsidRPr="00C3564D">
        <w:t>5</w:t>
      </w:r>
      <w:r w:rsidR="00CD7BFC" w:rsidRPr="00C3564D">
        <w:t xml:space="preserve">) </w:t>
      </w:r>
      <w:r w:rsidRPr="00C3564D">
        <w:t xml:space="preserve">considered evidence submitted by </w:t>
      </w:r>
      <w:r w:rsidR="00591CB5" w:rsidRPr="00C3564D">
        <w:t>Bristol-Myers Squibb</w:t>
      </w:r>
      <w:r w:rsidR="002B5772" w:rsidRPr="00C3564D">
        <w:t>,</w:t>
      </w:r>
      <w:r w:rsidRPr="00C3564D">
        <w:t xml:space="preserve"> a review of this submission by the </w:t>
      </w:r>
      <w:r w:rsidR="00343B53" w:rsidRPr="00C3564D">
        <w:t>e</w:t>
      </w:r>
      <w:r w:rsidRPr="00C3564D">
        <w:t xml:space="preserve">vidence </w:t>
      </w:r>
      <w:r w:rsidR="00343B53" w:rsidRPr="00C3564D">
        <w:t>r</w:t>
      </w:r>
      <w:r w:rsidRPr="00C3564D">
        <w:t xml:space="preserve">eview </w:t>
      </w:r>
      <w:r w:rsidR="00343B53" w:rsidRPr="00C3564D">
        <w:t>g</w:t>
      </w:r>
      <w:r w:rsidRPr="00C3564D">
        <w:t>roup (ERG)</w:t>
      </w:r>
      <w:r w:rsidR="002B5772" w:rsidRPr="00C3564D">
        <w:t xml:space="preserve">, </w:t>
      </w:r>
      <w:r w:rsidR="00E24CDE" w:rsidRPr="00C3564D">
        <w:t>NICE’s</w:t>
      </w:r>
      <w:r w:rsidR="002B5772" w:rsidRPr="00C3564D">
        <w:t xml:space="preserve"> technical </w:t>
      </w:r>
      <w:r w:rsidR="00E9265B" w:rsidRPr="00C3564D">
        <w:t>report</w:t>
      </w:r>
      <w:r w:rsidR="000B1027" w:rsidRPr="00C3564D">
        <w:t>, and responses from</w:t>
      </w:r>
      <w:r w:rsidR="00E9265B" w:rsidRPr="00C3564D">
        <w:t xml:space="preserve"> stakeholders</w:t>
      </w:r>
      <w:r w:rsidRPr="00C3564D">
        <w:t>.</w:t>
      </w:r>
      <w:r w:rsidR="00C63D4E" w:rsidRPr="00C3564D">
        <w:t xml:space="preserve"> </w:t>
      </w:r>
      <w:r w:rsidR="002B5772" w:rsidRPr="00C3564D">
        <w:t xml:space="preserve">See the </w:t>
      </w:r>
      <w:hyperlink r:id="rId8" w:history="1">
        <w:r w:rsidR="002B5772" w:rsidRPr="00C3564D">
          <w:rPr>
            <w:rStyle w:val="Hyperlink"/>
          </w:rPr>
          <w:t>committee papers</w:t>
        </w:r>
      </w:hyperlink>
      <w:r w:rsidR="002B5772" w:rsidRPr="00C3564D">
        <w:t xml:space="preserve"> for full details of the evidence.</w:t>
      </w:r>
    </w:p>
    <w:p w14:paraId="5496215A" w14:textId="2F451A01" w:rsidR="006B0F36" w:rsidRPr="00C3564D" w:rsidRDefault="002B5772" w:rsidP="00D01B9F">
      <w:pPr>
        <w:pStyle w:val="NICEnormal"/>
      </w:pPr>
      <w:r w:rsidRPr="00C3564D">
        <w:t xml:space="preserve">The appraisal committee was aware </w:t>
      </w:r>
      <w:r w:rsidR="002555BE" w:rsidRPr="00C3564D">
        <w:t xml:space="preserve">that </w:t>
      </w:r>
      <w:r w:rsidR="003057A8" w:rsidRPr="00C3564D">
        <w:t>3</w:t>
      </w:r>
      <w:r w:rsidRPr="00C3564D">
        <w:t xml:space="preserve"> issue</w:t>
      </w:r>
      <w:r w:rsidR="00914FBA" w:rsidRPr="00C3564D">
        <w:t>s</w:t>
      </w:r>
      <w:r w:rsidRPr="00C3564D">
        <w:t xml:space="preserve"> w</w:t>
      </w:r>
      <w:r w:rsidR="00914FBA" w:rsidRPr="00C3564D">
        <w:t>ere</w:t>
      </w:r>
      <w:r w:rsidRPr="00C3564D">
        <w:t xml:space="preserve"> resolved during </w:t>
      </w:r>
      <w:r w:rsidR="006D4D1A" w:rsidRPr="00C3564D">
        <w:t xml:space="preserve">the </w:t>
      </w:r>
      <w:r w:rsidR="00E95253" w:rsidRPr="00C3564D">
        <w:t>technical engagement</w:t>
      </w:r>
      <w:r w:rsidR="006D4D1A" w:rsidRPr="00C3564D">
        <w:t xml:space="preserve"> stage</w:t>
      </w:r>
      <w:r w:rsidR="007D1008" w:rsidRPr="00C3564D">
        <w:t>, and agreed that:</w:t>
      </w:r>
    </w:p>
    <w:p w14:paraId="567EA844" w14:textId="56DB0823" w:rsidR="00A03F00" w:rsidRPr="00C3564D" w:rsidRDefault="00337CF3" w:rsidP="00A03F00">
      <w:pPr>
        <w:pStyle w:val="Bulletleft1"/>
      </w:pPr>
      <w:r w:rsidRPr="00C3564D">
        <w:t>The model time horizon (issue</w:t>
      </w:r>
      <w:r w:rsidR="00DA73F1">
        <w:t> </w:t>
      </w:r>
      <w:r w:rsidRPr="00C3564D">
        <w:t>7, see technical report page</w:t>
      </w:r>
      <w:r w:rsidR="00DA73F1">
        <w:t> </w:t>
      </w:r>
      <w:r w:rsidRPr="00C3564D">
        <w:t>8)</w:t>
      </w:r>
      <w:r w:rsidR="00A03F00" w:rsidRPr="00C3564D">
        <w:t xml:space="preserve"> used by the company in the economic model of 40</w:t>
      </w:r>
      <w:r w:rsidR="00DA73F1">
        <w:t> </w:t>
      </w:r>
      <w:r w:rsidR="00A03F00" w:rsidRPr="00C3564D">
        <w:t xml:space="preserve">years was sufficient to capture </w:t>
      </w:r>
      <w:r w:rsidR="003057A8" w:rsidRPr="00C3564D">
        <w:t>data for everyone having</w:t>
      </w:r>
      <w:r w:rsidR="00A03F00" w:rsidRPr="00C3564D">
        <w:t xml:space="preserve"> nivolumab or </w:t>
      </w:r>
      <w:proofErr w:type="spellStart"/>
      <w:r w:rsidR="00A03F00" w:rsidRPr="00C3564D">
        <w:t>taxanes</w:t>
      </w:r>
      <w:proofErr w:type="spellEnd"/>
      <w:r w:rsidR="00A03F00" w:rsidRPr="00C3564D">
        <w:t>.</w:t>
      </w:r>
    </w:p>
    <w:p w14:paraId="0416154B" w14:textId="6A1C32F0" w:rsidR="00914FBA" w:rsidRPr="00C3564D" w:rsidRDefault="00914FBA" w:rsidP="00A03F00">
      <w:pPr>
        <w:pStyle w:val="Bulletleft1"/>
      </w:pPr>
      <w:r w:rsidRPr="00C3564D">
        <w:t xml:space="preserve">Nivolumab is likely to improve overall survival by at least </w:t>
      </w:r>
      <w:r w:rsidR="003057A8" w:rsidRPr="00C3564D">
        <w:t>3</w:t>
      </w:r>
      <w:r w:rsidR="00DA73F1">
        <w:t> </w:t>
      </w:r>
      <w:r w:rsidRPr="00C3564D">
        <w:t>months (issue</w:t>
      </w:r>
      <w:r w:rsidR="00DA73F1">
        <w:t> </w:t>
      </w:r>
      <w:r w:rsidR="00843529" w:rsidRPr="00C3564D">
        <w:t>13, see technical report page</w:t>
      </w:r>
      <w:r w:rsidR="00DA73F1">
        <w:t> </w:t>
      </w:r>
      <w:r w:rsidR="00843529" w:rsidRPr="00C3564D">
        <w:t>14), meeting the second criteria for end</w:t>
      </w:r>
      <w:r w:rsidR="00495C0C">
        <w:t>-</w:t>
      </w:r>
      <w:r w:rsidR="00843529" w:rsidRPr="00C3564D">
        <w:t>of</w:t>
      </w:r>
      <w:r w:rsidR="00495C0C">
        <w:t>-</w:t>
      </w:r>
      <w:r w:rsidR="00843529" w:rsidRPr="00C3564D">
        <w:t>life treatment.</w:t>
      </w:r>
    </w:p>
    <w:p w14:paraId="01F0C583" w14:textId="0273333D" w:rsidR="00914FBA" w:rsidRPr="00C3564D" w:rsidRDefault="00914FBA" w:rsidP="00843529">
      <w:pPr>
        <w:pStyle w:val="Bulletleft1"/>
      </w:pPr>
      <w:r w:rsidRPr="00C3564D">
        <w:t xml:space="preserve">The approach used to calculate the cost of monitoring response to treatment </w:t>
      </w:r>
      <w:r w:rsidR="00843529" w:rsidRPr="00C3564D">
        <w:t>(issue</w:t>
      </w:r>
      <w:r w:rsidR="00DA73F1">
        <w:t> </w:t>
      </w:r>
      <w:r w:rsidR="00843529" w:rsidRPr="00C3564D">
        <w:t>12, see technical report page</w:t>
      </w:r>
      <w:r w:rsidR="00DA73F1">
        <w:t> </w:t>
      </w:r>
      <w:r w:rsidR="00843529" w:rsidRPr="00C3564D">
        <w:t xml:space="preserve">13) </w:t>
      </w:r>
      <w:r w:rsidRPr="00C3564D">
        <w:t>was appropriate</w:t>
      </w:r>
      <w:r w:rsidR="00843529" w:rsidRPr="00C3564D">
        <w:t>.</w:t>
      </w:r>
    </w:p>
    <w:p w14:paraId="14C24940" w14:textId="24B91B63" w:rsidR="005E4695" w:rsidRPr="00C3564D" w:rsidRDefault="005E4695" w:rsidP="00163344">
      <w:pPr>
        <w:pStyle w:val="Heading2"/>
      </w:pPr>
      <w:r w:rsidRPr="00C3564D">
        <w:t>Clinical need</w:t>
      </w:r>
    </w:p>
    <w:p w14:paraId="6C5C5AD6" w14:textId="293561D4" w:rsidR="005E4695" w:rsidRPr="00C3564D" w:rsidRDefault="005E4695" w:rsidP="00163344">
      <w:pPr>
        <w:pStyle w:val="Heading3"/>
      </w:pPr>
      <w:r w:rsidRPr="00C3564D">
        <w:t>People would welcome a new treatment option</w:t>
      </w:r>
    </w:p>
    <w:p w14:paraId="585654CF" w14:textId="7E0A01C7" w:rsidR="00EF159F" w:rsidRPr="008F6C76" w:rsidRDefault="00FF2484" w:rsidP="00AD4C60">
      <w:pPr>
        <w:pStyle w:val="Numberedlevel2text"/>
        <w:rPr>
          <w:lang w:val="en-GB"/>
        </w:rPr>
      </w:pPr>
      <w:r>
        <w:rPr>
          <w:lang w:val="en-GB"/>
        </w:rPr>
        <w:t>The c</w:t>
      </w:r>
      <w:r w:rsidR="00DD5F95" w:rsidRPr="00C3564D">
        <w:rPr>
          <w:lang w:val="en-GB"/>
        </w:rPr>
        <w:t xml:space="preserve">linical experts explained that </w:t>
      </w:r>
      <w:r w:rsidR="003057A8" w:rsidRPr="00C3564D">
        <w:rPr>
          <w:lang w:val="en-GB"/>
        </w:rPr>
        <w:t>people</w:t>
      </w:r>
      <w:r w:rsidR="009A2E19" w:rsidRPr="00C3564D">
        <w:rPr>
          <w:lang w:val="en-GB"/>
        </w:rPr>
        <w:t xml:space="preserve"> with </w:t>
      </w:r>
      <w:r w:rsidR="00DD5F95" w:rsidRPr="00C3564D">
        <w:rPr>
          <w:lang w:val="en-GB"/>
        </w:rPr>
        <w:t xml:space="preserve">unresectable advanced, </w:t>
      </w:r>
      <w:proofErr w:type="gramStart"/>
      <w:r w:rsidR="00DD5F95" w:rsidRPr="00C3564D">
        <w:rPr>
          <w:lang w:val="en-GB"/>
        </w:rPr>
        <w:t>recurrent</w:t>
      </w:r>
      <w:proofErr w:type="gramEnd"/>
      <w:r w:rsidR="00DD5F95" w:rsidRPr="00C3564D">
        <w:rPr>
          <w:lang w:val="en-GB"/>
        </w:rPr>
        <w:t xml:space="preserve"> or</w:t>
      </w:r>
      <w:r w:rsidR="00BC7E97" w:rsidRPr="00C3564D">
        <w:rPr>
          <w:lang w:val="en-GB"/>
        </w:rPr>
        <w:t xml:space="preserve"> metastatic</w:t>
      </w:r>
      <w:r w:rsidR="00DD5F95" w:rsidRPr="00C3564D">
        <w:rPr>
          <w:lang w:val="en-GB"/>
        </w:rPr>
        <w:t xml:space="preserve"> oesophageal squamous cell carcinoma </w:t>
      </w:r>
      <w:r w:rsidR="00686E23" w:rsidRPr="00C3564D">
        <w:rPr>
          <w:lang w:val="en-GB"/>
        </w:rPr>
        <w:t>who</w:t>
      </w:r>
      <w:r w:rsidR="00CA6532" w:rsidRPr="00C3564D">
        <w:rPr>
          <w:lang w:val="en-GB"/>
        </w:rPr>
        <w:t>se disease</w:t>
      </w:r>
      <w:r w:rsidR="00686E23" w:rsidRPr="00C3564D">
        <w:rPr>
          <w:lang w:val="en-GB"/>
        </w:rPr>
        <w:t xml:space="preserve"> </w:t>
      </w:r>
      <w:r w:rsidR="00DD5F95" w:rsidRPr="00C3564D">
        <w:rPr>
          <w:lang w:val="en-GB"/>
        </w:rPr>
        <w:t>ha</w:t>
      </w:r>
      <w:r w:rsidR="00CA6532" w:rsidRPr="00C3564D">
        <w:rPr>
          <w:lang w:val="en-GB"/>
        </w:rPr>
        <w:t>s</w:t>
      </w:r>
      <w:r w:rsidR="00DD5F95" w:rsidRPr="00C3564D">
        <w:rPr>
          <w:lang w:val="en-GB"/>
        </w:rPr>
        <w:t xml:space="preserve"> progressed after fluoropyrimidine and platinum-based combination therapy have a poor prognosis</w:t>
      </w:r>
      <w:r w:rsidR="009A2E19" w:rsidRPr="00C3564D">
        <w:rPr>
          <w:lang w:val="en-GB"/>
        </w:rPr>
        <w:t xml:space="preserve"> and </w:t>
      </w:r>
      <w:r w:rsidR="00843529" w:rsidRPr="00C3564D">
        <w:rPr>
          <w:lang w:val="en-GB"/>
        </w:rPr>
        <w:t>no curative treatment</w:t>
      </w:r>
      <w:r w:rsidR="00AE19D2" w:rsidRPr="00C3564D">
        <w:rPr>
          <w:lang w:val="en-GB"/>
        </w:rPr>
        <w:t xml:space="preserve"> option</w:t>
      </w:r>
      <w:r w:rsidR="00843529" w:rsidRPr="00C3564D">
        <w:rPr>
          <w:lang w:val="en-GB"/>
        </w:rPr>
        <w:t>s</w:t>
      </w:r>
      <w:r w:rsidR="00DD5F95" w:rsidRPr="00C3564D">
        <w:rPr>
          <w:lang w:val="en-GB"/>
        </w:rPr>
        <w:t xml:space="preserve">. </w:t>
      </w:r>
      <w:r w:rsidR="00EF159F" w:rsidRPr="00C3564D">
        <w:rPr>
          <w:lang w:val="en-GB"/>
        </w:rPr>
        <w:t xml:space="preserve">It </w:t>
      </w:r>
      <w:r w:rsidR="00606081" w:rsidRPr="00C3564D">
        <w:rPr>
          <w:lang w:val="en-GB"/>
        </w:rPr>
        <w:t xml:space="preserve">disproportionately affects people from lower socioeconomic </w:t>
      </w:r>
      <w:r w:rsidR="00855DFF" w:rsidRPr="00C3564D">
        <w:rPr>
          <w:lang w:val="en-GB"/>
        </w:rPr>
        <w:t>backgrounds</w:t>
      </w:r>
      <w:r w:rsidR="00BC7E97" w:rsidRPr="00C3564D">
        <w:rPr>
          <w:lang w:val="en-GB"/>
        </w:rPr>
        <w:t xml:space="preserve"> and</w:t>
      </w:r>
      <w:r w:rsidR="00855DFF" w:rsidRPr="00C3564D">
        <w:rPr>
          <w:lang w:val="en-GB"/>
        </w:rPr>
        <w:t xml:space="preserve"> </w:t>
      </w:r>
      <w:r w:rsidR="00606081" w:rsidRPr="00C3564D">
        <w:rPr>
          <w:lang w:val="en-GB"/>
        </w:rPr>
        <w:t>smoking and alcohol consumption</w:t>
      </w:r>
      <w:r w:rsidR="00686E23" w:rsidRPr="00C3564D">
        <w:rPr>
          <w:lang w:val="en-GB"/>
        </w:rPr>
        <w:t xml:space="preserve"> are risk factors</w:t>
      </w:r>
      <w:r w:rsidR="00606081" w:rsidRPr="00C3564D">
        <w:rPr>
          <w:lang w:val="en-GB"/>
        </w:rPr>
        <w:t>.</w:t>
      </w:r>
      <w:r w:rsidR="00C3564D">
        <w:rPr>
          <w:lang w:val="en-GB"/>
        </w:rPr>
        <w:t xml:space="preserve"> </w:t>
      </w:r>
      <w:r w:rsidR="00EF159F" w:rsidRPr="00AD4C60">
        <w:rPr>
          <w:lang w:val="en-GB"/>
        </w:rPr>
        <w:t>T</w:t>
      </w:r>
      <w:r w:rsidR="00C3564D">
        <w:rPr>
          <w:lang w:val="en-GB"/>
        </w:rPr>
        <w:t xml:space="preserve">he </w:t>
      </w:r>
      <w:proofErr w:type="spellStart"/>
      <w:r w:rsidR="00C3564D">
        <w:rPr>
          <w:lang w:val="en-GB"/>
        </w:rPr>
        <w:t>t</w:t>
      </w:r>
      <w:r w:rsidR="00EF159F" w:rsidRPr="00AD4C60">
        <w:rPr>
          <w:lang w:val="en-GB"/>
        </w:rPr>
        <w:t>axanes</w:t>
      </w:r>
      <w:proofErr w:type="spellEnd"/>
      <w:r w:rsidR="00EF159F" w:rsidRPr="00AD4C60">
        <w:rPr>
          <w:lang w:val="en-GB"/>
        </w:rPr>
        <w:t xml:space="preserve"> paclitaxel and docetaxel are standard treatment for most p</w:t>
      </w:r>
      <w:r w:rsidR="00BC7E97" w:rsidRPr="00AD4C60">
        <w:rPr>
          <w:lang w:val="en-GB"/>
        </w:rPr>
        <w:t>eo</w:t>
      </w:r>
      <w:r w:rsidR="00BC7E97" w:rsidRPr="00452802">
        <w:rPr>
          <w:lang w:val="en-GB"/>
        </w:rPr>
        <w:t>ple</w:t>
      </w:r>
      <w:r w:rsidR="00062987" w:rsidRPr="00C3564D">
        <w:rPr>
          <w:bCs w:val="0"/>
          <w:iCs w:val="0"/>
        </w:rPr>
        <w:t xml:space="preserve"> and </w:t>
      </w:r>
      <w:r w:rsidR="00EF159F" w:rsidRPr="00C3564D">
        <w:rPr>
          <w:bCs w:val="0"/>
          <w:iCs w:val="0"/>
        </w:rPr>
        <w:t>weekly or 3-weekly hospital visits</w:t>
      </w:r>
      <w:r w:rsidR="008F0E4D" w:rsidRPr="00C3564D">
        <w:rPr>
          <w:bCs w:val="0"/>
          <w:iCs w:val="0"/>
        </w:rPr>
        <w:t xml:space="preserve"> are </w:t>
      </w:r>
      <w:r w:rsidR="00BC7E97" w:rsidRPr="00C3564D">
        <w:rPr>
          <w:bCs w:val="0"/>
          <w:iCs w:val="0"/>
        </w:rPr>
        <w:t xml:space="preserve">needed </w:t>
      </w:r>
      <w:r w:rsidR="00EF159F" w:rsidRPr="00C3564D">
        <w:rPr>
          <w:bCs w:val="0"/>
          <w:iCs w:val="0"/>
        </w:rPr>
        <w:t xml:space="preserve">for infusions. </w:t>
      </w:r>
      <w:r w:rsidR="00EF159F" w:rsidRPr="00AD4C60">
        <w:rPr>
          <w:lang w:val="en-GB"/>
        </w:rPr>
        <w:t>P</w:t>
      </w:r>
      <w:r w:rsidR="00C3564D">
        <w:rPr>
          <w:lang w:val="en-GB"/>
        </w:rPr>
        <w:t>eople</w:t>
      </w:r>
      <w:r w:rsidR="00EF159F" w:rsidRPr="00C3564D">
        <w:rPr>
          <w:bCs w:val="0"/>
          <w:iCs w:val="0"/>
        </w:rPr>
        <w:t xml:space="preserve"> often feel unwell </w:t>
      </w:r>
      <w:r w:rsidR="00AE19D2" w:rsidRPr="00C3564D">
        <w:rPr>
          <w:bCs w:val="0"/>
          <w:iCs w:val="0"/>
        </w:rPr>
        <w:t>and may experience</w:t>
      </w:r>
      <w:r w:rsidR="00EF159F" w:rsidRPr="00C3564D">
        <w:rPr>
          <w:bCs w:val="0"/>
          <w:iCs w:val="0"/>
        </w:rPr>
        <w:t xml:space="preserve"> debilitating fatigue and loss of appetite</w:t>
      </w:r>
      <w:r w:rsidR="0075259E">
        <w:rPr>
          <w:lang w:val="en-GB"/>
        </w:rPr>
        <w:t>.</w:t>
      </w:r>
      <w:r w:rsidR="00AE19D2" w:rsidRPr="00C3564D">
        <w:rPr>
          <w:bCs w:val="0"/>
          <w:iCs w:val="0"/>
        </w:rPr>
        <w:t xml:space="preserve"> </w:t>
      </w:r>
      <w:r w:rsidR="0075259E">
        <w:rPr>
          <w:lang w:val="en-GB"/>
        </w:rPr>
        <w:t>M</w:t>
      </w:r>
      <w:r w:rsidR="00AE19D2" w:rsidRPr="00C3564D">
        <w:rPr>
          <w:bCs w:val="0"/>
          <w:iCs w:val="0"/>
        </w:rPr>
        <w:t>any p</w:t>
      </w:r>
      <w:r w:rsidR="0075259E">
        <w:rPr>
          <w:lang w:val="en-GB"/>
        </w:rPr>
        <w:t>eople</w:t>
      </w:r>
      <w:r w:rsidR="00AE19D2" w:rsidRPr="00C3564D">
        <w:rPr>
          <w:bCs w:val="0"/>
          <w:iCs w:val="0"/>
        </w:rPr>
        <w:t xml:space="preserve"> find the weekly or 3-weekly treatment regimens </w:t>
      </w:r>
      <w:r w:rsidR="00AE19D2" w:rsidRPr="00C3564D">
        <w:rPr>
          <w:bCs w:val="0"/>
          <w:iCs w:val="0"/>
        </w:rPr>
        <w:lastRenderedPageBreak/>
        <w:t xml:space="preserve">difficult to tolerate </w:t>
      </w:r>
      <w:r w:rsidR="0075259E">
        <w:rPr>
          <w:lang w:val="en-GB"/>
        </w:rPr>
        <w:t>because of</w:t>
      </w:r>
      <w:r w:rsidR="00AE19D2" w:rsidRPr="00AD4C60">
        <w:rPr>
          <w:lang w:val="en-GB"/>
        </w:rPr>
        <w:t xml:space="preserve"> the associated adverse events</w:t>
      </w:r>
      <w:r w:rsidR="00855DFF" w:rsidRPr="00AD4C60">
        <w:rPr>
          <w:lang w:val="en-GB"/>
        </w:rPr>
        <w:t>.</w:t>
      </w:r>
      <w:r w:rsidR="00AE19D2" w:rsidRPr="00AD4C60">
        <w:rPr>
          <w:lang w:val="en-GB"/>
        </w:rPr>
        <w:t xml:space="preserve"> F</w:t>
      </w:r>
      <w:r w:rsidR="00EF159F" w:rsidRPr="00AD4C60">
        <w:rPr>
          <w:lang w:val="en-GB"/>
        </w:rPr>
        <w:t xml:space="preserve">requent blood tests are </w:t>
      </w:r>
      <w:r w:rsidR="00451033">
        <w:rPr>
          <w:lang w:val="en-GB"/>
        </w:rPr>
        <w:t>needed</w:t>
      </w:r>
      <w:r w:rsidR="00451033" w:rsidRPr="00AD4C60">
        <w:rPr>
          <w:lang w:val="en-GB"/>
        </w:rPr>
        <w:t xml:space="preserve"> </w:t>
      </w:r>
      <w:r w:rsidR="00EF159F" w:rsidRPr="00AD4C60">
        <w:rPr>
          <w:lang w:val="en-GB"/>
        </w:rPr>
        <w:t xml:space="preserve">to monitor neutropenia. The NHS England clinical lead noted that </w:t>
      </w:r>
      <w:proofErr w:type="spellStart"/>
      <w:r w:rsidR="00EF159F" w:rsidRPr="00AD4C60">
        <w:rPr>
          <w:lang w:val="en-GB"/>
        </w:rPr>
        <w:t>taxanes</w:t>
      </w:r>
      <w:proofErr w:type="spellEnd"/>
      <w:r w:rsidR="00EF159F" w:rsidRPr="00AD4C60">
        <w:rPr>
          <w:lang w:val="en-GB"/>
        </w:rPr>
        <w:t xml:space="preserve"> have limited efficacy and p</w:t>
      </w:r>
      <w:r w:rsidR="00641BD9">
        <w:rPr>
          <w:lang w:val="en-GB"/>
        </w:rPr>
        <w:t>eople</w:t>
      </w:r>
      <w:r w:rsidR="00EF159F" w:rsidRPr="00C3564D">
        <w:rPr>
          <w:bCs w:val="0"/>
          <w:iCs w:val="0"/>
        </w:rPr>
        <w:t xml:space="preserve"> are often not well enough to have </w:t>
      </w:r>
      <w:r w:rsidR="003A3EAD">
        <w:rPr>
          <w:lang w:val="en-GB"/>
        </w:rPr>
        <w:t>third-</w:t>
      </w:r>
      <w:r w:rsidR="00EF159F" w:rsidRPr="00C3564D">
        <w:rPr>
          <w:bCs w:val="0"/>
          <w:iCs w:val="0"/>
        </w:rPr>
        <w:t>line treatment</w:t>
      </w:r>
      <w:r w:rsidR="00AE19D2" w:rsidRPr="00C3564D">
        <w:rPr>
          <w:bCs w:val="0"/>
          <w:iCs w:val="0"/>
        </w:rPr>
        <w:t xml:space="preserve"> </w:t>
      </w:r>
      <w:r w:rsidR="00062987" w:rsidRPr="00C3564D">
        <w:rPr>
          <w:bCs w:val="0"/>
          <w:iCs w:val="0"/>
        </w:rPr>
        <w:t xml:space="preserve">if </w:t>
      </w:r>
      <w:proofErr w:type="spellStart"/>
      <w:r w:rsidR="00062987" w:rsidRPr="00C3564D">
        <w:rPr>
          <w:bCs w:val="0"/>
          <w:iCs w:val="0"/>
        </w:rPr>
        <w:t>taxanes</w:t>
      </w:r>
      <w:proofErr w:type="spellEnd"/>
      <w:r w:rsidR="00062987" w:rsidRPr="00C3564D">
        <w:rPr>
          <w:bCs w:val="0"/>
          <w:iCs w:val="0"/>
        </w:rPr>
        <w:t xml:space="preserve"> do not control the disease</w:t>
      </w:r>
      <w:r w:rsidR="00EF159F" w:rsidRPr="00C3564D">
        <w:rPr>
          <w:bCs w:val="0"/>
          <w:iCs w:val="0"/>
        </w:rPr>
        <w:t>.</w:t>
      </w:r>
      <w:r w:rsidR="008F6C76">
        <w:rPr>
          <w:lang w:val="en-GB"/>
        </w:rPr>
        <w:t xml:space="preserve"> </w:t>
      </w:r>
      <w:r w:rsidR="00EF159F" w:rsidRPr="008F6C76">
        <w:rPr>
          <w:lang w:val="en-GB"/>
        </w:rPr>
        <w:t>P</w:t>
      </w:r>
      <w:r w:rsidR="008F6C76">
        <w:rPr>
          <w:lang w:val="en-GB"/>
        </w:rPr>
        <w:t>eople</w:t>
      </w:r>
      <w:r w:rsidR="00EF159F" w:rsidRPr="008F6C76">
        <w:rPr>
          <w:lang w:val="en-GB"/>
        </w:rPr>
        <w:t xml:space="preserve"> who are unable to tolerate </w:t>
      </w:r>
      <w:proofErr w:type="spellStart"/>
      <w:r w:rsidR="00397434" w:rsidRPr="008F6C76">
        <w:rPr>
          <w:lang w:val="en-GB"/>
        </w:rPr>
        <w:t>taxane</w:t>
      </w:r>
      <w:proofErr w:type="spellEnd"/>
      <w:r w:rsidR="00397434" w:rsidRPr="008F6C76">
        <w:rPr>
          <w:lang w:val="en-GB"/>
        </w:rPr>
        <w:t xml:space="preserve"> </w:t>
      </w:r>
      <w:r w:rsidR="00EF159F" w:rsidRPr="008F6C76">
        <w:rPr>
          <w:lang w:val="en-GB"/>
        </w:rPr>
        <w:t xml:space="preserve">chemotherapy </w:t>
      </w:r>
      <w:r w:rsidR="008F6C76">
        <w:rPr>
          <w:lang w:val="en-GB"/>
        </w:rPr>
        <w:t>have</w:t>
      </w:r>
      <w:r w:rsidR="008F6C76" w:rsidRPr="00AD4C60">
        <w:rPr>
          <w:lang w:val="en-GB"/>
        </w:rPr>
        <w:t xml:space="preserve"> </w:t>
      </w:r>
      <w:r w:rsidR="00EF159F" w:rsidRPr="00AD4C60">
        <w:rPr>
          <w:lang w:val="en-GB"/>
        </w:rPr>
        <w:t>best supportive care</w:t>
      </w:r>
      <w:r w:rsidR="00397434" w:rsidRPr="00AD4C60">
        <w:rPr>
          <w:lang w:val="en-GB"/>
        </w:rPr>
        <w:t>,</w:t>
      </w:r>
      <w:r w:rsidR="00EF159F" w:rsidRPr="00452802">
        <w:rPr>
          <w:lang w:val="en-GB"/>
        </w:rPr>
        <w:t xml:space="preserve"> </w:t>
      </w:r>
      <w:r w:rsidR="002A3DE0" w:rsidRPr="0006629A">
        <w:rPr>
          <w:lang w:val="en-GB"/>
        </w:rPr>
        <w:t xml:space="preserve">which has no </w:t>
      </w:r>
      <w:r w:rsidR="008F6C76">
        <w:rPr>
          <w:lang w:val="en-GB"/>
        </w:rPr>
        <w:t>effect</w:t>
      </w:r>
      <w:r w:rsidR="002A3DE0" w:rsidRPr="008F6C76">
        <w:rPr>
          <w:lang w:val="en-GB"/>
        </w:rPr>
        <w:t xml:space="preserve"> on </w:t>
      </w:r>
      <w:r w:rsidR="00985261">
        <w:rPr>
          <w:lang w:val="en-GB"/>
        </w:rPr>
        <w:t xml:space="preserve">disease </w:t>
      </w:r>
      <w:r w:rsidR="00EF159F" w:rsidRPr="008F6C76">
        <w:rPr>
          <w:lang w:val="en-GB"/>
        </w:rPr>
        <w:t>progression. Older p</w:t>
      </w:r>
      <w:r w:rsidR="007F437A">
        <w:rPr>
          <w:lang w:val="en-GB"/>
        </w:rPr>
        <w:t>eople</w:t>
      </w:r>
      <w:r w:rsidR="00EF159F" w:rsidRPr="008F6C76">
        <w:rPr>
          <w:lang w:val="en-GB"/>
        </w:rPr>
        <w:t xml:space="preserve"> are less likely to tolerate chemotherapy</w:t>
      </w:r>
      <w:r w:rsidR="00712ECB" w:rsidRPr="008F6C76">
        <w:rPr>
          <w:lang w:val="en-GB"/>
        </w:rPr>
        <w:t>,</w:t>
      </w:r>
      <w:r w:rsidR="00EF159F" w:rsidRPr="008F6C76">
        <w:rPr>
          <w:lang w:val="en-GB"/>
        </w:rPr>
        <w:t xml:space="preserve"> and </w:t>
      </w:r>
      <w:r w:rsidR="009A43F6">
        <w:rPr>
          <w:lang w:val="en-GB"/>
        </w:rPr>
        <w:t>about</w:t>
      </w:r>
      <w:r w:rsidR="009A43F6" w:rsidRPr="00AD4C60">
        <w:rPr>
          <w:lang w:val="en-GB"/>
        </w:rPr>
        <w:t xml:space="preserve"> </w:t>
      </w:r>
      <w:r w:rsidR="00EF159F" w:rsidRPr="00AD4C60">
        <w:rPr>
          <w:lang w:val="en-GB"/>
        </w:rPr>
        <w:t xml:space="preserve">40% </w:t>
      </w:r>
      <w:r w:rsidR="00712ECB" w:rsidRPr="00AD4C60">
        <w:rPr>
          <w:lang w:val="en-GB"/>
        </w:rPr>
        <w:t>of people diagnosed with</w:t>
      </w:r>
      <w:r w:rsidR="00D67CB7" w:rsidRPr="008F6C76">
        <w:rPr>
          <w:lang w:val="en-GB"/>
        </w:rPr>
        <w:t xml:space="preserve"> squamous oesophageal cancer</w:t>
      </w:r>
      <w:r w:rsidR="00712ECB" w:rsidRPr="008F6C76">
        <w:rPr>
          <w:lang w:val="en-GB"/>
        </w:rPr>
        <w:t xml:space="preserve"> are over</w:t>
      </w:r>
      <w:r w:rsidR="009A43F6">
        <w:rPr>
          <w:lang w:val="en-GB"/>
        </w:rPr>
        <w:t> </w:t>
      </w:r>
      <w:r w:rsidR="00712ECB" w:rsidRPr="008F6C76">
        <w:rPr>
          <w:lang w:val="en-GB"/>
        </w:rPr>
        <w:t>75</w:t>
      </w:r>
      <w:r w:rsidR="00EF159F" w:rsidRPr="008F6C76">
        <w:rPr>
          <w:lang w:val="en-GB"/>
        </w:rPr>
        <w:t>. The committee recognised the unmet need for a treatment with low</w:t>
      </w:r>
      <w:r w:rsidR="00712ECB" w:rsidRPr="008F6C76">
        <w:rPr>
          <w:lang w:val="en-GB"/>
        </w:rPr>
        <w:t>er</w:t>
      </w:r>
      <w:r w:rsidR="00EF159F" w:rsidRPr="008F6C76">
        <w:rPr>
          <w:lang w:val="en-GB"/>
        </w:rPr>
        <w:t xml:space="preserve"> toxicity </w:t>
      </w:r>
      <w:r w:rsidR="00712ECB" w:rsidRPr="008F6C76">
        <w:rPr>
          <w:lang w:val="en-GB"/>
        </w:rPr>
        <w:t>than</w:t>
      </w:r>
      <w:r w:rsidR="00EF159F" w:rsidRPr="008F6C76">
        <w:rPr>
          <w:lang w:val="en-GB"/>
        </w:rPr>
        <w:t xml:space="preserve"> chemotherapy</w:t>
      </w:r>
      <w:r w:rsidR="00417EBA" w:rsidRPr="008F6C76">
        <w:rPr>
          <w:lang w:val="en-GB"/>
        </w:rPr>
        <w:t>,</w:t>
      </w:r>
      <w:r w:rsidR="0024253B" w:rsidRPr="008F6C76">
        <w:rPr>
          <w:lang w:val="en-GB"/>
        </w:rPr>
        <w:t xml:space="preserve"> which </w:t>
      </w:r>
      <w:r w:rsidR="00EF159F" w:rsidRPr="008F6C76">
        <w:rPr>
          <w:lang w:val="en-GB"/>
        </w:rPr>
        <w:t>provides long-term benefit and improves quality of life. The clinical expert explained that if p</w:t>
      </w:r>
      <w:r w:rsidR="001404FB">
        <w:rPr>
          <w:lang w:val="en-GB"/>
        </w:rPr>
        <w:t>eople</w:t>
      </w:r>
      <w:r w:rsidR="00EF159F" w:rsidRPr="008F6C76">
        <w:rPr>
          <w:lang w:val="en-GB"/>
        </w:rPr>
        <w:t xml:space="preserve"> are not </w:t>
      </w:r>
      <w:r w:rsidR="001950B8">
        <w:rPr>
          <w:lang w:val="en-GB"/>
        </w:rPr>
        <w:t>well</w:t>
      </w:r>
      <w:r w:rsidR="00EF159F" w:rsidRPr="008F6C76">
        <w:rPr>
          <w:lang w:val="en-GB"/>
        </w:rPr>
        <w:t xml:space="preserve"> enough</w:t>
      </w:r>
      <w:r w:rsidR="001950B8">
        <w:rPr>
          <w:lang w:val="en-GB"/>
        </w:rPr>
        <w:t xml:space="preserve"> </w:t>
      </w:r>
      <w:r w:rsidR="00EF159F" w:rsidRPr="00AD4C60">
        <w:rPr>
          <w:lang w:val="en-GB"/>
        </w:rPr>
        <w:t xml:space="preserve">to tolerate </w:t>
      </w:r>
      <w:proofErr w:type="spellStart"/>
      <w:r w:rsidR="00EF159F" w:rsidRPr="00AD4C60">
        <w:rPr>
          <w:lang w:val="en-GB"/>
        </w:rPr>
        <w:t>taxane</w:t>
      </w:r>
      <w:proofErr w:type="spellEnd"/>
      <w:r w:rsidR="00EF159F" w:rsidRPr="00AD4C60">
        <w:rPr>
          <w:lang w:val="en-GB"/>
        </w:rPr>
        <w:t xml:space="preserve"> therapy they </w:t>
      </w:r>
      <w:r w:rsidR="00712ECB" w:rsidRPr="00AD4C60">
        <w:rPr>
          <w:lang w:val="en-GB"/>
        </w:rPr>
        <w:t>are unlikely</w:t>
      </w:r>
      <w:r w:rsidR="00EF159F" w:rsidRPr="00452802">
        <w:rPr>
          <w:lang w:val="en-GB"/>
        </w:rPr>
        <w:t xml:space="preserve"> be </w:t>
      </w:r>
      <w:r w:rsidR="001950B8">
        <w:rPr>
          <w:lang w:val="en-GB"/>
        </w:rPr>
        <w:t>well</w:t>
      </w:r>
      <w:r w:rsidR="00EF159F" w:rsidRPr="00452802">
        <w:rPr>
          <w:lang w:val="en-GB"/>
        </w:rPr>
        <w:t xml:space="preserve"> enough to tolerate nivolumab</w:t>
      </w:r>
      <w:r w:rsidR="00CB5E58">
        <w:rPr>
          <w:lang w:val="en-GB"/>
        </w:rPr>
        <w:t>.</w:t>
      </w:r>
      <w:r w:rsidR="00712ECB" w:rsidRPr="008F6C76">
        <w:rPr>
          <w:lang w:val="en-GB"/>
        </w:rPr>
        <w:t xml:space="preserve"> </w:t>
      </w:r>
      <w:r w:rsidR="00985261">
        <w:rPr>
          <w:lang w:val="en-GB"/>
        </w:rPr>
        <w:t xml:space="preserve">Although </w:t>
      </w:r>
      <w:r w:rsidR="0024253B" w:rsidRPr="00452802">
        <w:rPr>
          <w:lang w:val="en-GB"/>
        </w:rPr>
        <w:t>immunotherapy</w:t>
      </w:r>
      <w:r w:rsidR="00CB5E58">
        <w:rPr>
          <w:lang w:val="en-GB"/>
        </w:rPr>
        <w:t xml:space="preserve"> is</w:t>
      </w:r>
      <w:r w:rsidR="0024253B" w:rsidRPr="00AD4C60">
        <w:rPr>
          <w:lang w:val="en-GB"/>
        </w:rPr>
        <w:t xml:space="preserve"> </w:t>
      </w:r>
      <w:r w:rsidR="008106DB" w:rsidRPr="00AD4C60">
        <w:rPr>
          <w:lang w:val="en-GB"/>
        </w:rPr>
        <w:t>generally better tolerated, it still car</w:t>
      </w:r>
      <w:r w:rsidR="008106DB" w:rsidRPr="00452802">
        <w:rPr>
          <w:lang w:val="en-GB"/>
        </w:rPr>
        <w:t>ries risks, notably</w:t>
      </w:r>
      <w:r w:rsidR="00712ECB" w:rsidRPr="0006629A">
        <w:rPr>
          <w:lang w:val="en-GB"/>
        </w:rPr>
        <w:t xml:space="preserve"> immune</w:t>
      </w:r>
      <w:r w:rsidR="00CB5E58">
        <w:rPr>
          <w:lang w:val="en-GB"/>
        </w:rPr>
        <w:t>-</w:t>
      </w:r>
      <w:r w:rsidR="00417EBA" w:rsidRPr="008F6C76">
        <w:rPr>
          <w:lang w:val="en-GB"/>
        </w:rPr>
        <w:t>rel</w:t>
      </w:r>
      <w:r w:rsidR="00712ECB" w:rsidRPr="008F6C76">
        <w:rPr>
          <w:lang w:val="en-GB"/>
        </w:rPr>
        <w:t xml:space="preserve">ated </w:t>
      </w:r>
      <w:r w:rsidR="008106DB" w:rsidRPr="008F6C76">
        <w:rPr>
          <w:lang w:val="en-GB"/>
        </w:rPr>
        <w:t>side effects</w:t>
      </w:r>
      <w:r w:rsidR="00EF159F" w:rsidRPr="008F6C76">
        <w:rPr>
          <w:lang w:val="en-GB"/>
        </w:rPr>
        <w:t xml:space="preserve">. The committee concluded that patients and clinicians would welcome an effective treatment </w:t>
      </w:r>
      <w:r w:rsidR="00CB5E58">
        <w:rPr>
          <w:lang w:val="en-GB"/>
        </w:rPr>
        <w:t xml:space="preserve">that is better tolerated, </w:t>
      </w:r>
      <w:r w:rsidR="00EF159F" w:rsidRPr="00AD4C60">
        <w:rPr>
          <w:lang w:val="en-GB"/>
        </w:rPr>
        <w:t>particularly if it offer</w:t>
      </w:r>
      <w:r w:rsidR="00DE29D4">
        <w:rPr>
          <w:lang w:val="en-GB"/>
        </w:rPr>
        <w:t>s</w:t>
      </w:r>
      <w:r w:rsidR="00EF159F" w:rsidRPr="00AD4C60">
        <w:rPr>
          <w:lang w:val="en-GB"/>
        </w:rPr>
        <w:t xml:space="preserve"> an option of </w:t>
      </w:r>
      <w:r w:rsidR="00B16ECA" w:rsidRPr="00AD4C60">
        <w:rPr>
          <w:lang w:val="en-GB"/>
        </w:rPr>
        <w:t xml:space="preserve">further </w:t>
      </w:r>
      <w:r w:rsidR="00CB5E58">
        <w:rPr>
          <w:lang w:val="en-GB"/>
        </w:rPr>
        <w:t>third-</w:t>
      </w:r>
      <w:r w:rsidR="00EF159F" w:rsidRPr="008F6C76">
        <w:rPr>
          <w:lang w:val="en-GB"/>
        </w:rPr>
        <w:t>line treatment</w:t>
      </w:r>
      <w:r w:rsidR="00B16ECA" w:rsidRPr="008F6C76">
        <w:rPr>
          <w:lang w:val="en-GB"/>
        </w:rPr>
        <w:t xml:space="preserve"> </w:t>
      </w:r>
      <w:r w:rsidR="00CB5E58">
        <w:rPr>
          <w:lang w:val="en-GB"/>
        </w:rPr>
        <w:t>after disease</w:t>
      </w:r>
      <w:r w:rsidR="00B16ECA" w:rsidRPr="008F6C76">
        <w:rPr>
          <w:lang w:val="en-GB"/>
        </w:rPr>
        <w:t xml:space="preserve"> progression</w:t>
      </w:r>
      <w:r w:rsidR="00EF159F" w:rsidRPr="008F6C76">
        <w:rPr>
          <w:lang w:val="en-GB"/>
        </w:rPr>
        <w:t>.</w:t>
      </w:r>
    </w:p>
    <w:p w14:paraId="7051B866" w14:textId="34324F91" w:rsidR="00DD5F95" w:rsidRPr="00C3564D" w:rsidRDefault="00DD5F95" w:rsidP="00491D5A">
      <w:pPr>
        <w:pStyle w:val="Heading2"/>
      </w:pPr>
      <w:r w:rsidRPr="00C3564D">
        <w:t>Trial design</w:t>
      </w:r>
    </w:p>
    <w:p w14:paraId="09232F2B" w14:textId="22CFD402" w:rsidR="006F7442" w:rsidRPr="00C3564D" w:rsidRDefault="0034744C" w:rsidP="00163344">
      <w:pPr>
        <w:pStyle w:val="Heading3"/>
      </w:pPr>
      <w:r>
        <w:t xml:space="preserve">The </w:t>
      </w:r>
      <w:r w:rsidR="00B37266" w:rsidRPr="00C3564D">
        <w:t>ATTRACTION</w:t>
      </w:r>
      <w:r w:rsidR="00B37266">
        <w:noBreakHyphen/>
      </w:r>
      <w:r w:rsidR="00B37266" w:rsidRPr="00C3564D">
        <w:t>3</w:t>
      </w:r>
      <w:r>
        <w:t xml:space="preserve"> study</w:t>
      </w:r>
      <w:r w:rsidR="00B37266">
        <w:t xml:space="preserve"> is </w:t>
      </w:r>
      <w:r>
        <w:t>appropriate for estimating clinical effectiveness</w:t>
      </w:r>
    </w:p>
    <w:p w14:paraId="752ED3E7" w14:textId="30CC8B40" w:rsidR="006F7442" w:rsidRPr="00C3564D" w:rsidRDefault="000D62BF" w:rsidP="000D62BF">
      <w:pPr>
        <w:pStyle w:val="Numberedlevel2text"/>
        <w:rPr>
          <w:lang w:val="en-GB"/>
        </w:rPr>
      </w:pPr>
      <w:r w:rsidRPr="00C3564D">
        <w:rPr>
          <w:lang w:val="en-GB"/>
        </w:rPr>
        <w:t>The company’s clinical evidence came from ATTRACTION-3</w:t>
      </w:r>
      <w:r w:rsidR="0025430E">
        <w:rPr>
          <w:lang w:val="en-GB"/>
        </w:rPr>
        <w:t>. This</w:t>
      </w:r>
      <w:r w:rsidRPr="00C3564D">
        <w:rPr>
          <w:lang w:val="en-GB"/>
        </w:rPr>
        <w:t xml:space="preserve"> included</w:t>
      </w:r>
      <w:r w:rsidR="006F7442" w:rsidRPr="00C3564D">
        <w:rPr>
          <w:lang w:val="en-GB"/>
        </w:rPr>
        <w:t xml:space="preserve"> p</w:t>
      </w:r>
      <w:r w:rsidR="00DF29E9">
        <w:rPr>
          <w:lang w:val="en-GB"/>
        </w:rPr>
        <w:t>eople</w:t>
      </w:r>
      <w:r w:rsidR="006F7442" w:rsidRPr="00C3564D">
        <w:rPr>
          <w:lang w:val="en-GB"/>
        </w:rPr>
        <w:t xml:space="preserve"> with unresectable oesophageal </w:t>
      </w:r>
      <w:r w:rsidRPr="00C3564D">
        <w:rPr>
          <w:lang w:val="en-GB"/>
        </w:rPr>
        <w:t xml:space="preserve">squamous cell </w:t>
      </w:r>
      <w:r w:rsidR="006F7442" w:rsidRPr="00C3564D">
        <w:rPr>
          <w:lang w:val="en-GB"/>
        </w:rPr>
        <w:t>ca</w:t>
      </w:r>
      <w:r w:rsidR="002B1C38">
        <w:rPr>
          <w:lang w:val="en-GB"/>
        </w:rPr>
        <w:t>rcinoma</w:t>
      </w:r>
      <w:r w:rsidR="006F7442" w:rsidRPr="00C3564D">
        <w:rPr>
          <w:lang w:val="en-GB"/>
        </w:rPr>
        <w:t xml:space="preserve"> who</w:t>
      </w:r>
      <w:r w:rsidR="0023156C">
        <w:rPr>
          <w:lang w:val="en-GB"/>
        </w:rPr>
        <w:t>se disease was</w:t>
      </w:r>
      <w:r w:rsidR="006F7442" w:rsidRPr="00C3564D">
        <w:rPr>
          <w:lang w:val="en-GB"/>
        </w:rPr>
        <w:t xml:space="preserve"> </w:t>
      </w:r>
      <w:r w:rsidR="00985261" w:rsidRPr="00C3564D">
        <w:rPr>
          <w:lang w:val="en-GB"/>
        </w:rPr>
        <w:t>refractory</w:t>
      </w:r>
      <w:r w:rsidR="00985261">
        <w:rPr>
          <w:lang w:val="en-GB"/>
        </w:rPr>
        <w:t xml:space="preserve"> or</w:t>
      </w:r>
      <w:r w:rsidR="006F7442" w:rsidRPr="00C3564D">
        <w:rPr>
          <w:lang w:val="en-GB"/>
        </w:rPr>
        <w:t xml:space="preserve"> </w:t>
      </w:r>
      <w:r w:rsidR="00985261">
        <w:rPr>
          <w:lang w:val="en-GB"/>
        </w:rPr>
        <w:t xml:space="preserve">were </w:t>
      </w:r>
      <w:r w:rsidR="006F7442" w:rsidRPr="00C3564D">
        <w:rPr>
          <w:lang w:val="en-GB"/>
        </w:rPr>
        <w:t>intolerant to combination therapy with fluoropyrimidine and platinum-base</w:t>
      </w:r>
      <w:r w:rsidR="00DF29E9">
        <w:rPr>
          <w:lang w:val="en-GB"/>
        </w:rPr>
        <w:t>d</w:t>
      </w:r>
      <w:r w:rsidR="006F7442" w:rsidRPr="00C3564D">
        <w:rPr>
          <w:lang w:val="en-GB"/>
        </w:rPr>
        <w:t xml:space="preserve"> drugs</w:t>
      </w:r>
      <w:r w:rsidR="0080019A">
        <w:rPr>
          <w:lang w:val="en-GB"/>
        </w:rPr>
        <w:t>,</w:t>
      </w:r>
      <w:r w:rsidR="006F7442" w:rsidRPr="00C3564D">
        <w:rPr>
          <w:lang w:val="en-GB"/>
        </w:rPr>
        <w:t xml:space="preserve"> </w:t>
      </w:r>
      <w:r w:rsidRPr="00C3564D">
        <w:rPr>
          <w:lang w:val="en-GB"/>
        </w:rPr>
        <w:t xml:space="preserve">and </w:t>
      </w:r>
      <w:r w:rsidR="0080019A">
        <w:rPr>
          <w:lang w:val="en-GB"/>
        </w:rPr>
        <w:t xml:space="preserve">who </w:t>
      </w:r>
      <w:r w:rsidRPr="00C3564D">
        <w:rPr>
          <w:lang w:val="en-GB"/>
        </w:rPr>
        <w:t>had a life expectancy of at least 3</w:t>
      </w:r>
      <w:r w:rsidR="00EE2D4F">
        <w:rPr>
          <w:lang w:val="en-GB"/>
        </w:rPr>
        <w:t> </w:t>
      </w:r>
      <w:r w:rsidRPr="00C3564D">
        <w:rPr>
          <w:lang w:val="en-GB"/>
        </w:rPr>
        <w:t>months</w:t>
      </w:r>
      <w:r w:rsidR="006F7442" w:rsidRPr="00C3564D">
        <w:rPr>
          <w:lang w:val="en-GB"/>
        </w:rPr>
        <w:t>. P</w:t>
      </w:r>
      <w:r w:rsidR="0080019A">
        <w:rPr>
          <w:lang w:val="en-GB"/>
        </w:rPr>
        <w:t>eople</w:t>
      </w:r>
      <w:r w:rsidR="006F7442" w:rsidRPr="00C3564D">
        <w:rPr>
          <w:lang w:val="en-GB"/>
        </w:rPr>
        <w:t xml:space="preserve"> were </w:t>
      </w:r>
      <w:r w:rsidRPr="00C3564D">
        <w:rPr>
          <w:lang w:val="en-GB"/>
        </w:rPr>
        <w:t>monitored every 6</w:t>
      </w:r>
      <w:r w:rsidR="002B1C38">
        <w:rPr>
          <w:lang w:val="en-GB"/>
        </w:rPr>
        <w:t> </w:t>
      </w:r>
      <w:r w:rsidRPr="00C3564D">
        <w:rPr>
          <w:lang w:val="en-GB"/>
        </w:rPr>
        <w:t>weeks and assessed using RECIST</w:t>
      </w:r>
      <w:r w:rsidR="002B1C38">
        <w:rPr>
          <w:lang w:val="en-GB"/>
        </w:rPr>
        <w:t> </w:t>
      </w:r>
      <w:r w:rsidRPr="00C3564D">
        <w:rPr>
          <w:lang w:val="en-GB"/>
        </w:rPr>
        <w:t xml:space="preserve">1.1 criteria. </w:t>
      </w:r>
      <w:r w:rsidR="0080019A">
        <w:rPr>
          <w:lang w:val="en-GB"/>
        </w:rPr>
        <w:t>They</w:t>
      </w:r>
      <w:r w:rsidR="0080019A" w:rsidRPr="00C3564D">
        <w:rPr>
          <w:lang w:val="en-GB"/>
        </w:rPr>
        <w:t xml:space="preserve"> </w:t>
      </w:r>
      <w:r w:rsidR="004F14B3">
        <w:rPr>
          <w:lang w:val="en-GB"/>
        </w:rPr>
        <w:t>could</w:t>
      </w:r>
      <w:r w:rsidRPr="00C3564D">
        <w:rPr>
          <w:lang w:val="en-GB"/>
        </w:rPr>
        <w:t xml:space="preserve"> continue treatment </w:t>
      </w:r>
      <w:r w:rsidR="005E3814">
        <w:rPr>
          <w:lang w:val="en-GB"/>
        </w:rPr>
        <w:t>after first</w:t>
      </w:r>
      <w:r w:rsidRPr="00C3564D">
        <w:rPr>
          <w:lang w:val="en-GB"/>
        </w:rPr>
        <w:t xml:space="preserve"> disease progression </w:t>
      </w:r>
      <w:r w:rsidR="009E0B5C" w:rsidRPr="00C3564D">
        <w:rPr>
          <w:lang w:val="en-GB"/>
        </w:rPr>
        <w:t>in both treatment groups</w:t>
      </w:r>
      <w:r w:rsidR="0080019A">
        <w:rPr>
          <w:lang w:val="en-GB"/>
        </w:rPr>
        <w:t>,</w:t>
      </w:r>
      <w:r w:rsidR="009E0B5C" w:rsidRPr="00C3564D">
        <w:rPr>
          <w:lang w:val="en-GB"/>
        </w:rPr>
        <w:t xml:space="preserve"> </w:t>
      </w:r>
      <w:r w:rsidRPr="00C3564D">
        <w:rPr>
          <w:lang w:val="en-GB"/>
        </w:rPr>
        <w:t>based on the investigators’ judgement. The clinical expert explained</w:t>
      </w:r>
      <w:r w:rsidR="00ED2C5C" w:rsidRPr="00C3564D">
        <w:rPr>
          <w:lang w:val="en-GB"/>
        </w:rPr>
        <w:t xml:space="preserve"> that</w:t>
      </w:r>
      <w:r w:rsidRPr="00C3564D">
        <w:rPr>
          <w:lang w:val="en-GB"/>
        </w:rPr>
        <w:t xml:space="preserve"> immunotherapies are associated with pseudo-progression</w:t>
      </w:r>
      <w:r w:rsidR="009E0B5C" w:rsidRPr="00C3564D">
        <w:rPr>
          <w:lang w:val="en-GB"/>
        </w:rPr>
        <w:t xml:space="preserve">, </w:t>
      </w:r>
      <w:r w:rsidR="0080019A">
        <w:rPr>
          <w:lang w:val="en-GB"/>
        </w:rPr>
        <w:t xml:space="preserve">which is </w:t>
      </w:r>
      <w:r w:rsidR="008F0E4D" w:rsidRPr="00C3564D">
        <w:rPr>
          <w:lang w:val="en-GB"/>
        </w:rPr>
        <w:t xml:space="preserve">a distinct </w:t>
      </w:r>
      <w:r w:rsidR="00ED2C5C" w:rsidRPr="00C3564D">
        <w:rPr>
          <w:lang w:val="en-GB"/>
        </w:rPr>
        <w:t xml:space="preserve">radiological </w:t>
      </w:r>
      <w:r w:rsidR="008F0E4D" w:rsidRPr="00C3564D">
        <w:rPr>
          <w:lang w:val="en-GB"/>
        </w:rPr>
        <w:t>pattern</w:t>
      </w:r>
      <w:r w:rsidR="0080019A">
        <w:rPr>
          <w:lang w:val="en-GB"/>
        </w:rPr>
        <w:t xml:space="preserve"> of</w:t>
      </w:r>
      <w:r w:rsidR="008F0E4D" w:rsidRPr="00C3564D">
        <w:rPr>
          <w:lang w:val="en-GB"/>
        </w:rPr>
        <w:t xml:space="preserve"> apparent progression from baseline </w:t>
      </w:r>
      <w:r w:rsidR="00ED2C5C" w:rsidRPr="00C3564D">
        <w:rPr>
          <w:lang w:val="en-GB"/>
        </w:rPr>
        <w:t>that</w:t>
      </w:r>
      <w:r w:rsidR="008F0E4D" w:rsidRPr="00C3564D">
        <w:rPr>
          <w:lang w:val="en-GB"/>
        </w:rPr>
        <w:t xml:space="preserve"> is not </w:t>
      </w:r>
      <w:r w:rsidR="00ED2C5C" w:rsidRPr="00C3564D">
        <w:rPr>
          <w:lang w:val="en-GB"/>
        </w:rPr>
        <w:t xml:space="preserve">confirmed </w:t>
      </w:r>
      <w:r w:rsidR="0080019A">
        <w:rPr>
          <w:lang w:val="en-GB"/>
        </w:rPr>
        <w:t>with</w:t>
      </w:r>
      <w:r w:rsidR="00ED2C5C" w:rsidRPr="00C3564D">
        <w:rPr>
          <w:lang w:val="en-GB"/>
        </w:rPr>
        <w:t xml:space="preserve"> subsequent assessment</w:t>
      </w:r>
      <w:r w:rsidRPr="00C3564D">
        <w:rPr>
          <w:lang w:val="en-GB"/>
        </w:rPr>
        <w:t xml:space="preserve">. For this reason, if there is </w:t>
      </w:r>
      <w:r w:rsidRPr="00C3564D">
        <w:rPr>
          <w:lang w:val="en-GB"/>
        </w:rPr>
        <w:lastRenderedPageBreak/>
        <w:t>evidence of progression but the p</w:t>
      </w:r>
      <w:r w:rsidR="0080019A">
        <w:rPr>
          <w:lang w:val="en-GB"/>
        </w:rPr>
        <w:t>erson</w:t>
      </w:r>
      <w:r w:rsidRPr="00C3564D">
        <w:rPr>
          <w:lang w:val="en-GB"/>
        </w:rPr>
        <w:t xml:space="preserve"> feels well, they usually continue </w:t>
      </w:r>
      <w:r w:rsidR="0080019A">
        <w:rPr>
          <w:lang w:val="en-GB"/>
        </w:rPr>
        <w:t>having</w:t>
      </w:r>
      <w:r w:rsidRPr="00C3564D">
        <w:rPr>
          <w:lang w:val="en-GB"/>
        </w:rPr>
        <w:t xml:space="preserve"> nivolumab for another cycle and </w:t>
      </w:r>
      <w:r w:rsidR="00D14060">
        <w:rPr>
          <w:lang w:val="en-GB"/>
        </w:rPr>
        <w:t xml:space="preserve">then </w:t>
      </w:r>
      <w:r w:rsidRPr="00C3564D">
        <w:rPr>
          <w:lang w:val="en-GB"/>
        </w:rPr>
        <w:t>radiological progression</w:t>
      </w:r>
      <w:r w:rsidR="0080019A">
        <w:rPr>
          <w:lang w:val="en-GB"/>
        </w:rPr>
        <w:t xml:space="preserve"> is assessed</w:t>
      </w:r>
      <w:r w:rsidRPr="00C3564D">
        <w:rPr>
          <w:lang w:val="en-GB"/>
        </w:rPr>
        <w:t xml:space="preserve"> at the next monitoring appointment. The committee concluded that ATTRACTION-3 </w:t>
      </w:r>
      <w:r w:rsidR="005D7397">
        <w:rPr>
          <w:lang w:val="en-GB"/>
        </w:rPr>
        <w:t xml:space="preserve">was an appropriate source of clinical data and could be used for </w:t>
      </w:r>
      <w:r w:rsidR="00B37266">
        <w:rPr>
          <w:lang w:val="en-GB"/>
        </w:rPr>
        <w:t>estimating clinical effectiveness</w:t>
      </w:r>
      <w:r w:rsidR="005D7397">
        <w:rPr>
          <w:lang w:val="en-GB"/>
        </w:rPr>
        <w:t>.</w:t>
      </w:r>
    </w:p>
    <w:p w14:paraId="244C7682" w14:textId="5CA395BA" w:rsidR="00606081" w:rsidRPr="00C3564D" w:rsidRDefault="00606081" w:rsidP="00163344">
      <w:pPr>
        <w:pStyle w:val="Heading2"/>
      </w:pPr>
      <w:r w:rsidRPr="00C3564D">
        <w:t>Clinical evidence</w:t>
      </w:r>
    </w:p>
    <w:p w14:paraId="1B21DD38" w14:textId="3E11CF2F" w:rsidR="00606081" w:rsidRPr="00C3564D" w:rsidRDefault="00B16ECA" w:rsidP="00163344">
      <w:pPr>
        <w:pStyle w:val="Heading3"/>
      </w:pPr>
      <w:r w:rsidRPr="00C3564D">
        <w:t>Th</w:t>
      </w:r>
      <w:r w:rsidR="003E5694" w:rsidRPr="00C3564D">
        <w:t>e results from</w:t>
      </w:r>
      <w:r w:rsidR="002E4BF2" w:rsidRPr="00C3564D">
        <w:t xml:space="preserve"> ATTRACTION-3 are </w:t>
      </w:r>
      <w:r w:rsidR="003E5694" w:rsidRPr="00C3564D">
        <w:t xml:space="preserve">generalisable </w:t>
      </w:r>
      <w:r w:rsidR="002E4BF2" w:rsidRPr="00C3564D">
        <w:t xml:space="preserve">to people </w:t>
      </w:r>
      <w:r w:rsidR="00606081" w:rsidRPr="00C3564D">
        <w:t xml:space="preserve">in </w:t>
      </w:r>
      <w:r w:rsidR="00643BB4" w:rsidRPr="00C3564D">
        <w:t xml:space="preserve">the </w:t>
      </w:r>
      <w:r w:rsidR="00606081" w:rsidRPr="00C3564D">
        <w:t>NHS</w:t>
      </w:r>
    </w:p>
    <w:p w14:paraId="752DA661" w14:textId="7DF194DE" w:rsidR="00606081" w:rsidRPr="00C3564D" w:rsidRDefault="00C20B90" w:rsidP="002E4BF2">
      <w:pPr>
        <w:pStyle w:val="Numberedlevel2text"/>
        <w:rPr>
          <w:lang w:val="en-GB"/>
        </w:rPr>
      </w:pPr>
      <w:r>
        <w:rPr>
          <w:lang w:val="en-GB"/>
        </w:rPr>
        <w:t>ATTRACTION-3</w:t>
      </w:r>
      <w:r w:rsidR="00643BB4" w:rsidRPr="00C3564D">
        <w:rPr>
          <w:lang w:val="en-GB"/>
        </w:rPr>
        <w:t xml:space="preserve"> was </w:t>
      </w:r>
      <w:r w:rsidR="00D73B68">
        <w:rPr>
          <w:lang w:val="en-GB"/>
        </w:rPr>
        <w:t>done</w:t>
      </w:r>
      <w:r w:rsidR="00643BB4" w:rsidRPr="00C3564D">
        <w:rPr>
          <w:lang w:val="en-GB"/>
        </w:rPr>
        <w:t xml:space="preserve"> in </w:t>
      </w:r>
      <w:r w:rsidR="003E5694" w:rsidRPr="00C3564D">
        <w:rPr>
          <w:lang w:val="en-GB"/>
        </w:rPr>
        <w:t xml:space="preserve">the </w:t>
      </w:r>
      <w:r w:rsidR="00643BB4" w:rsidRPr="00C3564D">
        <w:rPr>
          <w:lang w:val="en-GB"/>
        </w:rPr>
        <w:t xml:space="preserve">US, </w:t>
      </w:r>
      <w:proofErr w:type="gramStart"/>
      <w:r w:rsidR="00643BB4" w:rsidRPr="00C3564D">
        <w:rPr>
          <w:lang w:val="en-GB"/>
        </w:rPr>
        <w:t>Europe</w:t>
      </w:r>
      <w:proofErr w:type="gramEnd"/>
      <w:r w:rsidR="00643BB4" w:rsidRPr="00C3564D">
        <w:rPr>
          <w:lang w:val="en-GB"/>
        </w:rPr>
        <w:t xml:space="preserve"> and Asia</w:t>
      </w:r>
      <w:r w:rsidR="00F561B4">
        <w:rPr>
          <w:lang w:val="en-GB"/>
        </w:rPr>
        <w:t>. Of the people included in the study,</w:t>
      </w:r>
      <w:r w:rsidR="00643BB4" w:rsidRPr="00C3564D">
        <w:rPr>
          <w:lang w:val="en-GB"/>
        </w:rPr>
        <w:t xml:space="preserve"> 96% </w:t>
      </w:r>
      <w:r w:rsidR="00F561B4">
        <w:rPr>
          <w:lang w:val="en-GB"/>
        </w:rPr>
        <w:t xml:space="preserve">were of </w:t>
      </w:r>
      <w:r w:rsidR="00643BB4" w:rsidRPr="00C3564D">
        <w:rPr>
          <w:lang w:val="en-GB"/>
        </w:rPr>
        <w:t>Asian</w:t>
      </w:r>
      <w:r w:rsidR="00F561B4">
        <w:rPr>
          <w:lang w:val="en-GB"/>
        </w:rPr>
        <w:t xml:space="preserve"> family origin, and two-thirds of these </w:t>
      </w:r>
      <w:r w:rsidR="00890620">
        <w:rPr>
          <w:lang w:val="en-GB"/>
        </w:rPr>
        <w:t xml:space="preserve">people </w:t>
      </w:r>
      <w:r w:rsidR="00F561B4">
        <w:rPr>
          <w:lang w:val="en-GB"/>
        </w:rPr>
        <w:t>were of</w:t>
      </w:r>
      <w:r w:rsidR="00643BB4" w:rsidRPr="00C3564D">
        <w:rPr>
          <w:lang w:val="en-GB"/>
        </w:rPr>
        <w:t xml:space="preserve"> Japanese</w:t>
      </w:r>
      <w:r w:rsidR="00F561B4">
        <w:rPr>
          <w:lang w:val="en-GB"/>
        </w:rPr>
        <w:t xml:space="preserve"> family origin</w:t>
      </w:r>
      <w:r w:rsidR="00643BB4" w:rsidRPr="00C3564D">
        <w:rPr>
          <w:lang w:val="en-GB"/>
        </w:rPr>
        <w:t xml:space="preserve">. </w:t>
      </w:r>
      <w:r w:rsidR="00606081" w:rsidRPr="00C3564D">
        <w:rPr>
          <w:lang w:val="en-GB"/>
        </w:rPr>
        <w:t>Oesophageal squamous cell cancer is more prevalent in Asia than in Western countries</w:t>
      </w:r>
      <w:r w:rsidR="002E4BF2" w:rsidRPr="00C3564D">
        <w:rPr>
          <w:lang w:val="en-GB"/>
        </w:rPr>
        <w:t>.</w:t>
      </w:r>
      <w:r w:rsidR="00606081" w:rsidRPr="00C3564D">
        <w:rPr>
          <w:lang w:val="en-GB"/>
        </w:rPr>
        <w:t xml:space="preserve"> The clinical expert commented that </w:t>
      </w:r>
      <w:r w:rsidR="002E4BF2" w:rsidRPr="00C3564D">
        <w:rPr>
          <w:lang w:val="en-GB"/>
        </w:rPr>
        <w:t xml:space="preserve">although the trials were mainly </w:t>
      </w:r>
      <w:r w:rsidR="00F561B4">
        <w:rPr>
          <w:lang w:val="en-GB"/>
        </w:rPr>
        <w:t>done</w:t>
      </w:r>
      <w:r w:rsidR="00F561B4" w:rsidRPr="00C3564D">
        <w:rPr>
          <w:lang w:val="en-GB"/>
        </w:rPr>
        <w:t xml:space="preserve"> </w:t>
      </w:r>
      <w:r w:rsidR="002E4BF2" w:rsidRPr="00C3564D">
        <w:rPr>
          <w:lang w:val="en-GB"/>
        </w:rPr>
        <w:t>in Asia</w:t>
      </w:r>
      <w:r w:rsidR="005C4BFA">
        <w:rPr>
          <w:lang w:val="en-GB"/>
        </w:rPr>
        <w:t>,</w:t>
      </w:r>
      <w:r w:rsidR="002E4BF2" w:rsidRPr="00C3564D">
        <w:rPr>
          <w:lang w:val="en-GB"/>
        </w:rPr>
        <w:t xml:space="preserve"> there is no difference in </w:t>
      </w:r>
      <w:r w:rsidR="00606081" w:rsidRPr="00C3564D">
        <w:rPr>
          <w:lang w:val="en-GB"/>
        </w:rPr>
        <w:t xml:space="preserve">the underlying biology of oesophageal squamous cell cancer </w:t>
      </w:r>
      <w:r w:rsidR="002E4BF2" w:rsidRPr="00C3564D">
        <w:rPr>
          <w:lang w:val="en-GB"/>
        </w:rPr>
        <w:t>compared with p</w:t>
      </w:r>
      <w:r w:rsidR="00F561B4">
        <w:rPr>
          <w:lang w:val="en-GB"/>
        </w:rPr>
        <w:t>eople</w:t>
      </w:r>
      <w:r w:rsidR="002E4BF2" w:rsidRPr="00C3564D">
        <w:rPr>
          <w:lang w:val="en-GB"/>
        </w:rPr>
        <w:t xml:space="preserve"> in the UK</w:t>
      </w:r>
      <w:r w:rsidR="00F561B4">
        <w:rPr>
          <w:lang w:val="en-GB"/>
        </w:rPr>
        <w:t>. Also,</w:t>
      </w:r>
      <w:r w:rsidR="002E4BF2" w:rsidRPr="00C3564D">
        <w:rPr>
          <w:lang w:val="en-GB"/>
        </w:rPr>
        <w:t xml:space="preserve"> treatment is similar because of</w:t>
      </w:r>
      <w:r w:rsidR="00606081" w:rsidRPr="00C3564D">
        <w:rPr>
          <w:lang w:val="en-GB"/>
        </w:rPr>
        <w:t xml:space="preserve"> consensus in </w:t>
      </w:r>
      <w:r w:rsidR="00ED2C5C" w:rsidRPr="00C3564D">
        <w:rPr>
          <w:lang w:val="en-GB"/>
        </w:rPr>
        <w:t>the management of</w:t>
      </w:r>
      <w:r w:rsidR="00606081" w:rsidRPr="00C3564D">
        <w:rPr>
          <w:lang w:val="en-GB"/>
        </w:rPr>
        <w:t xml:space="preserve"> advanced oesophageal cancer. </w:t>
      </w:r>
      <w:r w:rsidR="002E4BF2" w:rsidRPr="00C3564D">
        <w:rPr>
          <w:lang w:val="en-GB"/>
        </w:rPr>
        <w:t xml:space="preserve">The company accepted that the population in the clinical trial was generally younger and </w:t>
      </w:r>
      <w:r w:rsidR="001950B8">
        <w:rPr>
          <w:lang w:val="en-GB"/>
        </w:rPr>
        <w:t>fitter (</w:t>
      </w:r>
      <w:r w:rsidR="002E4BF2" w:rsidRPr="00C3564D">
        <w:rPr>
          <w:lang w:val="en-GB"/>
        </w:rPr>
        <w:t xml:space="preserve">with an </w:t>
      </w:r>
      <w:r w:rsidR="004F373D">
        <w:rPr>
          <w:lang w:val="en-GB"/>
        </w:rPr>
        <w:t>Eastern Cooperative Oncology Group</w:t>
      </w:r>
      <w:r w:rsidR="002E4BF2" w:rsidRPr="00C3564D">
        <w:rPr>
          <w:lang w:val="en-GB"/>
        </w:rPr>
        <w:t xml:space="preserve"> performance status of 0</w:t>
      </w:r>
      <w:r w:rsidR="00113830">
        <w:rPr>
          <w:lang w:val="en-GB"/>
        </w:rPr>
        <w:t xml:space="preserve"> to </w:t>
      </w:r>
      <w:r w:rsidR="002E4BF2" w:rsidRPr="00C3564D">
        <w:rPr>
          <w:lang w:val="en-GB"/>
        </w:rPr>
        <w:t xml:space="preserve">1) than the population seen in NHS practice. </w:t>
      </w:r>
      <w:r w:rsidR="008E75BD" w:rsidRPr="00C3564D">
        <w:rPr>
          <w:lang w:val="en-GB"/>
        </w:rPr>
        <w:t xml:space="preserve">The committee </w:t>
      </w:r>
      <w:r w:rsidR="00B51260" w:rsidRPr="00C3564D">
        <w:rPr>
          <w:lang w:val="en-GB"/>
        </w:rPr>
        <w:t xml:space="preserve">agreed with the clinical expert and </w:t>
      </w:r>
      <w:r w:rsidR="008E75BD" w:rsidRPr="00C3564D">
        <w:rPr>
          <w:lang w:val="en-GB"/>
        </w:rPr>
        <w:t>concluded that the clinical trial was broadly generalisable to people with advanced oesophageal squamous cell cancer in the UK.</w:t>
      </w:r>
    </w:p>
    <w:p w14:paraId="041B60B2" w14:textId="6F694A5D" w:rsidR="00771906" w:rsidRPr="00C3564D" w:rsidRDefault="00771906" w:rsidP="00163344">
      <w:pPr>
        <w:pStyle w:val="Heading3"/>
      </w:pPr>
      <w:r w:rsidRPr="00C3564D">
        <w:t xml:space="preserve">Nivolumab improves overall survival but </w:t>
      </w:r>
      <w:r w:rsidR="008F5652">
        <w:t>disease</w:t>
      </w:r>
      <w:r w:rsidR="008F5652" w:rsidRPr="00C3564D">
        <w:t xml:space="preserve"> </w:t>
      </w:r>
      <w:r w:rsidRPr="00C3564D">
        <w:t>progress</w:t>
      </w:r>
      <w:r w:rsidR="00473B83">
        <w:t>es</w:t>
      </w:r>
      <w:r w:rsidRPr="00C3564D">
        <w:t xml:space="preserve"> faster in the first 3</w:t>
      </w:r>
      <w:r w:rsidR="00945650">
        <w:t> </w:t>
      </w:r>
      <w:r w:rsidRPr="00C3564D">
        <w:t>months of treatment</w:t>
      </w:r>
    </w:p>
    <w:p w14:paraId="278F1B6F" w14:textId="7317B90B" w:rsidR="00950883" w:rsidRPr="00C3564D" w:rsidRDefault="00771906" w:rsidP="00883861">
      <w:pPr>
        <w:pStyle w:val="Numberedlevel2text"/>
        <w:rPr>
          <w:lang w:val="en-GB"/>
        </w:rPr>
      </w:pPr>
      <w:r w:rsidRPr="00C3564D">
        <w:rPr>
          <w:lang w:val="en-GB"/>
        </w:rPr>
        <w:t xml:space="preserve">Nivolumab is associated with </w:t>
      </w:r>
      <w:r w:rsidR="00B51260" w:rsidRPr="00C3564D">
        <w:rPr>
          <w:lang w:val="en-GB"/>
        </w:rPr>
        <w:t>a</w:t>
      </w:r>
      <w:r w:rsidR="00C60B5B">
        <w:rPr>
          <w:lang w:val="en-GB"/>
        </w:rPr>
        <w:t xml:space="preserve"> difference in median overall survival of</w:t>
      </w:r>
      <w:r w:rsidR="00B51260" w:rsidRPr="00C3564D">
        <w:rPr>
          <w:lang w:val="en-GB"/>
        </w:rPr>
        <w:t xml:space="preserve"> 2.58</w:t>
      </w:r>
      <w:r w:rsidR="00F87D98">
        <w:rPr>
          <w:lang w:val="en-GB"/>
        </w:rPr>
        <w:t> </w:t>
      </w:r>
      <w:r w:rsidR="00B51260" w:rsidRPr="00C3564D">
        <w:rPr>
          <w:lang w:val="en-GB"/>
        </w:rPr>
        <w:t xml:space="preserve">months compared with the combined </w:t>
      </w:r>
      <w:proofErr w:type="spellStart"/>
      <w:r w:rsidR="00B51260" w:rsidRPr="00C3564D">
        <w:rPr>
          <w:lang w:val="en-GB"/>
        </w:rPr>
        <w:t>taxane</w:t>
      </w:r>
      <w:proofErr w:type="spellEnd"/>
      <w:r w:rsidR="00B51260" w:rsidRPr="00C3564D">
        <w:rPr>
          <w:lang w:val="en-GB"/>
        </w:rPr>
        <w:t xml:space="preserve"> therapy arm (median </w:t>
      </w:r>
      <w:r w:rsidR="007C04A0">
        <w:rPr>
          <w:lang w:val="en-GB"/>
        </w:rPr>
        <w:t xml:space="preserve">overall survival </w:t>
      </w:r>
      <w:r w:rsidR="0031249C" w:rsidRPr="00C3564D">
        <w:rPr>
          <w:lang w:val="en-GB"/>
        </w:rPr>
        <w:t>10.91</w:t>
      </w:r>
      <w:r w:rsidR="00BE35A2">
        <w:rPr>
          <w:lang w:val="en-GB"/>
        </w:rPr>
        <w:t> months</w:t>
      </w:r>
      <w:r w:rsidR="006D2072" w:rsidRPr="00C3564D">
        <w:rPr>
          <w:lang w:val="en-GB"/>
        </w:rPr>
        <w:t xml:space="preserve"> </w:t>
      </w:r>
      <w:r w:rsidR="00B51260" w:rsidRPr="00C3564D">
        <w:rPr>
          <w:lang w:val="en-GB"/>
        </w:rPr>
        <w:t xml:space="preserve">for nivolumab, </w:t>
      </w:r>
      <w:r w:rsidR="006F766B" w:rsidRPr="00C3564D">
        <w:rPr>
          <w:lang w:val="en-GB"/>
        </w:rPr>
        <w:t>8.38</w:t>
      </w:r>
      <w:r w:rsidR="00F87D98">
        <w:rPr>
          <w:lang w:val="en-GB"/>
        </w:rPr>
        <w:t> </w:t>
      </w:r>
      <w:r w:rsidR="00B51260" w:rsidRPr="00C3564D">
        <w:rPr>
          <w:lang w:val="en-GB"/>
        </w:rPr>
        <w:t>months in</w:t>
      </w:r>
      <w:r w:rsidR="008E1947">
        <w:rPr>
          <w:lang w:val="en-GB"/>
        </w:rPr>
        <w:t xml:space="preserve"> the</w:t>
      </w:r>
      <w:r w:rsidR="00B51260" w:rsidRPr="00C3564D">
        <w:rPr>
          <w:lang w:val="en-GB"/>
        </w:rPr>
        <w:t xml:space="preserve"> </w:t>
      </w:r>
      <w:proofErr w:type="spellStart"/>
      <w:r w:rsidR="008E1947">
        <w:rPr>
          <w:lang w:val="en-GB"/>
        </w:rPr>
        <w:t>taxane</w:t>
      </w:r>
      <w:proofErr w:type="spellEnd"/>
      <w:r w:rsidR="008E1947">
        <w:rPr>
          <w:lang w:val="en-GB"/>
        </w:rPr>
        <w:t xml:space="preserve"> arm</w:t>
      </w:r>
      <w:r w:rsidR="00B51260" w:rsidRPr="00C3564D">
        <w:rPr>
          <w:lang w:val="en-GB"/>
        </w:rPr>
        <w:t xml:space="preserve">). </w:t>
      </w:r>
      <w:r w:rsidR="006F766B" w:rsidRPr="00C3564D">
        <w:rPr>
          <w:lang w:val="en-GB"/>
        </w:rPr>
        <w:t xml:space="preserve">However, </w:t>
      </w:r>
      <w:r w:rsidR="00512F4B" w:rsidRPr="00C3564D">
        <w:rPr>
          <w:lang w:val="en-GB"/>
        </w:rPr>
        <w:t>median</w:t>
      </w:r>
      <w:r w:rsidR="00B51260" w:rsidRPr="00C3564D">
        <w:rPr>
          <w:lang w:val="en-GB"/>
        </w:rPr>
        <w:t xml:space="preserve"> progression</w:t>
      </w:r>
      <w:r w:rsidR="00CD2979">
        <w:rPr>
          <w:lang w:val="en-GB"/>
        </w:rPr>
        <w:t>-</w:t>
      </w:r>
      <w:r w:rsidR="00B51260" w:rsidRPr="00C3564D">
        <w:rPr>
          <w:lang w:val="en-GB"/>
        </w:rPr>
        <w:t xml:space="preserve">free survival </w:t>
      </w:r>
      <w:r w:rsidR="00226E2E">
        <w:rPr>
          <w:lang w:val="en-GB"/>
        </w:rPr>
        <w:t xml:space="preserve">was slightly lower for nivolumab </w:t>
      </w:r>
      <w:r w:rsidR="00B51260" w:rsidRPr="00C3564D">
        <w:rPr>
          <w:lang w:val="en-GB"/>
        </w:rPr>
        <w:t>(1.68</w:t>
      </w:r>
      <w:r w:rsidR="00F87D98">
        <w:rPr>
          <w:lang w:val="en-GB"/>
        </w:rPr>
        <w:t> </w:t>
      </w:r>
      <w:r w:rsidR="00B51260" w:rsidRPr="00C3564D">
        <w:rPr>
          <w:lang w:val="en-GB"/>
        </w:rPr>
        <w:t xml:space="preserve">months </w:t>
      </w:r>
      <w:r w:rsidR="00CD2979">
        <w:rPr>
          <w:lang w:val="en-GB"/>
        </w:rPr>
        <w:t>compared with</w:t>
      </w:r>
      <w:r w:rsidR="00B51260" w:rsidRPr="00C3564D">
        <w:rPr>
          <w:lang w:val="en-GB"/>
        </w:rPr>
        <w:t xml:space="preserve"> 3.35</w:t>
      </w:r>
      <w:r w:rsidR="00F87D98">
        <w:rPr>
          <w:lang w:val="en-GB"/>
        </w:rPr>
        <w:t> </w:t>
      </w:r>
      <w:r w:rsidR="00B51260" w:rsidRPr="00C3564D">
        <w:rPr>
          <w:lang w:val="en-GB"/>
        </w:rPr>
        <w:t>months)</w:t>
      </w:r>
      <w:r w:rsidR="001950B8">
        <w:rPr>
          <w:lang w:val="en-GB"/>
        </w:rPr>
        <w:t>,</w:t>
      </w:r>
      <w:r w:rsidR="00B51260" w:rsidRPr="00C3564D">
        <w:rPr>
          <w:lang w:val="en-GB"/>
        </w:rPr>
        <w:t xml:space="preserve"> </w:t>
      </w:r>
      <w:r w:rsidR="00226E2E">
        <w:rPr>
          <w:lang w:val="en-GB"/>
        </w:rPr>
        <w:t>as was the overall</w:t>
      </w:r>
      <w:r w:rsidR="00B51260" w:rsidRPr="00C3564D">
        <w:rPr>
          <w:lang w:val="en-GB"/>
        </w:rPr>
        <w:t xml:space="preserve"> response rate (19.3% </w:t>
      </w:r>
      <w:r w:rsidR="00CD2979">
        <w:rPr>
          <w:lang w:val="en-GB"/>
        </w:rPr>
        <w:t>compared with</w:t>
      </w:r>
      <w:r w:rsidR="00B51260" w:rsidRPr="00C3564D">
        <w:rPr>
          <w:lang w:val="en-GB"/>
        </w:rPr>
        <w:t xml:space="preserve"> 21.5%). </w:t>
      </w:r>
      <w:r w:rsidR="00512F4B" w:rsidRPr="00C3564D">
        <w:rPr>
          <w:lang w:val="en-GB"/>
        </w:rPr>
        <w:t xml:space="preserve">More </w:t>
      </w:r>
      <w:r w:rsidR="001506D2">
        <w:rPr>
          <w:lang w:val="en-GB"/>
        </w:rPr>
        <w:t>people had disease</w:t>
      </w:r>
      <w:r w:rsidR="001506D2" w:rsidRPr="00C3564D">
        <w:rPr>
          <w:lang w:val="en-GB"/>
        </w:rPr>
        <w:t xml:space="preserve"> </w:t>
      </w:r>
      <w:r w:rsidR="00512F4B" w:rsidRPr="00C3564D">
        <w:rPr>
          <w:lang w:val="en-GB"/>
        </w:rPr>
        <w:t>progress</w:t>
      </w:r>
      <w:r w:rsidR="001506D2">
        <w:rPr>
          <w:lang w:val="en-GB"/>
        </w:rPr>
        <w:t>ion</w:t>
      </w:r>
      <w:r w:rsidR="00512F4B" w:rsidRPr="00C3564D">
        <w:rPr>
          <w:lang w:val="en-GB"/>
        </w:rPr>
        <w:t xml:space="preserve"> </w:t>
      </w:r>
      <w:r w:rsidR="001506D2">
        <w:rPr>
          <w:lang w:val="en-GB"/>
        </w:rPr>
        <w:t>with</w:t>
      </w:r>
      <w:r w:rsidR="00512F4B" w:rsidRPr="00C3564D">
        <w:rPr>
          <w:lang w:val="en-GB"/>
        </w:rPr>
        <w:t xml:space="preserve"> </w:t>
      </w:r>
      <w:r w:rsidR="00965673" w:rsidRPr="00C3564D">
        <w:rPr>
          <w:bCs w:val="0"/>
          <w:iCs w:val="0"/>
          <w:lang w:val="en-GB"/>
        </w:rPr>
        <w:t>nivolumab than</w:t>
      </w:r>
      <w:r w:rsidR="001506D2">
        <w:rPr>
          <w:bCs w:val="0"/>
          <w:iCs w:val="0"/>
          <w:lang w:val="en-GB"/>
        </w:rPr>
        <w:t xml:space="preserve"> with</w:t>
      </w:r>
      <w:r w:rsidR="00965673" w:rsidRPr="00C3564D">
        <w:rPr>
          <w:bCs w:val="0"/>
          <w:iCs w:val="0"/>
          <w:lang w:val="en-GB"/>
        </w:rPr>
        <w:t xml:space="preserve"> </w:t>
      </w:r>
      <w:proofErr w:type="spellStart"/>
      <w:r w:rsidR="00965673" w:rsidRPr="00C3564D">
        <w:rPr>
          <w:bCs w:val="0"/>
          <w:iCs w:val="0"/>
          <w:lang w:val="en-GB"/>
        </w:rPr>
        <w:t>taxanes</w:t>
      </w:r>
      <w:proofErr w:type="spellEnd"/>
      <w:r w:rsidR="001506D2">
        <w:rPr>
          <w:bCs w:val="0"/>
          <w:iCs w:val="0"/>
          <w:lang w:val="en-GB"/>
        </w:rPr>
        <w:t>,</w:t>
      </w:r>
      <w:r w:rsidR="00965673" w:rsidRPr="00C3564D">
        <w:rPr>
          <w:bCs w:val="0"/>
          <w:iCs w:val="0"/>
          <w:lang w:val="en-GB"/>
        </w:rPr>
        <w:t xml:space="preserve"> and</w:t>
      </w:r>
      <w:r w:rsidR="005F2D36" w:rsidRPr="00C3564D">
        <w:rPr>
          <w:bCs w:val="0"/>
          <w:iCs w:val="0"/>
          <w:lang w:val="en-GB"/>
        </w:rPr>
        <w:t xml:space="preserve"> most</w:t>
      </w:r>
      <w:r w:rsidR="00B51260" w:rsidRPr="00C3564D">
        <w:rPr>
          <w:lang w:val="en-GB"/>
        </w:rPr>
        <w:t xml:space="preserve"> of the overall </w:t>
      </w:r>
      <w:r w:rsidR="00B51260" w:rsidRPr="00C3564D">
        <w:rPr>
          <w:lang w:val="en-GB"/>
        </w:rPr>
        <w:lastRenderedPageBreak/>
        <w:t xml:space="preserve">survival benefit from nivolumab </w:t>
      </w:r>
      <w:r w:rsidR="00E41076">
        <w:rPr>
          <w:lang w:val="en-GB"/>
        </w:rPr>
        <w:t>wa</w:t>
      </w:r>
      <w:r w:rsidR="00B51260" w:rsidRPr="00C3564D">
        <w:rPr>
          <w:lang w:val="en-GB"/>
        </w:rPr>
        <w:t xml:space="preserve">s </w:t>
      </w:r>
      <w:r w:rsidR="00B55E67">
        <w:rPr>
          <w:lang w:val="en-GB"/>
        </w:rPr>
        <w:t xml:space="preserve">after </w:t>
      </w:r>
      <w:r w:rsidRPr="00C3564D">
        <w:rPr>
          <w:lang w:val="en-GB"/>
        </w:rPr>
        <w:t xml:space="preserve">progression. </w:t>
      </w:r>
      <w:r w:rsidR="002E4BF2" w:rsidRPr="00C3564D">
        <w:rPr>
          <w:lang w:val="en-GB"/>
        </w:rPr>
        <w:t xml:space="preserve">The committee questioned why the benefit was predominantly </w:t>
      </w:r>
      <w:r w:rsidR="00226E2E">
        <w:rPr>
          <w:lang w:val="en-GB"/>
        </w:rPr>
        <w:t xml:space="preserve">seen </w:t>
      </w:r>
      <w:r w:rsidR="00AB5ACE">
        <w:rPr>
          <w:lang w:val="en-GB"/>
        </w:rPr>
        <w:t xml:space="preserve">after </w:t>
      </w:r>
      <w:r w:rsidR="002E4BF2" w:rsidRPr="00C3564D">
        <w:rPr>
          <w:lang w:val="en-GB"/>
        </w:rPr>
        <w:t xml:space="preserve">progression </w:t>
      </w:r>
      <w:r w:rsidR="00847DB7">
        <w:rPr>
          <w:lang w:val="en-GB"/>
        </w:rPr>
        <w:t xml:space="preserve">rather than </w:t>
      </w:r>
      <w:r w:rsidR="00AB5ACE">
        <w:rPr>
          <w:lang w:val="en-GB"/>
        </w:rPr>
        <w:t>before</w:t>
      </w:r>
      <w:r w:rsidR="002E4BF2" w:rsidRPr="00C3564D">
        <w:rPr>
          <w:lang w:val="en-GB"/>
        </w:rPr>
        <w:t xml:space="preserve">, which </w:t>
      </w:r>
      <w:r w:rsidR="00D274BD">
        <w:rPr>
          <w:lang w:val="en-GB"/>
        </w:rPr>
        <w:t xml:space="preserve">is what </w:t>
      </w:r>
      <w:r w:rsidR="002E4BF2" w:rsidRPr="00C3564D">
        <w:rPr>
          <w:lang w:val="en-GB"/>
        </w:rPr>
        <w:t xml:space="preserve">would be expected if </w:t>
      </w:r>
      <w:r w:rsidR="004569EC">
        <w:rPr>
          <w:lang w:val="en-GB"/>
        </w:rPr>
        <w:t>nivolumab</w:t>
      </w:r>
      <w:r w:rsidR="002E4BF2" w:rsidRPr="00C3564D">
        <w:rPr>
          <w:lang w:val="en-GB"/>
        </w:rPr>
        <w:t xml:space="preserve"> had the potential </w:t>
      </w:r>
      <w:r w:rsidR="004569EC">
        <w:rPr>
          <w:lang w:val="en-GB"/>
        </w:rPr>
        <w:t>to be</w:t>
      </w:r>
      <w:r w:rsidR="002E4BF2" w:rsidRPr="00C3564D">
        <w:rPr>
          <w:lang w:val="en-GB"/>
        </w:rPr>
        <w:t xml:space="preserve"> cur</w:t>
      </w:r>
      <w:r w:rsidR="004569EC">
        <w:rPr>
          <w:lang w:val="en-GB"/>
        </w:rPr>
        <w:t>ative</w:t>
      </w:r>
      <w:r w:rsidR="002E4BF2" w:rsidRPr="00C3564D">
        <w:rPr>
          <w:lang w:val="en-GB"/>
        </w:rPr>
        <w:t xml:space="preserve">. </w:t>
      </w:r>
      <w:r w:rsidR="00711834" w:rsidRPr="00C3564D">
        <w:rPr>
          <w:bCs w:val="0"/>
          <w:iCs w:val="0"/>
          <w:lang w:val="en-GB"/>
        </w:rPr>
        <w:t xml:space="preserve">It discussed whether this </w:t>
      </w:r>
      <w:r w:rsidR="002E4BF2" w:rsidRPr="00C3564D">
        <w:rPr>
          <w:bCs w:val="0"/>
          <w:iCs w:val="0"/>
          <w:lang w:val="en-GB"/>
        </w:rPr>
        <w:t>could be</w:t>
      </w:r>
      <w:r w:rsidR="00E318AB">
        <w:rPr>
          <w:bCs w:val="0"/>
          <w:iCs w:val="0"/>
          <w:lang w:val="en-GB"/>
        </w:rPr>
        <w:t xml:space="preserve"> because of</w:t>
      </w:r>
      <w:r w:rsidR="002E4BF2" w:rsidRPr="00C3564D">
        <w:rPr>
          <w:bCs w:val="0"/>
          <w:iCs w:val="0"/>
          <w:lang w:val="en-GB"/>
        </w:rPr>
        <w:t xml:space="preserve"> </w:t>
      </w:r>
      <w:r w:rsidR="00B11C69">
        <w:rPr>
          <w:bCs w:val="0"/>
          <w:iCs w:val="0"/>
          <w:lang w:val="en-GB"/>
        </w:rPr>
        <w:t xml:space="preserve">people having </w:t>
      </w:r>
      <w:r w:rsidR="002E4BF2" w:rsidRPr="00C3564D">
        <w:rPr>
          <w:bCs w:val="0"/>
          <w:iCs w:val="0"/>
          <w:lang w:val="en-GB"/>
        </w:rPr>
        <w:t xml:space="preserve">nivolumab </w:t>
      </w:r>
      <w:r w:rsidR="00B11C69">
        <w:rPr>
          <w:bCs w:val="0"/>
          <w:iCs w:val="0"/>
          <w:lang w:val="en-GB"/>
        </w:rPr>
        <w:t xml:space="preserve">after disease </w:t>
      </w:r>
      <w:r w:rsidR="002E4BF2" w:rsidRPr="00C3564D">
        <w:rPr>
          <w:bCs w:val="0"/>
          <w:iCs w:val="0"/>
          <w:lang w:val="en-GB"/>
        </w:rPr>
        <w:t xml:space="preserve">progression and </w:t>
      </w:r>
      <w:r w:rsidR="00B11C69">
        <w:rPr>
          <w:bCs w:val="0"/>
          <w:iCs w:val="0"/>
          <w:lang w:val="en-GB"/>
        </w:rPr>
        <w:t xml:space="preserve">it </w:t>
      </w:r>
      <w:proofErr w:type="gramStart"/>
      <w:r w:rsidR="002E4BF2" w:rsidRPr="00C3564D">
        <w:rPr>
          <w:bCs w:val="0"/>
          <w:iCs w:val="0"/>
          <w:lang w:val="en-GB"/>
        </w:rPr>
        <w:t>slowing</w:t>
      </w:r>
      <w:proofErr w:type="gramEnd"/>
      <w:r w:rsidR="002E4BF2" w:rsidRPr="00C3564D">
        <w:rPr>
          <w:bCs w:val="0"/>
          <w:iCs w:val="0"/>
          <w:lang w:val="en-GB"/>
        </w:rPr>
        <w:t xml:space="preserve"> progression, a carry-over effect after stopping </w:t>
      </w:r>
      <w:r w:rsidR="00711834" w:rsidRPr="00C3564D">
        <w:rPr>
          <w:bCs w:val="0"/>
          <w:iCs w:val="0"/>
          <w:lang w:val="en-GB"/>
        </w:rPr>
        <w:t>niv</w:t>
      </w:r>
      <w:r w:rsidR="00145E72" w:rsidRPr="00C3564D">
        <w:rPr>
          <w:bCs w:val="0"/>
          <w:iCs w:val="0"/>
          <w:lang w:val="en-GB"/>
        </w:rPr>
        <w:t xml:space="preserve">olumab </w:t>
      </w:r>
      <w:r w:rsidR="002E4BF2" w:rsidRPr="00C3564D">
        <w:rPr>
          <w:bCs w:val="0"/>
          <w:iCs w:val="0"/>
          <w:lang w:val="en-GB"/>
        </w:rPr>
        <w:t xml:space="preserve">into the progression phase, or </w:t>
      </w:r>
      <w:r w:rsidR="00345ADE">
        <w:rPr>
          <w:bCs w:val="0"/>
          <w:iCs w:val="0"/>
          <w:lang w:val="en-GB"/>
        </w:rPr>
        <w:t>because</w:t>
      </w:r>
      <w:r w:rsidR="00345ADE" w:rsidRPr="00C3564D">
        <w:rPr>
          <w:bCs w:val="0"/>
          <w:iCs w:val="0"/>
          <w:lang w:val="en-GB"/>
        </w:rPr>
        <w:t xml:space="preserve"> </w:t>
      </w:r>
      <w:r w:rsidR="002E4BF2" w:rsidRPr="00C3564D">
        <w:rPr>
          <w:bCs w:val="0"/>
          <w:iCs w:val="0"/>
          <w:lang w:val="en-GB"/>
        </w:rPr>
        <w:t>p</w:t>
      </w:r>
      <w:r w:rsidR="00B11C69">
        <w:rPr>
          <w:bCs w:val="0"/>
          <w:iCs w:val="0"/>
          <w:lang w:val="en-GB"/>
        </w:rPr>
        <w:t>eople</w:t>
      </w:r>
      <w:r w:rsidR="002E4BF2" w:rsidRPr="00C3564D">
        <w:rPr>
          <w:bCs w:val="0"/>
          <w:iCs w:val="0"/>
          <w:lang w:val="en-GB"/>
        </w:rPr>
        <w:t xml:space="preserve"> remained </w:t>
      </w:r>
      <w:r w:rsidR="001950B8">
        <w:rPr>
          <w:bCs w:val="0"/>
          <w:iCs w:val="0"/>
          <w:lang w:val="en-GB"/>
        </w:rPr>
        <w:t>well</w:t>
      </w:r>
      <w:r w:rsidR="002E4BF2" w:rsidRPr="00C3564D">
        <w:rPr>
          <w:bCs w:val="0"/>
          <w:iCs w:val="0"/>
          <w:lang w:val="en-GB"/>
        </w:rPr>
        <w:t xml:space="preserve"> enough for follow-on therapies at progression</w:t>
      </w:r>
      <w:r w:rsidR="000769B6" w:rsidRPr="00C3564D">
        <w:rPr>
          <w:lang w:val="en-GB"/>
        </w:rPr>
        <w:t xml:space="preserve">. The committee concluded that </w:t>
      </w:r>
      <w:r w:rsidR="0041341A">
        <w:rPr>
          <w:lang w:val="en-GB"/>
        </w:rPr>
        <w:t>it was unclear why</w:t>
      </w:r>
      <w:r w:rsidR="000769B6" w:rsidRPr="00C3564D">
        <w:rPr>
          <w:lang w:val="en-GB"/>
        </w:rPr>
        <w:t xml:space="preserve"> </w:t>
      </w:r>
      <w:r w:rsidR="00881671" w:rsidRPr="00C3564D">
        <w:rPr>
          <w:lang w:val="en-GB"/>
        </w:rPr>
        <w:t xml:space="preserve">the survival benefit mainly </w:t>
      </w:r>
      <w:r w:rsidR="0041341A">
        <w:rPr>
          <w:lang w:val="en-GB"/>
        </w:rPr>
        <w:t>happened after</w:t>
      </w:r>
      <w:r w:rsidR="00881671" w:rsidRPr="00C3564D">
        <w:rPr>
          <w:lang w:val="en-GB"/>
        </w:rPr>
        <w:t xml:space="preserve"> </w:t>
      </w:r>
      <w:r w:rsidR="0041341A">
        <w:rPr>
          <w:lang w:val="en-GB"/>
        </w:rPr>
        <w:t xml:space="preserve">disease </w:t>
      </w:r>
      <w:r w:rsidR="00881671" w:rsidRPr="00C3564D">
        <w:rPr>
          <w:lang w:val="en-GB"/>
        </w:rPr>
        <w:t>progression</w:t>
      </w:r>
      <w:r w:rsidR="00347123">
        <w:rPr>
          <w:lang w:val="en-GB"/>
        </w:rPr>
        <w:t>.</w:t>
      </w:r>
    </w:p>
    <w:p w14:paraId="7CCC0B40" w14:textId="242EB79C" w:rsidR="00541642" w:rsidRPr="00C3564D" w:rsidRDefault="00541642" w:rsidP="00541642">
      <w:pPr>
        <w:pStyle w:val="Heading3"/>
      </w:pPr>
      <w:r w:rsidRPr="00C3564D">
        <w:t xml:space="preserve">People are at more risk of dying </w:t>
      </w:r>
      <w:r w:rsidR="00BF343F">
        <w:t>having</w:t>
      </w:r>
      <w:r w:rsidRPr="00C3564D">
        <w:t xml:space="preserve"> nivolumab in the first 3</w:t>
      </w:r>
      <w:r w:rsidR="003700C9">
        <w:t> </w:t>
      </w:r>
      <w:r w:rsidRPr="00C3564D">
        <w:t>months</w:t>
      </w:r>
    </w:p>
    <w:p w14:paraId="6C992897" w14:textId="685E02C3" w:rsidR="00206AB0" w:rsidRPr="00C3564D" w:rsidRDefault="00950883" w:rsidP="00883861">
      <w:pPr>
        <w:pStyle w:val="Numberedlevel2text"/>
        <w:rPr>
          <w:lang w:val="en-GB"/>
        </w:rPr>
      </w:pPr>
      <w:r w:rsidRPr="00C3564D">
        <w:rPr>
          <w:lang w:val="en-GB"/>
        </w:rPr>
        <w:t>Results up to 24</w:t>
      </w:r>
      <w:r w:rsidR="00503C59">
        <w:rPr>
          <w:lang w:val="en-GB"/>
        </w:rPr>
        <w:t> </w:t>
      </w:r>
      <w:r w:rsidRPr="00C3564D">
        <w:rPr>
          <w:lang w:val="en-GB"/>
        </w:rPr>
        <w:t>months for overall survival were provided by the company and analysed by the ERG. At 2</w:t>
      </w:r>
      <w:r w:rsidR="00503C59">
        <w:rPr>
          <w:lang w:val="en-GB"/>
        </w:rPr>
        <w:t> </w:t>
      </w:r>
      <w:r w:rsidR="00822025">
        <w:rPr>
          <w:lang w:val="en-GB"/>
        </w:rPr>
        <w:t xml:space="preserve">months </w:t>
      </w:r>
      <w:r w:rsidRPr="00C3564D">
        <w:rPr>
          <w:lang w:val="en-GB"/>
        </w:rPr>
        <w:t>and 4</w:t>
      </w:r>
      <w:r w:rsidR="00503C59">
        <w:rPr>
          <w:lang w:val="en-GB"/>
        </w:rPr>
        <w:t> </w:t>
      </w:r>
      <w:r w:rsidRPr="00C3564D">
        <w:rPr>
          <w:lang w:val="en-GB"/>
        </w:rPr>
        <w:t>months, p</w:t>
      </w:r>
      <w:r w:rsidR="00822025">
        <w:rPr>
          <w:lang w:val="en-GB"/>
        </w:rPr>
        <w:t>eople having</w:t>
      </w:r>
      <w:r w:rsidRPr="00C3564D">
        <w:rPr>
          <w:lang w:val="en-GB"/>
        </w:rPr>
        <w:t xml:space="preserve"> nivolumab had worse overall survival than p</w:t>
      </w:r>
      <w:r w:rsidR="00347123">
        <w:rPr>
          <w:lang w:val="en-GB"/>
        </w:rPr>
        <w:t>eople</w:t>
      </w:r>
      <w:r w:rsidRPr="00C3564D">
        <w:rPr>
          <w:lang w:val="en-GB"/>
        </w:rPr>
        <w:t xml:space="preserve"> </w:t>
      </w:r>
      <w:r w:rsidR="00344791">
        <w:rPr>
          <w:lang w:val="en-GB"/>
        </w:rPr>
        <w:t>having</w:t>
      </w:r>
      <w:r w:rsidRPr="00C3564D">
        <w:rPr>
          <w:lang w:val="en-GB"/>
        </w:rPr>
        <w:t xml:space="preserve"> </w:t>
      </w:r>
      <w:proofErr w:type="spellStart"/>
      <w:r w:rsidRPr="00C3564D">
        <w:rPr>
          <w:lang w:val="en-GB"/>
        </w:rPr>
        <w:t>taxanes</w:t>
      </w:r>
      <w:proofErr w:type="spellEnd"/>
      <w:r w:rsidRPr="00C3564D">
        <w:rPr>
          <w:lang w:val="en-GB"/>
        </w:rPr>
        <w:t>. However, from 6</w:t>
      </w:r>
      <w:r w:rsidR="00942404">
        <w:rPr>
          <w:lang w:val="en-GB"/>
        </w:rPr>
        <w:t> </w:t>
      </w:r>
      <w:r w:rsidRPr="00C3564D">
        <w:rPr>
          <w:lang w:val="en-GB"/>
        </w:rPr>
        <w:t xml:space="preserve">months onwards overall survival </w:t>
      </w:r>
      <w:r w:rsidR="004C56BC">
        <w:rPr>
          <w:lang w:val="en-GB"/>
        </w:rPr>
        <w:t>wa</w:t>
      </w:r>
      <w:r w:rsidRPr="00C3564D">
        <w:rPr>
          <w:lang w:val="en-GB"/>
        </w:rPr>
        <w:t xml:space="preserve">s higher </w:t>
      </w:r>
      <w:r w:rsidR="004C56BC">
        <w:rPr>
          <w:lang w:val="en-GB"/>
        </w:rPr>
        <w:t>for</w:t>
      </w:r>
      <w:r w:rsidRPr="00C3564D">
        <w:rPr>
          <w:lang w:val="en-GB"/>
        </w:rPr>
        <w:t xml:space="preserve"> nivolumab compared with </w:t>
      </w:r>
      <w:proofErr w:type="spellStart"/>
      <w:r w:rsidRPr="00C3564D">
        <w:rPr>
          <w:lang w:val="en-GB"/>
        </w:rPr>
        <w:t>taxanes</w:t>
      </w:r>
      <w:proofErr w:type="spellEnd"/>
      <w:r w:rsidRPr="00C3564D">
        <w:rPr>
          <w:lang w:val="en-GB"/>
        </w:rPr>
        <w:t xml:space="preserve"> (the data cannot be reported here because the company submitted it as academic in confidence).</w:t>
      </w:r>
      <w:r w:rsidR="00263E92">
        <w:rPr>
          <w:lang w:val="en-GB"/>
        </w:rPr>
        <w:t xml:space="preserve"> </w:t>
      </w:r>
      <w:r w:rsidR="00342E93" w:rsidRPr="00C3564D">
        <w:rPr>
          <w:lang w:val="en-GB"/>
        </w:rPr>
        <w:t xml:space="preserve">The clinical expert explained that this </w:t>
      </w:r>
      <w:r w:rsidR="00263E92">
        <w:rPr>
          <w:lang w:val="en-GB"/>
        </w:rPr>
        <w:t>pattern</w:t>
      </w:r>
      <w:r w:rsidR="00342E93" w:rsidRPr="00C3564D">
        <w:rPr>
          <w:lang w:val="en-GB"/>
        </w:rPr>
        <w:t xml:space="preserve"> in overall survival is commonly found with immunotherapies</w:t>
      </w:r>
      <w:r w:rsidR="006157FE">
        <w:rPr>
          <w:lang w:val="en-GB"/>
        </w:rPr>
        <w:t>. This is</w:t>
      </w:r>
      <w:r w:rsidR="00342E93" w:rsidRPr="00C3564D">
        <w:rPr>
          <w:lang w:val="en-GB"/>
        </w:rPr>
        <w:t xml:space="preserve"> because of the delay in benefit </w:t>
      </w:r>
      <w:r w:rsidR="006763A6">
        <w:rPr>
          <w:lang w:val="en-GB"/>
        </w:rPr>
        <w:t>as</w:t>
      </w:r>
      <w:r w:rsidR="00342E93" w:rsidRPr="00C3564D">
        <w:rPr>
          <w:lang w:val="en-GB"/>
        </w:rPr>
        <w:t xml:space="preserve"> the immune system is activated</w:t>
      </w:r>
      <w:r w:rsidR="001950B8">
        <w:rPr>
          <w:lang w:val="en-GB"/>
        </w:rPr>
        <w:t xml:space="preserve">, </w:t>
      </w:r>
      <w:r w:rsidR="00342E93" w:rsidRPr="00C3564D">
        <w:rPr>
          <w:lang w:val="en-GB"/>
        </w:rPr>
        <w:t>while chemotherapy immediately acts on the cancer cells.</w:t>
      </w:r>
      <w:r w:rsidR="00EF426F" w:rsidRPr="00C3564D">
        <w:rPr>
          <w:lang w:val="en-GB"/>
        </w:rPr>
        <w:t xml:space="preserve"> </w:t>
      </w:r>
      <w:r w:rsidR="009B0A66" w:rsidRPr="00C3564D">
        <w:rPr>
          <w:lang w:val="en-GB"/>
        </w:rPr>
        <w:t xml:space="preserve">The </w:t>
      </w:r>
      <w:r w:rsidR="00D6017A" w:rsidRPr="00C3564D">
        <w:rPr>
          <w:lang w:val="en-GB"/>
        </w:rPr>
        <w:t>higher death rate in the first 3</w:t>
      </w:r>
      <w:r w:rsidR="0045721F">
        <w:rPr>
          <w:lang w:val="en-GB"/>
        </w:rPr>
        <w:t> </w:t>
      </w:r>
      <w:r w:rsidR="00D6017A" w:rsidRPr="00C3564D">
        <w:rPr>
          <w:lang w:val="en-GB"/>
        </w:rPr>
        <w:t xml:space="preserve">months </w:t>
      </w:r>
      <w:r w:rsidR="00EF426F" w:rsidRPr="00C3564D">
        <w:rPr>
          <w:lang w:val="en-GB"/>
        </w:rPr>
        <w:t>seen with nivolumab</w:t>
      </w:r>
      <w:r w:rsidR="009B0A66" w:rsidRPr="00C3564D">
        <w:rPr>
          <w:lang w:val="en-GB"/>
        </w:rPr>
        <w:t xml:space="preserve"> </w:t>
      </w:r>
      <w:r w:rsidR="00746E77" w:rsidRPr="00C3564D">
        <w:rPr>
          <w:lang w:val="en-GB"/>
        </w:rPr>
        <w:t xml:space="preserve">was </w:t>
      </w:r>
      <w:r w:rsidR="00EF426F" w:rsidRPr="00C3564D">
        <w:rPr>
          <w:lang w:val="en-GB"/>
        </w:rPr>
        <w:t>particularly</w:t>
      </w:r>
      <w:r w:rsidR="009B0A66" w:rsidRPr="00C3564D">
        <w:rPr>
          <w:lang w:val="en-GB"/>
        </w:rPr>
        <w:t xml:space="preserve"> concerning because people in ATTRACTION</w:t>
      </w:r>
      <w:r w:rsidR="0045721F">
        <w:rPr>
          <w:lang w:val="en-GB"/>
        </w:rPr>
        <w:noBreakHyphen/>
      </w:r>
      <w:r w:rsidR="009B0A66" w:rsidRPr="00C3564D">
        <w:rPr>
          <w:lang w:val="en-GB"/>
        </w:rPr>
        <w:t xml:space="preserve">3 were expected to survive at least </w:t>
      </w:r>
      <w:r w:rsidR="00347123">
        <w:rPr>
          <w:lang w:val="en-GB"/>
        </w:rPr>
        <w:t>3</w:t>
      </w:r>
      <w:r w:rsidR="0045721F">
        <w:rPr>
          <w:lang w:val="en-GB"/>
        </w:rPr>
        <w:t> </w:t>
      </w:r>
      <w:r w:rsidR="009B0A66" w:rsidRPr="00C3564D">
        <w:rPr>
          <w:lang w:val="en-GB"/>
        </w:rPr>
        <w:t xml:space="preserve">months. </w:t>
      </w:r>
      <w:r w:rsidR="00206AB0" w:rsidRPr="00C3564D">
        <w:rPr>
          <w:lang w:val="en-GB"/>
        </w:rPr>
        <w:t>The</w:t>
      </w:r>
      <w:r w:rsidR="00D63C5F" w:rsidRPr="00C3564D">
        <w:rPr>
          <w:lang w:val="en-GB"/>
        </w:rPr>
        <w:t xml:space="preserve"> NHS England</w:t>
      </w:r>
      <w:r w:rsidR="00206AB0" w:rsidRPr="00C3564D">
        <w:rPr>
          <w:lang w:val="en-GB"/>
        </w:rPr>
        <w:t xml:space="preserve"> clinical lead suggested that p</w:t>
      </w:r>
      <w:r w:rsidR="00443870">
        <w:rPr>
          <w:lang w:val="en-GB"/>
        </w:rPr>
        <w:t>eople</w:t>
      </w:r>
      <w:r w:rsidR="00206AB0" w:rsidRPr="00C3564D">
        <w:rPr>
          <w:lang w:val="en-GB"/>
        </w:rPr>
        <w:t xml:space="preserve"> </w:t>
      </w:r>
      <w:r w:rsidR="00A47646" w:rsidRPr="00C3564D">
        <w:rPr>
          <w:lang w:val="en-GB"/>
        </w:rPr>
        <w:t xml:space="preserve">generally </w:t>
      </w:r>
      <w:r w:rsidR="00206AB0" w:rsidRPr="00C3564D">
        <w:rPr>
          <w:lang w:val="en-GB"/>
        </w:rPr>
        <w:t>have worse performance scores</w:t>
      </w:r>
      <w:r w:rsidR="00A47646" w:rsidRPr="00C3564D">
        <w:rPr>
          <w:lang w:val="en-GB"/>
        </w:rPr>
        <w:t xml:space="preserve"> in the NHS</w:t>
      </w:r>
      <w:r w:rsidR="00284E19" w:rsidRPr="00C3564D">
        <w:rPr>
          <w:lang w:val="en-GB"/>
        </w:rPr>
        <w:t xml:space="preserve"> than in the trial</w:t>
      </w:r>
      <w:r w:rsidR="00206AB0" w:rsidRPr="00C3564D">
        <w:rPr>
          <w:lang w:val="en-GB"/>
        </w:rPr>
        <w:t>.</w:t>
      </w:r>
      <w:r w:rsidR="00B51260" w:rsidRPr="00C3564D">
        <w:rPr>
          <w:lang w:val="en-GB"/>
        </w:rPr>
        <w:t xml:space="preserve"> </w:t>
      </w:r>
      <w:r w:rsidR="00985261">
        <w:rPr>
          <w:lang w:val="en-GB"/>
        </w:rPr>
        <w:t xml:space="preserve">In </w:t>
      </w:r>
      <w:r w:rsidR="00541C00" w:rsidRPr="00C3564D">
        <w:rPr>
          <w:lang w:val="en-GB"/>
        </w:rPr>
        <w:t>clinical practice</w:t>
      </w:r>
      <w:r w:rsidR="00985261">
        <w:rPr>
          <w:lang w:val="en-GB"/>
        </w:rPr>
        <w:t>,</w:t>
      </w:r>
      <w:r w:rsidR="00541C00" w:rsidRPr="00C3564D">
        <w:rPr>
          <w:lang w:val="en-GB"/>
        </w:rPr>
        <w:t xml:space="preserve"> it is possible to distinguish between people who are and are not likely to tolerate nivolumab therapy. </w:t>
      </w:r>
      <w:r w:rsidR="00342E93" w:rsidRPr="00C3564D">
        <w:rPr>
          <w:lang w:val="en-GB"/>
        </w:rPr>
        <w:t>The company stated that an additional dataset for 36</w:t>
      </w:r>
      <w:r w:rsidR="005627F8">
        <w:rPr>
          <w:lang w:val="en-GB"/>
        </w:rPr>
        <w:t> </w:t>
      </w:r>
      <w:r w:rsidR="00342E93" w:rsidRPr="00C3564D">
        <w:rPr>
          <w:lang w:val="en-GB"/>
        </w:rPr>
        <w:t xml:space="preserve">months was now available for overall survival, progression-free </w:t>
      </w:r>
      <w:proofErr w:type="gramStart"/>
      <w:r w:rsidR="00342E93" w:rsidRPr="00C3564D">
        <w:rPr>
          <w:lang w:val="en-GB"/>
        </w:rPr>
        <w:t>survival</w:t>
      </w:r>
      <w:proofErr w:type="gramEnd"/>
      <w:r w:rsidR="00342E93" w:rsidRPr="00C3564D">
        <w:rPr>
          <w:lang w:val="en-GB"/>
        </w:rPr>
        <w:t xml:space="preserve"> and time on treatment</w:t>
      </w:r>
      <w:r w:rsidR="00347123">
        <w:rPr>
          <w:lang w:val="en-GB"/>
        </w:rPr>
        <w:t xml:space="preserve">. </w:t>
      </w:r>
      <w:r w:rsidR="00342E93" w:rsidRPr="00C3564D">
        <w:rPr>
          <w:lang w:val="en-GB"/>
        </w:rPr>
        <w:t>NICE, the ERG and</w:t>
      </w:r>
      <w:r w:rsidR="00621878">
        <w:rPr>
          <w:lang w:val="en-GB"/>
        </w:rPr>
        <w:t xml:space="preserve"> the</w:t>
      </w:r>
      <w:r w:rsidR="00342E93" w:rsidRPr="00C3564D">
        <w:rPr>
          <w:lang w:val="en-GB"/>
        </w:rPr>
        <w:t xml:space="preserve"> committee ha</w:t>
      </w:r>
      <w:r w:rsidR="00621878">
        <w:rPr>
          <w:lang w:val="en-GB"/>
        </w:rPr>
        <w:t>ve</w:t>
      </w:r>
      <w:r w:rsidR="00342E93" w:rsidRPr="00C3564D">
        <w:rPr>
          <w:lang w:val="en-GB"/>
        </w:rPr>
        <w:t xml:space="preserve"> not had an opportunity to review</w:t>
      </w:r>
      <w:r w:rsidR="00621878">
        <w:rPr>
          <w:lang w:val="en-GB"/>
        </w:rPr>
        <w:t xml:space="preserve"> this and</w:t>
      </w:r>
      <w:r w:rsidR="00342E93" w:rsidRPr="00C3564D">
        <w:rPr>
          <w:lang w:val="en-GB"/>
        </w:rPr>
        <w:t xml:space="preserve"> so</w:t>
      </w:r>
      <w:r w:rsidR="00621878">
        <w:rPr>
          <w:lang w:val="en-GB"/>
        </w:rPr>
        <w:t xml:space="preserve"> it</w:t>
      </w:r>
      <w:r w:rsidR="00342E93" w:rsidRPr="00C3564D">
        <w:rPr>
          <w:lang w:val="en-GB"/>
        </w:rPr>
        <w:t xml:space="preserve"> could not be </w:t>
      </w:r>
      <w:proofErr w:type="gramStart"/>
      <w:r w:rsidR="00342E93" w:rsidRPr="00C3564D">
        <w:rPr>
          <w:lang w:val="en-GB"/>
        </w:rPr>
        <w:t>taken into account</w:t>
      </w:r>
      <w:proofErr w:type="gramEnd"/>
      <w:r w:rsidR="00342E93" w:rsidRPr="00C3564D">
        <w:rPr>
          <w:lang w:val="en-GB"/>
        </w:rPr>
        <w:t xml:space="preserve"> for decision making</w:t>
      </w:r>
      <w:r w:rsidR="00347123">
        <w:rPr>
          <w:lang w:val="en-GB"/>
        </w:rPr>
        <w:t xml:space="preserve">. </w:t>
      </w:r>
      <w:r w:rsidR="00196F64">
        <w:rPr>
          <w:lang w:val="en-GB"/>
        </w:rPr>
        <w:t>Based on the available data, t</w:t>
      </w:r>
      <w:r w:rsidR="00541C00" w:rsidRPr="00C3564D">
        <w:rPr>
          <w:lang w:val="en-GB"/>
        </w:rPr>
        <w:t>he committee concluded that nivolumab improves overall survival</w:t>
      </w:r>
      <w:r w:rsidR="00B37266">
        <w:rPr>
          <w:lang w:val="en-GB"/>
        </w:rPr>
        <w:t xml:space="preserve"> despite a greater death rate in the first 3</w:t>
      </w:r>
      <w:r w:rsidR="00C66970">
        <w:rPr>
          <w:lang w:val="en-GB"/>
        </w:rPr>
        <w:t> </w:t>
      </w:r>
      <w:r w:rsidR="00B37266">
        <w:rPr>
          <w:lang w:val="en-GB"/>
        </w:rPr>
        <w:t>months</w:t>
      </w:r>
      <w:r w:rsidR="00541C00" w:rsidRPr="00C3564D">
        <w:rPr>
          <w:lang w:val="en-GB"/>
        </w:rPr>
        <w:t>.</w:t>
      </w:r>
    </w:p>
    <w:p w14:paraId="0C5562E7" w14:textId="1BBB826F" w:rsidR="001A0A91" w:rsidRDefault="001A0A91" w:rsidP="008F5BF9">
      <w:pPr>
        <w:pStyle w:val="Heading2"/>
      </w:pPr>
      <w:r w:rsidRPr="00C3564D">
        <w:lastRenderedPageBreak/>
        <w:t>Adverse events</w:t>
      </w:r>
    </w:p>
    <w:p w14:paraId="0387A4B5" w14:textId="0BA56C02" w:rsidR="008F5BF9" w:rsidRPr="00285DBD" w:rsidRDefault="00450C9B" w:rsidP="00285DBD">
      <w:pPr>
        <w:pStyle w:val="Heading3"/>
      </w:pPr>
      <w:r>
        <w:t xml:space="preserve">Nivolumab is better tolerated than </w:t>
      </w:r>
      <w:proofErr w:type="spellStart"/>
      <w:r>
        <w:t>taxanes</w:t>
      </w:r>
      <w:proofErr w:type="spellEnd"/>
      <w:r>
        <w:t>, but immunotherapies can cause significant side effects</w:t>
      </w:r>
    </w:p>
    <w:p w14:paraId="41F50E18" w14:textId="43A267AF" w:rsidR="001A0A91" w:rsidRDefault="00B51260" w:rsidP="00816BA8">
      <w:pPr>
        <w:pStyle w:val="Numberedlevel2text"/>
        <w:rPr>
          <w:lang w:val="en-GB"/>
        </w:rPr>
      </w:pPr>
      <w:r w:rsidRPr="00C3564D">
        <w:rPr>
          <w:lang w:val="en-GB"/>
        </w:rPr>
        <w:t xml:space="preserve">Fewer patients experienced drug-related adverse events in the nivolumab group compared with </w:t>
      </w:r>
      <w:proofErr w:type="spellStart"/>
      <w:r w:rsidR="006079DC" w:rsidRPr="00C3564D">
        <w:rPr>
          <w:lang w:val="en-GB"/>
        </w:rPr>
        <w:t>taxanes</w:t>
      </w:r>
      <w:proofErr w:type="spellEnd"/>
      <w:r w:rsidRPr="00C3564D">
        <w:rPr>
          <w:lang w:val="en-GB"/>
        </w:rPr>
        <w:t xml:space="preserve"> in the clinical trial</w:t>
      </w:r>
      <w:r w:rsidR="00AE2154" w:rsidRPr="00C3564D">
        <w:rPr>
          <w:lang w:val="en-GB"/>
        </w:rPr>
        <w:t xml:space="preserve"> </w:t>
      </w:r>
      <w:r w:rsidR="002E785F" w:rsidRPr="00C3564D">
        <w:rPr>
          <w:lang w:val="en-GB"/>
        </w:rPr>
        <w:t>(the data cannot be reported here because the company submitted it as academic in confidence).</w:t>
      </w:r>
      <w:r w:rsidR="002E785F" w:rsidRPr="00C3564D">
        <w:rPr>
          <w:color w:val="FF0000"/>
          <w:lang w:val="en-GB"/>
        </w:rPr>
        <w:t xml:space="preserve"> </w:t>
      </w:r>
      <w:r w:rsidR="001A0A91" w:rsidRPr="00C3564D">
        <w:rPr>
          <w:lang w:val="en-GB"/>
        </w:rPr>
        <w:t xml:space="preserve">The clinical experts agreed that nivolumab is better tolerated than </w:t>
      </w:r>
      <w:proofErr w:type="spellStart"/>
      <w:r w:rsidR="001A0A91" w:rsidRPr="00C3564D">
        <w:rPr>
          <w:lang w:val="en-GB"/>
        </w:rPr>
        <w:t>taxanes</w:t>
      </w:r>
      <w:proofErr w:type="spellEnd"/>
      <w:r w:rsidR="008F51A3" w:rsidRPr="00C3564D">
        <w:rPr>
          <w:lang w:val="en-GB"/>
        </w:rPr>
        <w:t xml:space="preserve">, and </w:t>
      </w:r>
      <w:r w:rsidR="00D13F4D" w:rsidRPr="00C3564D">
        <w:rPr>
          <w:lang w:val="en-GB"/>
        </w:rPr>
        <w:t xml:space="preserve">that </w:t>
      </w:r>
      <w:proofErr w:type="spellStart"/>
      <w:r w:rsidR="00D13F4D" w:rsidRPr="00C3564D">
        <w:rPr>
          <w:lang w:val="en-GB"/>
        </w:rPr>
        <w:t>taxane</w:t>
      </w:r>
      <w:proofErr w:type="spellEnd"/>
      <w:r w:rsidR="00D13F4D" w:rsidRPr="00C3564D">
        <w:rPr>
          <w:lang w:val="en-GB"/>
        </w:rPr>
        <w:t xml:space="preserve"> therapy can be associated with long-term adverse events, such as neuropathy of the hands and feet. </w:t>
      </w:r>
      <w:r w:rsidR="001A0A91" w:rsidRPr="00C3564D">
        <w:rPr>
          <w:lang w:val="en-GB"/>
        </w:rPr>
        <w:t xml:space="preserve">The NHS England clinical lead noted that nivolumab is </w:t>
      </w:r>
      <w:r w:rsidR="00D13F4D" w:rsidRPr="00C3564D">
        <w:rPr>
          <w:lang w:val="en-GB"/>
        </w:rPr>
        <w:t xml:space="preserve">also </w:t>
      </w:r>
      <w:r w:rsidR="001A0A91" w:rsidRPr="00C3564D">
        <w:rPr>
          <w:lang w:val="en-GB"/>
        </w:rPr>
        <w:t xml:space="preserve">associated with rare but potentially life-threating gastrointestinal, renal, </w:t>
      </w:r>
      <w:proofErr w:type="gramStart"/>
      <w:r w:rsidR="001A0A91" w:rsidRPr="00C3564D">
        <w:rPr>
          <w:lang w:val="en-GB"/>
        </w:rPr>
        <w:t>endocrine</w:t>
      </w:r>
      <w:proofErr w:type="gramEnd"/>
      <w:r w:rsidR="001A0A91" w:rsidRPr="00C3564D">
        <w:rPr>
          <w:lang w:val="en-GB"/>
        </w:rPr>
        <w:t xml:space="preserve"> and hepatic adverse events.</w:t>
      </w:r>
      <w:r w:rsidR="00D13F4D" w:rsidRPr="00C3564D">
        <w:rPr>
          <w:lang w:val="en-GB"/>
        </w:rPr>
        <w:t xml:space="preserve"> </w:t>
      </w:r>
      <w:r w:rsidR="001A0A91" w:rsidRPr="00C3564D">
        <w:rPr>
          <w:lang w:val="en-GB"/>
        </w:rPr>
        <w:t xml:space="preserve">The clinical expert commented that there are standard guidelines for managing immunotoxicity associated with </w:t>
      </w:r>
      <w:r w:rsidR="00C53A3C">
        <w:rPr>
          <w:lang w:val="en-GB"/>
        </w:rPr>
        <w:t>treatments</w:t>
      </w:r>
      <w:r w:rsidR="00C53A3C" w:rsidRPr="00C3564D">
        <w:rPr>
          <w:lang w:val="en-GB"/>
        </w:rPr>
        <w:t xml:space="preserve"> </w:t>
      </w:r>
      <w:r w:rsidR="001A0A91" w:rsidRPr="00C3564D">
        <w:rPr>
          <w:lang w:val="en-GB"/>
        </w:rPr>
        <w:t>like nivolumab</w:t>
      </w:r>
      <w:r w:rsidR="00C53A3C">
        <w:rPr>
          <w:lang w:val="en-GB"/>
        </w:rPr>
        <w:t>,</w:t>
      </w:r>
      <w:r w:rsidR="001A0A91" w:rsidRPr="00C3564D">
        <w:rPr>
          <w:lang w:val="en-GB"/>
        </w:rPr>
        <w:t xml:space="preserve"> which are well managed in clinical practice.</w:t>
      </w:r>
      <w:r w:rsidRPr="00C3564D">
        <w:rPr>
          <w:lang w:val="en-GB"/>
        </w:rPr>
        <w:t xml:space="preserve"> The committee concluded that nivolumab is better tolerated than </w:t>
      </w:r>
      <w:proofErr w:type="spellStart"/>
      <w:r w:rsidRPr="00C3564D">
        <w:rPr>
          <w:lang w:val="en-GB"/>
        </w:rPr>
        <w:t>taxanes</w:t>
      </w:r>
      <w:proofErr w:type="spellEnd"/>
      <w:r w:rsidR="00AE2154" w:rsidRPr="00C3564D">
        <w:rPr>
          <w:lang w:val="en-GB"/>
        </w:rPr>
        <w:t>, but immunotherapies can cause significant immune-related side effects</w:t>
      </w:r>
      <w:r w:rsidRPr="00C3564D">
        <w:rPr>
          <w:lang w:val="en-GB"/>
        </w:rPr>
        <w:t>.</w:t>
      </w:r>
    </w:p>
    <w:p w14:paraId="629EBA59" w14:textId="7526C230" w:rsidR="008A3C5F" w:rsidRPr="00C3564D" w:rsidRDefault="00347123" w:rsidP="00347123">
      <w:pPr>
        <w:pStyle w:val="Heading2"/>
      </w:pPr>
      <w:r>
        <w:t>Co</w:t>
      </w:r>
      <w:r w:rsidR="008A3C5F">
        <w:t>mparator</w:t>
      </w:r>
    </w:p>
    <w:p w14:paraId="56F92D35" w14:textId="4D518D0D" w:rsidR="00D63C5F" w:rsidRPr="00C3564D" w:rsidRDefault="006079DC" w:rsidP="00163344">
      <w:pPr>
        <w:pStyle w:val="Heading3"/>
      </w:pPr>
      <w:proofErr w:type="spellStart"/>
      <w:r w:rsidRPr="00C3564D">
        <w:t>Taxane</w:t>
      </w:r>
      <w:proofErr w:type="spellEnd"/>
      <w:r w:rsidRPr="00C3564D">
        <w:t xml:space="preserve"> chemotherapy is the relevant comparator</w:t>
      </w:r>
    </w:p>
    <w:p w14:paraId="475A46E0" w14:textId="138767D5" w:rsidR="00D63C5F" w:rsidRPr="00C3564D" w:rsidRDefault="00D63C5F" w:rsidP="00D63C5F">
      <w:pPr>
        <w:pStyle w:val="Numberedlevel2text"/>
        <w:rPr>
          <w:lang w:val="en-GB"/>
        </w:rPr>
      </w:pPr>
      <w:r w:rsidRPr="00C3564D">
        <w:rPr>
          <w:lang w:val="en-GB"/>
        </w:rPr>
        <w:t xml:space="preserve">The clinical trial compared nivolumab with a combined </w:t>
      </w:r>
      <w:proofErr w:type="spellStart"/>
      <w:r w:rsidRPr="00C3564D">
        <w:rPr>
          <w:lang w:val="en-GB"/>
        </w:rPr>
        <w:t>taxane</w:t>
      </w:r>
      <w:proofErr w:type="spellEnd"/>
      <w:r w:rsidRPr="00C3564D">
        <w:rPr>
          <w:lang w:val="en-GB"/>
        </w:rPr>
        <w:t xml:space="preserve"> arm </w:t>
      </w:r>
      <w:r w:rsidR="00AE2154" w:rsidRPr="00C3564D">
        <w:rPr>
          <w:lang w:val="en-GB"/>
        </w:rPr>
        <w:t>(</w:t>
      </w:r>
      <w:r w:rsidRPr="00C3564D">
        <w:rPr>
          <w:lang w:val="en-GB"/>
        </w:rPr>
        <w:t>paclitaxel and docetaxel</w:t>
      </w:r>
      <w:r w:rsidR="00AE2154" w:rsidRPr="00C3564D">
        <w:rPr>
          <w:lang w:val="en-GB"/>
        </w:rPr>
        <w:t>)</w:t>
      </w:r>
      <w:r w:rsidRPr="00C3564D">
        <w:rPr>
          <w:lang w:val="en-GB"/>
        </w:rPr>
        <w:t xml:space="preserve">. The clinical experts and NHS England clinical lead agreed that there is a class effect for </w:t>
      </w:r>
      <w:proofErr w:type="spellStart"/>
      <w:r w:rsidRPr="00C3564D">
        <w:rPr>
          <w:lang w:val="en-GB"/>
        </w:rPr>
        <w:t>taxanes</w:t>
      </w:r>
      <w:proofErr w:type="spellEnd"/>
      <w:r w:rsidR="00AE2154" w:rsidRPr="00C3564D">
        <w:rPr>
          <w:lang w:val="en-GB"/>
        </w:rPr>
        <w:t xml:space="preserve">, </w:t>
      </w:r>
      <w:r w:rsidR="005631E7" w:rsidRPr="00C3564D">
        <w:rPr>
          <w:lang w:val="en-GB"/>
        </w:rPr>
        <w:t>both</w:t>
      </w:r>
      <w:r w:rsidR="001A0A91" w:rsidRPr="00C3564D">
        <w:rPr>
          <w:lang w:val="en-GB"/>
        </w:rPr>
        <w:t xml:space="preserve"> </w:t>
      </w:r>
      <w:r w:rsidR="007B66F7" w:rsidRPr="00C3564D">
        <w:rPr>
          <w:lang w:val="en-GB"/>
        </w:rPr>
        <w:t>in efficacy and side</w:t>
      </w:r>
      <w:r w:rsidR="00B27F24">
        <w:rPr>
          <w:lang w:val="en-GB"/>
        </w:rPr>
        <w:t>-</w:t>
      </w:r>
      <w:r w:rsidR="007B66F7" w:rsidRPr="00C3564D">
        <w:rPr>
          <w:lang w:val="en-GB"/>
        </w:rPr>
        <w:t>effect profile</w:t>
      </w:r>
      <w:r w:rsidR="001A0A91" w:rsidRPr="00C3564D">
        <w:rPr>
          <w:lang w:val="en-GB"/>
        </w:rPr>
        <w:t>. Best supportive care was not considered to be a relevant comparator</w:t>
      </w:r>
      <w:r w:rsidR="008F51A3" w:rsidRPr="00C3564D">
        <w:rPr>
          <w:lang w:val="en-GB"/>
        </w:rPr>
        <w:t xml:space="preserve">, </w:t>
      </w:r>
      <w:r w:rsidR="00493410">
        <w:rPr>
          <w:lang w:val="en-GB"/>
        </w:rPr>
        <w:t>because</w:t>
      </w:r>
      <w:r w:rsidR="00453AC7" w:rsidRPr="00C3564D">
        <w:rPr>
          <w:lang w:val="en-GB"/>
        </w:rPr>
        <w:t xml:space="preserve"> </w:t>
      </w:r>
      <w:r w:rsidR="001A0A91" w:rsidRPr="00C3564D">
        <w:rPr>
          <w:lang w:val="en-GB"/>
        </w:rPr>
        <w:t xml:space="preserve">people who are not well enough to tolerate </w:t>
      </w:r>
      <w:proofErr w:type="spellStart"/>
      <w:r w:rsidR="001A0A91" w:rsidRPr="00C3564D">
        <w:rPr>
          <w:lang w:val="en-GB"/>
        </w:rPr>
        <w:t>taxane</w:t>
      </w:r>
      <w:proofErr w:type="spellEnd"/>
      <w:r w:rsidR="001A0A91" w:rsidRPr="00C3564D">
        <w:rPr>
          <w:lang w:val="en-GB"/>
        </w:rPr>
        <w:t xml:space="preserve"> therapy are </w:t>
      </w:r>
      <w:r w:rsidR="001E7089" w:rsidRPr="00C3564D">
        <w:rPr>
          <w:lang w:val="en-GB"/>
        </w:rPr>
        <w:t>unlikely to benefit from</w:t>
      </w:r>
      <w:r w:rsidR="001A0A91" w:rsidRPr="00C3564D">
        <w:rPr>
          <w:lang w:val="en-GB"/>
        </w:rPr>
        <w:t xml:space="preserve"> nivolumab. The committee concluded that the relevant comparator for nivolumab therapy is </w:t>
      </w:r>
      <w:proofErr w:type="spellStart"/>
      <w:r w:rsidR="009615CA" w:rsidRPr="00C3564D">
        <w:rPr>
          <w:lang w:val="en-GB"/>
        </w:rPr>
        <w:t>taxane</w:t>
      </w:r>
      <w:proofErr w:type="spellEnd"/>
      <w:r w:rsidR="009615CA" w:rsidRPr="00C3564D">
        <w:rPr>
          <w:lang w:val="en-GB"/>
        </w:rPr>
        <w:t xml:space="preserve"> chemotherapy</w:t>
      </w:r>
      <w:r w:rsidR="001A0A91" w:rsidRPr="00C3564D">
        <w:rPr>
          <w:lang w:val="en-GB"/>
        </w:rPr>
        <w:t>.</w:t>
      </w:r>
    </w:p>
    <w:p w14:paraId="1C1ECA61" w14:textId="2B39BA07" w:rsidR="0003696E" w:rsidRPr="00C3564D" w:rsidRDefault="0003696E" w:rsidP="00C72608">
      <w:pPr>
        <w:pStyle w:val="Heading2"/>
      </w:pPr>
      <w:r w:rsidRPr="00C3564D">
        <w:lastRenderedPageBreak/>
        <w:t>Cost</w:t>
      </w:r>
      <w:r w:rsidR="00347123">
        <w:t xml:space="preserve"> </w:t>
      </w:r>
      <w:r w:rsidRPr="00C3564D">
        <w:t>effectiveness</w:t>
      </w:r>
    </w:p>
    <w:p w14:paraId="583AF22F" w14:textId="1972FEDF" w:rsidR="009B3AA9" w:rsidRPr="00C3564D" w:rsidRDefault="00C72608" w:rsidP="009B3AA9">
      <w:pPr>
        <w:pStyle w:val="Heading3"/>
      </w:pPr>
      <w:r w:rsidRPr="00C3564D">
        <w:t>There is uncertainty over the method of extrapolating</w:t>
      </w:r>
      <w:r w:rsidR="00995296" w:rsidRPr="00C3564D">
        <w:t xml:space="preserve"> overall survival</w:t>
      </w:r>
    </w:p>
    <w:p w14:paraId="4C66DEEC" w14:textId="6548621B" w:rsidR="009B3AA9" w:rsidRPr="00C3564D" w:rsidRDefault="00C72608" w:rsidP="009B3AA9">
      <w:pPr>
        <w:pStyle w:val="Numberedlevel2text"/>
        <w:rPr>
          <w:lang w:val="en-GB"/>
        </w:rPr>
      </w:pPr>
      <w:r w:rsidRPr="00C3564D">
        <w:rPr>
          <w:lang w:val="en-GB"/>
        </w:rPr>
        <w:t>The company used a</w:t>
      </w:r>
      <w:r w:rsidR="009B3AA9" w:rsidRPr="00C3564D">
        <w:rPr>
          <w:lang w:val="en-GB"/>
        </w:rPr>
        <w:t xml:space="preserve"> semi-parametric approach to model overall survival to capture the changing risk of death </w:t>
      </w:r>
      <w:proofErr w:type="spellStart"/>
      <w:r w:rsidR="009B3AA9" w:rsidRPr="00C3564D">
        <w:rPr>
          <w:lang w:val="en-GB"/>
        </w:rPr>
        <w:t>over time</w:t>
      </w:r>
      <w:proofErr w:type="spellEnd"/>
      <w:r w:rsidR="009B3AA9" w:rsidRPr="00C3564D">
        <w:rPr>
          <w:lang w:val="en-GB"/>
        </w:rPr>
        <w:t xml:space="preserve"> with nivolumab treatment. Kaplan</w:t>
      </w:r>
      <w:r w:rsidR="00E13168">
        <w:rPr>
          <w:rFonts w:cs="Arial"/>
          <w:lang w:val="en-GB"/>
        </w:rPr>
        <w:t>−</w:t>
      </w:r>
      <w:r w:rsidR="00E13168">
        <w:rPr>
          <w:lang w:val="en-GB"/>
        </w:rPr>
        <w:t>M</w:t>
      </w:r>
      <w:r w:rsidR="009B3AA9" w:rsidRPr="00C3564D">
        <w:rPr>
          <w:lang w:val="en-GB"/>
        </w:rPr>
        <w:t xml:space="preserve">eier </w:t>
      </w:r>
      <w:r w:rsidR="00345ADE">
        <w:rPr>
          <w:lang w:val="en-GB"/>
        </w:rPr>
        <w:t>curves from the trial were</w:t>
      </w:r>
      <w:r w:rsidR="009B3AA9" w:rsidRPr="00C3564D">
        <w:rPr>
          <w:lang w:val="en-GB"/>
        </w:rPr>
        <w:t xml:space="preserve"> used</w:t>
      </w:r>
      <w:r w:rsidR="00345ADE">
        <w:rPr>
          <w:lang w:val="en-GB"/>
        </w:rPr>
        <w:t xml:space="preserve"> in both groups up to</w:t>
      </w:r>
      <w:r w:rsidR="009B3AA9" w:rsidRPr="00C3564D">
        <w:rPr>
          <w:lang w:val="en-GB"/>
        </w:rPr>
        <w:t xml:space="preserve"> 2.99</w:t>
      </w:r>
      <w:r w:rsidR="00D349EB">
        <w:rPr>
          <w:lang w:val="en-GB"/>
        </w:rPr>
        <w:t> </w:t>
      </w:r>
      <w:r w:rsidR="009B3AA9" w:rsidRPr="00C3564D">
        <w:rPr>
          <w:lang w:val="en-GB"/>
        </w:rPr>
        <w:t>months</w:t>
      </w:r>
      <w:r w:rsidR="00D349EB">
        <w:rPr>
          <w:lang w:val="en-GB"/>
        </w:rPr>
        <w:t>.</w:t>
      </w:r>
      <w:r w:rsidR="00345ADE">
        <w:rPr>
          <w:lang w:val="en-GB"/>
        </w:rPr>
        <w:t xml:space="preserve"> </w:t>
      </w:r>
      <w:r w:rsidR="00D349EB">
        <w:rPr>
          <w:lang w:val="en-GB"/>
        </w:rPr>
        <w:t>Then</w:t>
      </w:r>
      <w:r w:rsidR="00345ADE">
        <w:rPr>
          <w:lang w:val="en-GB"/>
        </w:rPr>
        <w:t xml:space="preserve"> parametric extrapolation</w:t>
      </w:r>
      <w:r w:rsidR="00D349EB">
        <w:rPr>
          <w:lang w:val="en-GB"/>
        </w:rPr>
        <w:t xml:space="preserve"> was used</w:t>
      </w:r>
      <w:r w:rsidR="00345ADE">
        <w:rPr>
          <w:lang w:val="en-GB"/>
        </w:rPr>
        <w:t xml:space="preserve"> based on </w:t>
      </w:r>
      <w:r w:rsidR="003D772C">
        <w:rPr>
          <w:lang w:val="en-GB"/>
        </w:rPr>
        <w:t>a</w:t>
      </w:r>
      <w:r w:rsidR="009B3AA9" w:rsidRPr="00C3564D">
        <w:rPr>
          <w:lang w:val="en-GB"/>
        </w:rPr>
        <w:t xml:space="preserve"> log-logistic </w:t>
      </w:r>
      <w:r w:rsidR="00345ADE">
        <w:rPr>
          <w:lang w:val="en-GB"/>
        </w:rPr>
        <w:t>distribution in</w:t>
      </w:r>
      <w:r w:rsidR="009B3AA9" w:rsidRPr="00C3564D">
        <w:rPr>
          <w:lang w:val="en-GB"/>
        </w:rPr>
        <w:t xml:space="preserve"> the nivolumab arm and </w:t>
      </w:r>
      <w:r w:rsidR="003D772C">
        <w:rPr>
          <w:lang w:val="en-GB"/>
        </w:rPr>
        <w:t>an</w:t>
      </w:r>
      <w:r w:rsidR="00345ADE">
        <w:rPr>
          <w:lang w:val="en-GB"/>
        </w:rPr>
        <w:t xml:space="preserve"> </w:t>
      </w:r>
      <w:r w:rsidR="009B3AA9" w:rsidRPr="00C3564D">
        <w:rPr>
          <w:lang w:val="en-GB"/>
        </w:rPr>
        <w:t xml:space="preserve">exponential </w:t>
      </w:r>
      <w:r w:rsidR="00345ADE">
        <w:rPr>
          <w:lang w:val="en-GB"/>
        </w:rPr>
        <w:t xml:space="preserve">distribution in </w:t>
      </w:r>
      <w:r w:rsidR="009B3AA9" w:rsidRPr="00C3564D">
        <w:rPr>
          <w:lang w:val="en-GB"/>
        </w:rPr>
        <w:t xml:space="preserve">the </w:t>
      </w:r>
      <w:proofErr w:type="spellStart"/>
      <w:r w:rsidR="009B3AA9" w:rsidRPr="00C3564D">
        <w:rPr>
          <w:lang w:val="en-GB"/>
        </w:rPr>
        <w:t>taxane</w:t>
      </w:r>
      <w:proofErr w:type="spellEnd"/>
      <w:r w:rsidR="009B3AA9" w:rsidRPr="00C3564D">
        <w:rPr>
          <w:lang w:val="en-GB"/>
        </w:rPr>
        <w:t xml:space="preserve"> arm. </w:t>
      </w:r>
      <w:r w:rsidR="00E566CC" w:rsidRPr="00C3564D">
        <w:rPr>
          <w:lang w:val="en-GB"/>
        </w:rPr>
        <w:t xml:space="preserve">The ERG used </w:t>
      </w:r>
      <w:r w:rsidR="003721A1" w:rsidRPr="00C3564D">
        <w:rPr>
          <w:lang w:val="en-GB"/>
        </w:rPr>
        <w:t xml:space="preserve">the </w:t>
      </w:r>
      <w:r w:rsidR="00E566CC" w:rsidRPr="00C3564D">
        <w:rPr>
          <w:lang w:val="en-GB"/>
        </w:rPr>
        <w:t>Kaplan</w:t>
      </w:r>
      <w:r w:rsidR="001B4448">
        <w:rPr>
          <w:rFonts w:cs="Arial"/>
          <w:lang w:val="en-GB"/>
        </w:rPr>
        <w:t>−</w:t>
      </w:r>
      <w:r w:rsidR="00E566CC" w:rsidRPr="00C3564D">
        <w:rPr>
          <w:lang w:val="en-GB"/>
        </w:rPr>
        <w:t>Meier curve</w:t>
      </w:r>
      <w:r w:rsidR="008F51A3" w:rsidRPr="00C3564D">
        <w:rPr>
          <w:lang w:val="en-GB"/>
        </w:rPr>
        <w:t>s</w:t>
      </w:r>
      <w:r w:rsidR="00E566CC" w:rsidRPr="00C3564D">
        <w:rPr>
          <w:lang w:val="en-GB"/>
        </w:rPr>
        <w:t xml:space="preserve"> with a cut-point at 5.75</w:t>
      </w:r>
      <w:r w:rsidR="006E324E">
        <w:rPr>
          <w:lang w:val="en-GB"/>
        </w:rPr>
        <w:t> </w:t>
      </w:r>
      <w:r w:rsidR="00E566CC" w:rsidRPr="00C3564D">
        <w:rPr>
          <w:lang w:val="en-GB"/>
        </w:rPr>
        <w:t xml:space="preserve">months and then </w:t>
      </w:r>
      <w:r w:rsidR="004C7397">
        <w:rPr>
          <w:lang w:val="en-GB"/>
        </w:rPr>
        <w:t xml:space="preserve">used </w:t>
      </w:r>
      <w:r w:rsidR="00E566CC" w:rsidRPr="00C3564D">
        <w:rPr>
          <w:lang w:val="en-GB"/>
        </w:rPr>
        <w:t>a generalised</w:t>
      </w:r>
      <w:r w:rsidR="00B27F24">
        <w:rPr>
          <w:lang w:val="en-GB"/>
        </w:rPr>
        <w:t xml:space="preserve"> </w:t>
      </w:r>
      <w:r w:rsidR="00E566CC" w:rsidRPr="00C3564D">
        <w:rPr>
          <w:lang w:val="en-GB"/>
        </w:rPr>
        <w:t xml:space="preserve">gamma </w:t>
      </w:r>
      <w:r w:rsidR="00082AFF" w:rsidRPr="00C3564D">
        <w:rPr>
          <w:lang w:val="en-GB"/>
        </w:rPr>
        <w:t xml:space="preserve">extrapolation </w:t>
      </w:r>
      <w:r w:rsidR="00E566CC" w:rsidRPr="00C3564D">
        <w:rPr>
          <w:lang w:val="en-GB"/>
        </w:rPr>
        <w:t>for both arms</w:t>
      </w:r>
      <w:r w:rsidR="00C215D1" w:rsidRPr="00C3564D">
        <w:rPr>
          <w:lang w:val="en-GB"/>
        </w:rPr>
        <w:t>.</w:t>
      </w:r>
      <w:r w:rsidR="00E566CC" w:rsidRPr="00C3564D">
        <w:rPr>
          <w:lang w:val="en-GB"/>
        </w:rPr>
        <w:t xml:space="preserve"> </w:t>
      </w:r>
      <w:r w:rsidR="006E324E">
        <w:rPr>
          <w:lang w:val="en-GB"/>
        </w:rPr>
        <w:t>It</w:t>
      </w:r>
      <w:r w:rsidR="00E566CC" w:rsidRPr="00C3564D">
        <w:rPr>
          <w:lang w:val="en-GB"/>
        </w:rPr>
        <w:t xml:space="preserve"> </w:t>
      </w:r>
      <w:r w:rsidR="00345ADE">
        <w:rPr>
          <w:lang w:val="en-GB"/>
        </w:rPr>
        <w:t xml:space="preserve">chose </w:t>
      </w:r>
      <w:r w:rsidR="002E785F" w:rsidRPr="00C3564D">
        <w:rPr>
          <w:lang w:val="en-GB"/>
        </w:rPr>
        <w:t xml:space="preserve">a </w:t>
      </w:r>
      <w:r w:rsidR="00420315" w:rsidRPr="00C3564D">
        <w:rPr>
          <w:lang w:val="en-GB"/>
        </w:rPr>
        <w:t xml:space="preserve">later </w:t>
      </w:r>
      <w:r w:rsidR="002E785F" w:rsidRPr="00C3564D">
        <w:rPr>
          <w:lang w:val="en-GB"/>
        </w:rPr>
        <w:t>point</w:t>
      </w:r>
      <w:r w:rsidR="00345ADE">
        <w:rPr>
          <w:lang w:val="en-GB"/>
        </w:rPr>
        <w:t xml:space="preserve"> at which to switch from the Kaplan</w:t>
      </w:r>
      <w:r w:rsidR="006E324E">
        <w:rPr>
          <w:rFonts w:cs="Arial"/>
          <w:lang w:val="en-GB"/>
        </w:rPr>
        <w:t>−</w:t>
      </w:r>
      <w:r w:rsidR="00345ADE">
        <w:rPr>
          <w:lang w:val="en-GB"/>
        </w:rPr>
        <w:t>Meier curves to parametric extrapolation</w:t>
      </w:r>
      <w:r w:rsidR="003D772C">
        <w:rPr>
          <w:lang w:val="en-GB"/>
        </w:rPr>
        <w:t xml:space="preserve"> so that this was at a point </w:t>
      </w:r>
      <w:r w:rsidR="00345ADE">
        <w:rPr>
          <w:lang w:val="en-GB"/>
        </w:rPr>
        <w:t xml:space="preserve">after the overall survival </w:t>
      </w:r>
      <w:r w:rsidR="003D772C">
        <w:rPr>
          <w:lang w:val="en-GB"/>
        </w:rPr>
        <w:t>curves</w:t>
      </w:r>
      <w:r w:rsidR="00345ADE">
        <w:rPr>
          <w:lang w:val="en-GB"/>
        </w:rPr>
        <w:t xml:space="preserve"> cross</w:t>
      </w:r>
      <w:r w:rsidR="003D772C">
        <w:rPr>
          <w:lang w:val="en-GB"/>
        </w:rPr>
        <w:t>ed</w:t>
      </w:r>
      <w:r w:rsidR="00345ADE">
        <w:rPr>
          <w:lang w:val="en-GB"/>
        </w:rPr>
        <w:t>, and</w:t>
      </w:r>
      <w:r w:rsidR="003D772C">
        <w:rPr>
          <w:lang w:val="en-GB"/>
        </w:rPr>
        <w:t xml:space="preserve"> also</w:t>
      </w:r>
      <w:r w:rsidR="00345ADE">
        <w:rPr>
          <w:lang w:val="en-GB"/>
        </w:rPr>
        <w:t xml:space="preserve"> to maximise the use of </w:t>
      </w:r>
      <w:r w:rsidR="003D772C">
        <w:rPr>
          <w:lang w:val="en-GB"/>
        </w:rPr>
        <w:t xml:space="preserve">clinical </w:t>
      </w:r>
      <w:r w:rsidR="00345ADE">
        <w:rPr>
          <w:lang w:val="en-GB"/>
        </w:rPr>
        <w:t>data from the trial.</w:t>
      </w:r>
      <w:r w:rsidR="002E785F" w:rsidRPr="00C3564D">
        <w:rPr>
          <w:lang w:val="en-GB"/>
        </w:rPr>
        <w:t xml:space="preserve"> </w:t>
      </w:r>
      <w:r w:rsidR="00F02021" w:rsidRPr="00C3564D">
        <w:rPr>
          <w:lang w:val="en-GB"/>
        </w:rPr>
        <w:t xml:space="preserve">The ERG </w:t>
      </w:r>
      <w:r w:rsidR="00F512F6" w:rsidRPr="00C3564D">
        <w:rPr>
          <w:lang w:val="en-GB"/>
        </w:rPr>
        <w:t xml:space="preserve">also </w:t>
      </w:r>
      <w:r w:rsidR="00F02021" w:rsidRPr="00C3564D">
        <w:rPr>
          <w:lang w:val="en-GB"/>
        </w:rPr>
        <w:t xml:space="preserve">commented that </w:t>
      </w:r>
      <w:r w:rsidR="00345ADE">
        <w:rPr>
          <w:lang w:val="en-GB"/>
        </w:rPr>
        <w:t xml:space="preserve">the </w:t>
      </w:r>
      <w:r w:rsidR="00F02021" w:rsidRPr="00C3564D">
        <w:rPr>
          <w:lang w:val="en-GB"/>
        </w:rPr>
        <w:t xml:space="preserve">choice of extrapolation </w:t>
      </w:r>
      <w:r w:rsidR="00345ADE">
        <w:rPr>
          <w:lang w:val="en-GB"/>
        </w:rPr>
        <w:t xml:space="preserve">method </w:t>
      </w:r>
      <w:r w:rsidR="00F02021" w:rsidRPr="00C3564D">
        <w:rPr>
          <w:lang w:val="en-GB"/>
        </w:rPr>
        <w:t>should be informed by visual fit to</w:t>
      </w:r>
      <w:r w:rsidR="002C71A9">
        <w:rPr>
          <w:lang w:val="en-GB"/>
        </w:rPr>
        <w:t xml:space="preserve"> the</w:t>
      </w:r>
      <w:r w:rsidR="00F02021" w:rsidRPr="00C3564D">
        <w:rPr>
          <w:lang w:val="en-GB"/>
        </w:rPr>
        <w:t xml:space="preserve"> Kaplan</w:t>
      </w:r>
      <w:r w:rsidR="002C71A9">
        <w:rPr>
          <w:rFonts w:cs="Arial"/>
          <w:lang w:val="en-GB"/>
        </w:rPr>
        <w:t>−</w:t>
      </w:r>
      <w:r w:rsidR="00F02021" w:rsidRPr="00C3564D">
        <w:rPr>
          <w:lang w:val="en-GB"/>
        </w:rPr>
        <w:t>Meier curve, goodness</w:t>
      </w:r>
      <w:r w:rsidR="00347123">
        <w:rPr>
          <w:lang w:val="en-GB"/>
        </w:rPr>
        <w:t>-</w:t>
      </w:r>
      <w:r w:rsidR="00F02021" w:rsidRPr="00C3564D">
        <w:rPr>
          <w:lang w:val="en-GB"/>
        </w:rPr>
        <w:t>of</w:t>
      </w:r>
      <w:r w:rsidR="00347123">
        <w:rPr>
          <w:lang w:val="en-GB"/>
        </w:rPr>
        <w:t>-</w:t>
      </w:r>
      <w:r w:rsidR="00F02021" w:rsidRPr="00C3564D">
        <w:rPr>
          <w:lang w:val="en-GB"/>
        </w:rPr>
        <w:t xml:space="preserve">fit </w:t>
      </w:r>
      <w:proofErr w:type="gramStart"/>
      <w:r w:rsidR="00F02021" w:rsidRPr="00C3564D">
        <w:rPr>
          <w:lang w:val="en-GB"/>
        </w:rPr>
        <w:t>statistics</w:t>
      </w:r>
      <w:proofErr w:type="gramEnd"/>
      <w:r w:rsidR="00F02021" w:rsidRPr="00C3564D">
        <w:rPr>
          <w:lang w:val="en-GB"/>
        </w:rPr>
        <w:t xml:space="preserve"> and clinical plausibility.</w:t>
      </w:r>
      <w:r w:rsidR="002E785F" w:rsidRPr="00C3564D">
        <w:rPr>
          <w:lang w:val="en-GB"/>
        </w:rPr>
        <w:t xml:space="preserve"> </w:t>
      </w:r>
      <w:r w:rsidR="00A574D5">
        <w:rPr>
          <w:lang w:val="en-GB"/>
        </w:rPr>
        <w:t>It</w:t>
      </w:r>
      <w:r w:rsidR="00C215D1" w:rsidRPr="00C3564D">
        <w:rPr>
          <w:lang w:val="en-GB"/>
        </w:rPr>
        <w:t xml:space="preserve"> considered that</w:t>
      </w:r>
      <w:r w:rsidR="0078247F" w:rsidRPr="00C3564D">
        <w:rPr>
          <w:lang w:val="en-GB"/>
        </w:rPr>
        <w:t xml:space="preserve"> a generali</w:t>
      </w:r>
      <w:r w:rsidR="00347123">
        <w:rPr>
          <w:lang w:val="en-GB"/>
        </w:rPr>
        <w:t>s</w:t>
      </w:r>
      <w:r w:rsidR="0078247F" w:rsidRPr="00C3564D">
        <w:rPr>
          <w:lang w:val="en-GB"/>
        </w:rPr>
        <w:t xml:space="preserve">ed gamma </w:t>
      </w:r>
      <w:r w:rsidR="00345ADE">
        <w:rPr>
          <w:lang w:val="en-GB"/>
        </w:rPr>
        <w:t xml:space="preserve">distribution </w:t>
      </w:r>
      <w:r w:rsidR="00D3752B">
        <w:rPr>
          <w:lang w:val="en-GB"/>
        </w:rPr>
        <w:t>gave</w:t>
      </w:r>
      <w:r w:rsidR="00C215D1" w:rsidRPr="00C3564D">
        <w:rPr>
          <w:lang w:val="en-GB"/>
        </w:rPr>
        <w:t xml:space="preserve"> a better visual fit to </w:t>
      </w:r>
      <w:r w:rsidR="00345ADE">
        <w:rPr>
          <w:lang w:val="en-GB"/>
        </w:rPr>
        <w:t>observed data in both groups</w:t>
      </w:r>
      <w:r w:rsidR="00C215D1" w:rsidRPr="00C3564D">
        <w:rPr>
          <w:lang w:val="en-GB"/>
        </w:rPr>
        <w:t xml:space="preserve">. </w:t>
      </w:r>
      <w:r w:rsidR="0078247F" w:rsidRPr="00C3564D">
        <w:rPr>
          <w:lang w:val="en-GB"/>
        </w:rPr>
        <w:t>T</w:t>
      </w:r>
      <w:r w:rsidR="00C236E8" w:rsidRPr="00C3564D">
        <w:rPr>
          <w:lang w:val="en-GB"/>
        </w:rPr>
        <w:t>he company</w:t>
      </w:r>
      <w:r w:rsidR="009B3AA9" w:rsidRPr="00C3564D">
        <w:rPr>
          <w:lang w:val="en-GB"/>
        </w:rPr>
        <w:t xml:space="preserve">’s method </w:t>
      </w:r>
      <w:r w:rsidR="00C236E8" w:rsidRPr="00C3564D">
        <w:rPr>
          <w:lang w:val="en-GB"/>
        </w:rPr>
        <w:t>assumed a constant risk of death</w:t>
      </w:r>
      <w:r w:rsidR="009B3AA9" w:rsidRPr="00C3564D">
        <w:rPr>
          <w:lang w:val="en-GB"/>
        </w:rPr>
        <w:t xml:space="preserve"> for </w:t>
      </w:r>
      <w:proofErr w:type="spellStart"/>
      <w:r w:rsidR="009B3AA9" w:rsidRPr="00C3564D">
        <w:rPr>
          <w:lang w:val="en-GB"/>
        </w:rPr>
        <w:t>taxanes</w:t>
      </w:r>
      <w:proofErr w:type="spellEnd"/>
      <w:r w:rsidR="00C236E8" w:rsidRPr="00C3564D">
        <w:rPr>
          <w:lang w:val="en-GB"/>
        </w:rPr>
        <w:t xml:space="preserve"> </w:t>
      </w:r>
      <w:r w:rsidR="009B3AA9" w:rsidRPr="00C3564D">
        <w:rPr>
          <w:lang w:val="en-GB"/>
        </w:rPr>
        <w:t>and</w:t>
      </w:r>
      <w:r w:rsidR="00C236E8" w:rsidRPr="00C3564D">
        <w:rPr>
          <w:lang w:val="en-GB"/>
        </w:rPr>
        <w:t xml:space="preserve"> a </w:t>
      </w:r>
      <w:r w:rsidR="009B3AA9" w:rsidRPr="00C3564D">
        <w:rPr>
          <w:lang w:val="en-GB"/>
        </w:rPr>
        <w:t xml:space="preserve">high </w:t>
      </w:r>
      <w:r w:rsidR="00C236E8" w:rsidRPr="00C3564D">
        <w:rPr>
          <w:lang w:val="en-GB"/>
        </w:rPr>
        <w:t>initial risk of death that reduced in the long term</w:t>
      </w:r>
      <w:r w:rsidR="009B3AA9" w:rsidRPr="00C3564D">
        <w:rPr>
          <w:lang w:val="en-GB"/>
        </w:rPr>
        <w:t xml:space="preserve"> for nivolumab</w:t>
      </w:r>
      <w:r w:rsidR="005F5627" w:rsidRPr="00C3564D">
        <w:rPr>
          <w:lang w:val="en-GB"/>
        </w:rPr>
        <w:t>. The committee</w:t>
      </w:r>
      <w:r w:rsidR="00C236E8" w:rsidRPr="00C3564D">
        <w:rPr>
          <w:lang w:val="en-GB"/>
        </w:rPr>
        <w:t xml:space="preserve"> </w:t>
      </w:r>
      <w:r w:rsidR="001B44BC" w:rsidRPr="00C3564D">
        <w:rPr>
          <w:lang w:val="en-GB"/>
        </w:rPr>
        <w:t>considered</w:t>
      </w:r>
      <w:r w:rsidR="009B3AA9" w:rsidRPr="00C3564D">
        <w:rPr>
          <w:lang w:val="en-GB"/>
        </w:rPr>
        <w:t xml:space="preserve"> that </w:t>
      </w:r>
      <w:r w:rsidR="00F512F6" w:rsidRPr="00C3564D">
        <w:rPr>
          <w:lang w:val="en-GB"/>
        </w:rPr>
        <w:t>the compan</w:t>
      </w:r>
      <w:r w:rsidR="006079DC" w:rsidRPr="00C3564D">
        <w:rPr>
          <w:lang w:val="en-GB"/>
        </w:rPr>
        <w:t>y’s model</w:t>
      </w:r>
      <w:r w:rsidR="00F512F6" w:rsidRPr="00C3564D">
        <w:rPr>
          <w:lang w:val="en-GB"/>
        </w:rPr>
        <w:t xml:space="preserve"> </w:t>
      </w:r>
      <w:r w:rsidR="009B3AA9" w:rsidRPr="00C3564D">
        <w:rPr>
          <w:lang w:val="en-GB"/>
        </w:rPr>
        <w:t xml:space="preserve">was not a good fit to the </w:t>
      </w:r>
      <w:r w:rsidR="007F1914" w:rsidRPr="00C3564D">
        <w:rPr>
          <w:lang w:val="en-GB"/>
        </w:rPr>
        <w:t xml:space="preserve">currently available </w:t>
      </w:r>
      <w:r w:rsidR="009B3AA9" w:rsidRPr="00C3564D">
        <w:rPr>
          <w:lang w:val="en-GB"/>
        </w:rPr>
        <w:t>Kaplan</w:t>
      </w:r>
      <w:r w:rsidR="00B27F24">
        <w:rPr>
          <w:rFonts w:cs="Arial"/>
          <w:lang w:val="en-GB"/>
        </w:rPr>
        <w:t>–</w:t>
      </w:r>
      <w:r w:rsidR="009B3AA9" w:rsidRPr="00C3564D">
        <w:rPr>
          <w:lang w:val="en-GB"/>
        </w:rPr>
        <w:t xml:space="preserve">Meier </w:t>
      </w:r>
      <w:r w:rsidR="00345ADE">
        <w:rPr>
          <w:lang w:val="en-GB"/>
        </w:rPr>
        <w:t>curves</w:t>
      </w:r>
      <w:r w:rsidR="00345ADE" w:rsidRPr="00C3564D">
        <w:rPr>
          <w:lang w:val="en-GB"/>
        </w:rPr>
        <w:t xml:space="preserve"> </w:t>
      </w:r>
      <w:r w:rsidR="009B3AA9" w:rsidRPr="00C3564D">
        <w:rPr>
          <w:lang w:val="en-GB"/>
        </w:rPr>
        <w:t>and</w:t>
      </w:r>
      <w:r w:rsidR="00D94B07">
        <w:rPr>
          <w:lang w:val="en-GB"/>
        </w:rPr>
        <w:t xml:space="preserve"> was</w:t>
      </w:r>
      <w:r w:rsidR="009B3AA9" w:rsidRPr="00C3564D">
        <w:rPr>
          <w:lang w:val="en-GB"/>
        </w:rPr>
        <w:t xml:space="preserve"> </w:t>
      </w:r>
      <w:r w:rsidR="009D2297" w:rsidRPr="00C3564D">
        <w:rPr>
          <w:lang w:val="en-GB"/>
        </w:rPr>
        <w:t xml:space="preserve">likely to </w:t>
      </w:r>
      <w:r w:rsidR="009B3AA9" w:rsidRPr="00C3564D">
        <w:rPr>
          <w:lang w:val="en-GB"/>
        </w:rPr>
        <w:t xml:space="preserve">overestimate the overall survival benefit with nivolumab. </w:t>
      </w:r>
      <w:r w:rsidR="00E566CC" w:rsidRPr="00C3564D">
        <w:rPr>
          <w:lang w:val="en-GB"/>
        </w:rPr>
        <w:t>A</w:t>
      </w:r>
      <w:r w:rsidR="006079DC" w:rsidRPr="00C3564D">
        <w:rPr>
          <w:lang w:val="en-GB"/>
        </w:rPr>
        <w:t xml:space="preserve">t the </w:t>
      </w:r>
      <w:r w:rsidR="00B27F24" w:rsidRPr="00C3564D">
        <w:rPr>
          <w:lang w:val="en-GB"/>
        </w:rPr>
        <w:t>meeting,</w:t>
      </w:r>
      <w:r w:rsidR="006079DC" w:rsidRPr="00C3564D">
        <w:rPr>
          <w:lang w:val="en-GB"/>
        </w:rPr>
        <w:t xml:space="preserve"> </w:t>
      </w:r>
      <w:r w:rsidR="00E566CC" w:rsidRPr="00C3564D">
        <w:rPr>
          <w:lang w:val="en-GB"/>
        </w:rPr>
        <w:t>the company made the committee aware of a late</w:t>
      </w:r>
      <w:r w:rsidR="006079DC" w:rsidRPr="00C3564D">
        <w:rPr>
          <w:lang w:val="en-GB"/>
        </w:rPr>
        <w:t>r</w:t>
      </w:r>
      <w:r w:rsidR="00E566CC" w:rsidRPr="00C3564D">
        <w:rPr>
          <w:lang w:val="en-GB"/>
        </w:rPr>
        <w:t xml:space="preserve"> data</w:t>
      </w:r>
      <w:r w:rsidR="00347123">
        <w:rPr>
          <w:lang w:val="en-GB"/>
        </w:rPr>
        <w:t xml:space="preserve"> </w:t>
      </w:r>
      <w:r w:rsidR="00E566CC" w:rsidRPr="00C3564D">
        <w:rPr>
          <w:lang w:val="en-GB"/>
        </w:rPr>
        <w:t>cut provid</w:t>
      </w:r>
      <w:r w:rsidR="00A7260B">
        <w:rPr>
          <w:lang w:val="en-GB"/>
        </w:rPr>
        <w:t>ing</w:t>
      </w:r>
      <w:r w:rsidR="00E566CC" w:rsidRPr="00C3564D">
        <w:rPr>
          <w:lang w:val="en-GB"/>
        </w:rPr>
        <w:t xml:space="preserve"> </w:t>
      </w:r>
      <w:r w:rsidR="00345ADE">
        <w:rPr>
          <w:lang w:val="en-GB"/>
        </w:rPr>
        <w:t>estimates</w:t>
      </w:r>
      <w:r w:rsidR="00345ADE" w:rsidRPr="00C3564D">
        <w:rPr>
          <w:lang w:val="en-GB"/>
        </w:rPr>
        <w:t xml:space="preserve"> </w:t>
      </w:r>
      <w:r w:rsidR="00E566CC" w:rsidRPr="00C3564D">
        <w:rPr>
          <w:lang w:val="en-GB"/>
        </w:rPr>
        <w:t xml:space="preserve">for overall survival </w:t>
      </w:r>
      <w:r w:rsidR="00345ADE">
        <w:rPr>
          <w:lang w:val="en-GB"/>
        </w:rPr>
        <w:t xml:space="preserve">up to </w:t>
      </w:r>
      <w:r w:rsidR="00E566CC" w:rsidRPr="00C3564D">
        <w:rPr>
          <w:lang w:val="en-GB"/>
        </w:rPr>
        <w:t>36</w:t>
      </w:r>
      <w:r w:rsidR="0039630B">
        <w:rPr>
          <w:lang w:val="en-GB"/>
        </w:rPr>
        <w:t> </w:t>
      </w:r>
      <w:r w:rsidR="00E566CC" w:rsidRPr="00C3564D">
        <w:rPr>
          <w:lang w:val="en-GB"/>
        </w:rPr>
        <w:t>months</w:t>
      </w:r>
      <w:r w:rsidR="00A759A1">
        <w:rPr>
          <w:lang w:val="en-GB"/>
        </w:rPr>
        <w:t>. However,</w:t>
      </w:r>
      <w:r w:rsidR="00A7260B">
        <w:rPr>
          <w:lang w:val="en-GB"/>
        </w:rPr>
        <w:t xml:space="preserve"> </w:t>
      </w:r>
      <w:r w:rsidR="007F1914" w:rsidRPr="00C3564D">
        <w:rPr>
          <w:lang w:val="en-GB"/>
        </w:rPr>
        <w:t xml:space="preserve">this could not be </w:t>
      </w:r>
      <w:proofErr w:type="gramStart"/>
      <w:r w:rsidR="007F1914" w:rsidRPr="00C3564D">
        <w:rPr>
          <w:lang w:val="en-GB"/>
        </w:rPr>
        <w:t>taken into ac</w:t>
      </w:r>
      <w:r w:rsidR="00B41A07" w:rsidRPr="00C3564D">
        <w:rPr>
          <w:lang w:val="en-GB"/>
        </w:rPr>
        <w:t>c</w:t>
      </w:r>
      <w:r w:rsidR="007F1914" w:rsidRPr="00C3564D">
        <w:rPr>
          <w:lang w:val="en-GB"/>
        </w:rPr>
        <w:t>ount</w:t>
      </w:r>
      <w:proofErr w:type="gramEnd"/>
      <w:r w:rsidR="00E566CC" w:rsidRPr="00C3564D">
        <w:rPr>
          <w:lang w:val="en-GB"/>
        </w:rPr>
        <w:t xml:space="preserve"> </w:t>
      </w:r>
      <w:r w:rsidR="00A7260B">
        <w:rPr>
          <w:lang w:val="en-GB"/>
        </w:rPr>
        <w:t>because</w:t>
      </w:r>
      <w:r w:rsidR="00E566CC" w:rsidRPr="00C3564D">
        <w:rPr>
          <w:lang w:val="en-GB"/>
        </w:rPr>
        <w:t xml:space="preserve"> the </w:t>
      </w:r>
      <w:r w:rsidR="009B3AA9" w:rsidRPr="00C3564D">
        <w:rPr>
          <w:lang w:val="en-GB"/>
        </w:rPr>
        <w:t xml:space="preserve">NICE technical team, </w:t>
      </w:r>
      <w:r w:rsidR="00E566CC" w:rsidRPr="00C3564D">
        <w:rPr>
          <w:lang w:val="en-GB"/>
        </w:rPr>
        <w:t xml:space="preserve">ERG </w:t>
      </w:r>
      <w:r w:rsidR="009B3AA9" w:rsidRPr="00C3564D">
        <w:rPr>
          <w:lang w:val="en-GB"/>
        </w:rPr>
        <w:t xml:space="preserve">and committee </w:t>
      </w:r>
      <w:r w:rsidR="00E566CC" w:rsidRPr="00C3564D">
        <w:rPr>
          <w:lang w:val="en-GB"/>
        </w:rPr>
        <w:t>did not have an opportunity to review</w:t>
      </w:r>
      <w:r w:rsidR="00B41A07" w:rsidRPr="00C3564D">
        <w:rPr>
          <w:lang w:val="en-GB"/>
        </w:rPr>
        <w:t xml:space="preserve"> it</w:t>
      </w:r>
      <w:r w:rsidR="00E566CC" w:rsidRPr="00C3564D">
        <w:rPr>
          <w:lang w:val="en-GB"/>
        </w:rPr>
        <w:t xml:space="preserve"> before the meeting. The committee </w:t>
      </w:r>
      <w:r w:rsidR="00130027">
        <w:rPr>
          <w:lang w:val="en-GB"/>
        </w:rPr>
        <w:t>considered</w:t>
      </w:r>
      <w:r w:rsidR="00130027" w:rsidRPr="00C3564D">
        <w:rPr>
          <w:lang w:val="en-GB"/>
        </w:rPr>
        <w:t xml:space="preserve"> </w:t>
      </w:r>
      <w:r w:rsidR="00E566CC" w:rsidRPr="00C3564D">
        <w:rPr>
          <w:lang w:val="en-GB"/>
        </w:rPr>
        <w:t xml:space="preserve">that </w:t>
      </w:r>
      <w:r w:rsidR="009B3AA9" w:rsidRPr="00C3564D">
        <w:rPr>
          <w:lang w:val="en-GB"/>
        </w:rPr>
        <w:t xml:space="preserve">the most recent </w:t>
      </w:r>
      <w:r w:rsidR="00130027">
        <w:rPr>
          <w:lang w:val="en-GB"/>
        </w:rPr>
        <w:t xml:space="preserve">survival </w:t>
      </w:r>
      <w:r w:rsidR="009B3AA9" w:rsidRPr="00C3564D">
        <w:rPr>
          <w:lang w:val="en-GB"/>
        </w:rPr>
        <w:t xml:space="preserve">data </w:t>
      </w:r>
      <w:r w:rsidR="00130027">
        <w:rPr>
          <w:lang w:val="en-GB"/>
        </w:rPr>
        <w:t>may resolve some of the uncertainty about the most appropriate</w:t>
      </w:r>
      <w:r w:rsidR="00E566CC" w:rsidRPr="00C3564D">
        <w:rPr>
          <w:lang w:val="en-GB"/>
        </w:rPr>
        <w:t xml:space="preserve"> methods of extrapolation</w:t>
      </w:r>
      <w:r w:rsidR="00A43E92" w:rsidRPr="00C3564D">
        <w:rPr>
          <w:lang w:val="en-GB"/>
        </w:rPr>
        <w:t>.</w:t>
      </w:r>
      <w:r w:rsidR="00130027">
        <w:rPr>
          <w:lang w:val="en-GB"/>
        </w:rPr>
        <w:t xml:space="preserve"> </w:t>
      </w:r>
      <w:r w:rsidR="00DF4CE9">
        <w:rPr>
          <w:lang w:val="en-GB"/>
        </w:rPr>
        <w:t>It</w:t>
      </w:r>
      <w:r w:rsidR="00470CAB">
        <w:rPr>
          <w:lang w:val="en-GB"/>
        </w:rPr>
        <w:t xml:space="preserve"> concluded that there </w:t>
      </w:r>
      <w:r w:rsidR="00470CAB" w:rsidRPr="00C3564D">
        <w:t>is uncertainty over the</w:t>
      </w:r>
      <w:r w:rsidR="003D772C">
        <w:rPr>
          <w:lang w:val="en-GB"/>
        </w:rPr>
        <w:t xml:space="preserve"> optimal</w:t>
      </w:r>
      <w:r w:rsidR="00470CAB" w:rsidRPr="00C3564D">
        <w:t xml:space="preserve"> method of extrapolating overall survival</w:t>
      </w:r>
      <w:r w:rsidR="00470CAB">
        <w:rPr>
          <w:lang w:val="en-US"/>
        </w:rPr>
        <w:t>.</w:t>
      </w:r>
    </w:p>
    <w:p w14:paraId="2DBDD100" w14:textId="2C2687BB" w:rsidR="00E566CC" w:rsidRPr="00C3564D" w:rsidRDefault="00E566CC" w:rsidP="00E566CC">
      <w:pPr>
        <w:pStyle w:val="Heading3"/>
      </w:pPr>
      <w:r w:rsidRPr="00C3564D">
        <w:lastRenderedPageBreak/>
        <w:t xml:space="preserve">No adjustment </w:t>
      </w:r>
      <w:r w:rsidR="008F3106" w:rsidRPr="00C3564D">
        <w:t xml:space="preserve">was made </w:t>
      </w:r>
      <w:r w:rsidRPr="00C3564D">
        <w:t>to efficacy</w:t>
      </w:r>
      <w:r w:rsidR="008F3106" w:rsidRPr="00C3564D">
        <w:t xml:space="preserve"> or additional cos</w:t>
      </w:r>
      <w:r w:rsidRPr="00C3564D">
        <w:t xml:space="preserve">ts of </w:t>
      </w:r>
      <w:r w:rsidR="001D76D5">
        <w:t>third-</w:t>
      </w:r>
      <w:r w:rsidRPr="00C3564D">
        <w:t>line therapy</w:t>
      </w:r>
    </w:p>
    <w:p w14:paraId="001D3FFF" w14:textId="4318FEC8" w:rsidR="00570A15" w:rsidRPr="00C3564D" w:rsidRDefault="00570A15" w:rsidP="007E20D8">
      <w:pPr>
        <w:pStyle w:val="Numberedlevel2text"/>
        <w:rPr>
          <w:lang w:val="en-GB"/>
        </w:rPr>
      </w:pPr>
      <w:r w:rsidRPr="00C3564D">
        <w:rPr>
          <w:lang w:val="en-GB"/>
        </w:rPr>
        <w:t xml:space="preserve">In the clinical trial, patients were able to continue initial treatment </w:t>
      </w:r>
      <w:r w:rsidR="00D34419" w:rsidRPr="00C3564D">
        <w:rPr>
          <w:lang w:val="en-GB"/>
        </w:rPr>
        <w:t>(see section</w:t>
      </w:r>
      <w:r w:rsidR="002C6CD9">
        <w:rPr>
          <w:lang w:val="en-GB"/>
        </w:rPr>
        <w:t> </w:t>
      </w:r>
      <w:r w:rsidR="00D34419" w:rsidRPr="00C3564D">
        <w:rPr>
          <w:lang w:val="en-GB"/>
        </w:rPr>
        <w:t>3.</w:t>
      </w:r>
      <w:r w:rsidR="004C612F">
        <w:rPr>
          <w:lang w:val="en-GB"/>
        </w:rPr>
        <w:t>2</w:t>
      </w:r>
      <w:r w:rsidR="00D34419" w:rsidRPr="00C3564D">
        <w:rPr>
          <w:lang w:val="en-GB"/>
        </w:rPr>
        <w:t>) and</w:t>
      </w:r>
      <w:r w:rsidRPr="00C3564D">
        <w:rPr>
          <w:lang w:val="en-GB"/>
        </w:rPr>
        <w:t xml:space="preserve"> </w:t>
      </w:r>
      <w:r w:rsidR="00386DC3">
        <w:rPr>
          <w:lang w:val="en-GB"/>
        </w:rPr>
        <w:t>have</w:t>
      </w:r>
      <w:r w:rsidRPr="00C3564D">
        <w:rPr>
          <w:lang w:val="en-GB"/>
        </w:rPr>
        <w:t xml:space="preserve"> subsequent treatment (surgery, </w:t>
      </w:r>
      <w:proofErr w:type="gramStart"/>
      <w:r w:rsidRPr="00C3564D">
        <w:rPr>
          <w:lang w:val="en-GB"/>
        </w:rPr>
        <w:t>radiotherapy</w:t>
      </w:r>
      <w:proofErr w:type="gramEnd"/>
      <w:r w:rsidR="003D772C">
        <w:rPr>
          <w:lang w:val="en-GB"/>
        </w:rPr>
        <w:t xml:space="preserve"> or</w:t>
      </w:r>
      <w:r w:rsidRPr="00C3564D">
        <w:rPr>
          <w:lang w:val="en-GB"/>
        </w:rPr>
        <w:t xml:space="preserve"> pharmacotherapy) after disease progression. The </w:t>
      </w:r>
      <w:r w:rsidR="00226E2E">
        <w:rPr>
          <w:lang w:val="en-GB"/>
        </w:rPr>
        <w:t xml:space="preserve">proportion </w:t>
      </w:r>
      <w:r w:rsidRPr="00C3564D">
        <w:rPr>
          <w:lang w:val="en-GB"/>
        </w:rPr>
        <w:t>of p</w:t>
      </w:r>
      <w:r w:rsidR="005D32DA">
        <w:rPr>
          <w:lang w:val="en-GB"/>
        </w:rPr>
        <w:t>eople having</w:t>
      </w:r>
      <w:r w:rsidRPr="00C3564D">
        <w:rPr>
          <w:lang w:val="en-GB"/>
        </w:rPr>
        <w:t xml:space="preserve"> subsequent therapy after progression was similar </w:t>
      </w:r>
      <w:r w:rsidR="003D772C">
        <w:rPr>
          <w:lang w:val="en-GB"/>
        </w:rPr>
        <w:t>in</w:t>
      </w:r>
      <w:r w:rsidRPr="00C3564D">
        <w:rPr>
          <w:lang w:val="en-GB"/>
        </w:rPr>
        <w:t xml:space="preserve"> both the nivolumab and </w:t>
      </w:r>
      <w:proofErr w:type="spellStart"/>
      <w:r w:rsidRPr="00C3564D">
        <w:rPr>
          <w:lang w:val="en-GB"/>
        </w:rPr>
        <w:t>taxane</w:t>
      </w:r>
      <w:proofErr w:type="spellEnd"/>
      <w:r w:rsidRPr="00C3564D">
        <w:rPr>
          <w:lang w:val="en-GB"/>
        </w:rPr>
        <w:t xml:space="preserve"> </w:t>
      </w:r>
      <w:r w:rsidR="00226E2E">
        <w:rPr>
          <w:lang w:val="en-GB"/>
        </w:rPr>
        <w:t>groups</w:t>
      </w:r>
      <w:r w:rsidRPr="00C3564D">
        <w:rPr>
          <w:lang w:val="en-GB"/>
        </w:rPr>
        <w:t>. However, more p</w:t>
      </w:r>
      <w:r w:rsidR="003E7834">
        <w:rPr>
          <w:lang w:val="en-GB"/>
        </w:rPr>
        <w:t>eople</w:t>
      </w:r>
      <w:r w:rsidRPr="00C3564D">
        <w:rPr>
          <w:lang w:val="en-GB"/>
        </w:rPr>
        <w:t xml:space="preserve"> in the nivolumab arm continue</w:t>
      </w:r>
      <w:r w:rsidR="00D34419" w:rsidRPr="00C3564D">
        <w:rPr>
          <w:lang w:val="en-GB"/>
        </w:rPr>
        <w:t xml:space="preserve">d </w:t>
      </w:r>
      <w:r w:rsidR="003E7834">
        <w:rPr>
          <w:lang w:val="en-GB"/>
        </w:rPr>
        <w:t>having</w:t>
      </w:r>
      <w:r w:rsidR="00226E2E">
        <w:rPr>
          <w:lang w:val="en-GB"/>
        </w:rPr>
        <w:t xml:space="preserve"> their</w:t>
      </w:r>
      <w:r w:rsidRPr="00C3564D">
        <w:rPr>
          <w:lang w:val="en-GB"/>
        </w:rPr>
        <w:t xml:space="preserve"> initial treatment compared with the </w:t>
      </w:r>
      <w:proofErr w:type="spellStart"/>
      <w:r w:rsidRPr="00C3564D">
        <w:rPr>
          <w:lang w:val="en-GB"/>
        </w:rPr>
        <w:t>taxane</w:t>
      </w:r>
      <w:proofErr w:type="spellEnd"/>
      <w:r w:rsidRPr="00C3564D">
        <w:rPr>
          <w:lang w:val="en-GB"/>
        </w:rPr>
        <w:t xml:space="preserve"> arm.</w:t>
      </w:r>
      <w:r w:rsidR="008F3106" w:rsidRPr="00C3564D">
        <w:rPr>
          <w:lang w:val="en-GB"/>
        </w:rPr>
        <w:t xml:space="preserve"> The clinical expert </w:t>
      </w:r>
      <w:r w:rsidR="00D34419" w:rsidRPr="00C3564D">
        <w:rPr>
          <w:lang w:val="en-GB"/>
        </w:rPr>
        <w:t>explain</w:t>
      </w:r>
      <w:r w:rsidR="008F3106" w:rsidRPr="00C3564D">
        <w:rPr>
          <w:lang w:val="en-GB"/>
        </w:rPr>
        <w:t xml:space="preserve">ed that </w:t>
      </w:r>
      <w:r w:rsidR="00D34419" w:rsidRPr="00C3564D">
        <w:rPr>
          <w:lang w:val="en-GB"/>
        </w:rPr>
        <w:t xml:space="preserve">nivolumab </w:t>
      </w:r>
      <w:r w:rsidR="005F5627" w:rsidRPr="00C3564D">
        <w:rPr>
          <w:lang w:val="en-GB"/>
        </w:rPr>
        <w:t>m</w:t>
      </w:r>
      <w:r w:rsidR="003F3AB0" w:rsidRPr="00C3564D">
        <w:rPr>
          <w:lang w:val="en-GB"/>
        </w:rPr>
        <w:t>ay</w:t>
      </w:r>
      <w:r w:rsidR="005F5627" w:rsidRPr="00C3564D">
        <w:rPr>
          <w:lang w:val="en-GB"/>
        </w:rPr>
        <w:t xml:space="preserve"> be continued </w:t>
      </w:r>
      <w:r w:rsidR="003E7834">
        <w:rPr>
          <w:lang w:val="en-GB"/>
        </w:rPr>
        <w:t>after disease</w:t>
      </w:r>
      <w:r w:rsidR="003F3AB0" w:rsidRPr="00C3564D">
        <w:rPr>
          <w:lang w:val="en-GB"/>
        </w:rPr>
        <w:t xml:space="preserve"> progression until the next scheduled scan confirms that the disease </w:t>
      </w:r>
      <w:r w:rsidR="003F3AB0" w:rsidRPr="00C3564D">
        <w:rPr>
          <w:sz w:val="22"/>
          <w:szCs w:val="24"/>
          <w:lang w:val="en-GB"/>
        </w:rPr>
        <w:t xml:space="preserve">has </w:t>
      </w:r>
      <w:r w:rsidR="003F3AB0" w:rsidRPr="00C3564D">
        <w:rPr>
          <w:lang w:val="en-GB"/>
        </w:rPr>
        <w:t>progress</w:t>
      </w:r>
      <w:r w:rsidR="0024331D" w:rsidRPr="00C3564D">
        <w:rPr>
          <w:lang w:val="en-GB"/>
        </w:rPr>
        <w:t>ed</w:t>
      </w:r>
      <w:r w:rsidR="003F3AB0" w:rsidRPr="00C3564D">
        <w:rPr>
          <w:lang w:val="en-GB"/>
        </w:rPr>
        <w:t>, but</w:t>
      </w:r>
      <w:r w:rsidR="00D94963">
        <w:rPr>
          <w:lang w:val="en-GB"/>
        </w:rPr>
        <w:t xml:space="preserve"> treatment</w:t>
      </w:r>
      <w:r w:rsidR="003F3AB0" w:rsidRPr="00C3564D">
        <w:rPr>
          <w:lang w:val="en-GB"/>
        </w:rPr>
        <w:t xml:space="preserve"> would be stopped when progression </w:t>
      </w:r>
      <w:r w:rsidR="00D94963">
        <w:rPr>
          <w:lang w:val="en-GB"/>
        </w:rPr>
        <w:t>wa</w:t>
      </w:r>
      <w:r w:rsidR="003F3AB0" w:rsidRPr="00C3564D">
        <w:rPr>
          <w:lang w:val="en-GB"/>
        </w:rPr>
        <w:t xml:space="preserve">s </w:t>
      </w:r>
      <w:r w:rsidR="002F5371" w:rsidRPr="00C3564D">
        <w:rPr>
          <w:lang w:val="en-GB"/>
        </w:rPr>
        <w:t xml:space="preserve">confirmed. However, because it </w:t>
      </w:r>
      <w:r w:rsidR="00F37F31" w:rsidRPr="00C3564D">
        <w:rPr>
          <w:lang w:val="en-GB"/>
        </w:rPr>
        <w:t xml:space="preserve">is </w:t>
      </w:r>
      <w:r w:rsidR="002F5371" w:rsidRPr="00C3564D">
        <w:rPr>
          <w:lang w:val="en-GB"/>
        </w:rPr>
        <w:t xml:space="preserve">better tolerated than </w:t>
      </w:r>
      <w:proofErr w:type="spellStart"/>
      <w:r w:rsidR="002F5371" w:rsidRPr="00C3564D">
        <w:rPr>
          <w:lang w:val="en-GB"/>
        </w:rPr>
        <w:t>taxanes</w:t>
      </w:r>
      <w:proofErr w:type="spellEnd"/>
      <w:r w:rsidR="00D34419" w:rsidRPr="00C3564D">
        <w:rPr>
          <w:lang w:val="en-GB"/>
        </w:rPr>
        <w:t xml:space="preserve">, </w:t>
      </w:r>
      <w:r w:rsidR="002F5371" w:rsidRPr="00C3564D">
        <w:rPr>
          <w:lang w:val="en-GB"/>
        </w:rPr>
        <w:t xml:space="preserve">more </w:t>
      </w:r>
      <w:r w:rsidR="00D34419" w:rsidRPr="00C3564D">
        <w:rPr>
          <w:lang w:val="en-GB"/>
        </w:rPr>
        <w:t>p</w:t>
      </w:r>
      <w:r w:rsidR="00C80070">
        <w:rPr>
          <w:lang w:val="en-GB"/>
        </w:rPr>
        <w:t>eople</w:t>
      </w:r>
      <w:r w:rsidR="00D34419" w:rsidRPr="00C3564D">
        <w:rPr>
          <w:lang w:val="en-GB"/>
        </w:rPr>
        <w:t xml:space="preserve"> would be </w:t>
      </w:r>
      <w:r w:rsidR="002F5371" w:rsidRPr="00C3564D">
        <w:rPr>
          <w:lang w:val="en-GB"/>
        </w:rPr>
        <w:t>able</w:t>
      </w:r>
      <w:r w:rsidR="00286E9B" w:rsidRPr="00C3564D">
        <w:rPr>
          <w:lang w:val="en-GB"/>
        </w:rPr>
        <w:t xml:space="preserve"> to</w:t>
      </w:r>
      <w:r w:rsidR="002F5371" w:rsidRPr="00C3564D">
        <w:rPr>
          <w:lang w:val="en-GB"/>
        </w:rPr>
        <w:t xml:space="preserve"> </w:t>
      </w:r>
      <w:r w:rsidR="00286E9B" w:rsidRPr="00C3564D">
        <w:rPr>
          <w:lang w:val="en-GB"/>
        </w:rPr>
        <w:t>have</w:t>
      </w:r>
      <w:r w:rsidR="00D34419" w:rsidRPr="00C3564D">
        <w:rPr>
          <w:lang w:val="en-GB"/>
        </w:rPr>
        <w:t xml:space="preserve"> further active treatment after </w:t>
      </w:r>
      <w:r w:rsidR="00286E9B" w:rsidRPr="00C3564D">
        <w:rPr>
          <w:lang w:val="en-GB"/>
        </w:rPr>
        <w:t xml:space="preserve">nivolumab than after </w:t>
      </w:r>
      <w:proofErr w:type="spellStart"/>
      <w:r w:rsidR="00286E9B" w:rsidRPr="00C3564D">
        <w:rPr>
          <w:lang w:val="en-GB"/>
        </w:rPr>
        <w:t>taxanes</w:t>
      </w:r>
      <w:proofErr w:type="spellEnd"/>
      <w:r w:rsidR="00D34419" w:rsidRPr="00C3564D">
        <w:rPr>
          <w:lang w:val="en-GB"/>
        </w:rPr>
        <w:t xml:space="preserve">. </w:t>
      </w:r>
      <w:r w:rsidR="008F3106" w:rsidRPr="00C3564D">
        <w:rPr>
          <w:lang w:val="en-GB"/>
        </w:rPr>
        <w:t>The committee</w:t>
      </w:r>
      <w:r w:rsidR="00D34419" w:rsidRPr="00C3564D">
        <w:rPr>
          <w:lang w:val="en-GB"/>
        </w:rPr>
        <w:t xml:space="preserve"> considered the opportunity for active </w:t>
      </w:r>
      <w:r w:rsidR="009625EC">
        <w:rPr>
          <w:lang w:val="en-GB"/>
        </w:rPr>
        <w:t>third-</w:t>
      </w:r>
      <w:r w:rsidR="00D34419" w:rsidRPr="00C3564D">
        <w:rPr>
          <w:lang w:val="en-GB"/>
        </w:rPr>
        <w:t xml:space="preserve">line treatment to be an important consideration for patients. </w:t>
      </w:r>
      <w:r w:rsidR="0069269B">
        <w:rPr>
          <w:lang w:val="en-GB"/>
        </w:rPr>
        <w:t>It</w:t>
      </w:r>
      <w:r w:rsidR="00D34419" w:rsidRPr="00C3564D">
        <w:rPr>
          <w:lang w:val="en-GB"/>
        </w:rPr>
        <w:t xml:space="preserve"> concluded that</w:t>
      </w:r>
      <w:r w:rsidR="004A21F3" w:rsidRPr="00C3564D">
        <w:rPr>
          <w:lang w:val="en-GB"/>
        </w:rPr>
        <w:t xml:space="preserve"> nivolumab would be more likely to be continued </w:t>
      </w:r>
      <w:r w:rsidR="002133EA" w:rsidRPr="00C3564D">
        <w:rPr>
          <w:lang w:val="en-GB"/>
        </w:rPr>
        <w:t xml:space="preserve">in the short term </w:t>
      </w:r>
      <w:r w:rsidR="005A6B22">
        <w:rPr>
          <w:lang w:val="en-GB"/>
        </w:rPr>
        <w:t>after</w:t>
      </w:r>
      <w:r w:rsidR="007176CE" w:rsidRPr="00C3564D">
        <w:rPr>
          <w:lang w:val="en-GB"/>
        </w:rPr>
        <w:t xml:space="preserve"> progression</w:t>
      </w:r>
      <w:r w:rsidR="001B35A7" w:rsidRPr="00C3564D">
        <w:rPr>
          <w:lang w:val="en-GB"/>
        </w:rPr>
        <w:t xml:space="preserve"> than </w:t>
      </w:r>
      <w:proofErr w:type="spellStart"/>
      <w:r w:rsidR="001B35A7" w:rsidRPr="00C3564D">
        <w:rPr>
          <w:lang w:val="en-GB"/>
        </w:rPr>
        <w:t>taxanes</w:t>
      </w:r>
      <w:proofErr w:type="spellEnd"/>
      <w:r w:rsidR="0034250C" w:rsidRPr="00C3564D">
        <w:rPr>
          <w:lang w:val="en-GB"/>
        </w:rPr>
        <w:t>,</w:t>
      </w:r>
      <w:r w:rsidR="00AD03E2" w:rsidRPr="00C3564D">
        <w:rPr>
          <w:lang w:val="en-GB"/>
        </w:rPr>
        <w:t xml:space="preserve"> as </w:t>
      </w:r>
      <w:r w:rsidR="005A6B22">
        <w:rPr>
          <w:lang w:val="en-GB"/>
        </w:rPr>
        <w:t xml:space="preserve">seen </w:t>
      </w:r>
      <w:r w:rsidR="00AD03E2" w:rsidRPr="00C3564D">
        <w:rPr>
          <w:lang w:val="en-GB"/>
        </w:rPr>
        <w:t>in the trial</w:t>
      </w:r>
      <w:r w:rsidR="0041669B">
        <w:rPr>
          <w:lang w:val="en-GB"/>
        </w:rPr>
        <w:t>.</w:t>
      </w:r>
      <w:r w:rsidR="00440FB9" w:rsidRPr="00C3564D">
        <w:rPr>
          <w:lang w:val="en-GB"/>
        </w:rPr>
        <w:t xml:space="preserve"> </w:t>
      </w:r>
      <w:r w:rsidR="00985261">
        <w:rPr>
          <w:lang w:val="en-GB"/>
        </w:rPr>
        <w:t>I</w:t>
      </w:r>
      <w:r w:rsidR="00AD03E2" w:rsidRPr="00C3564D">
        <w:rPr>
          <w:lang w:val="en-GB"/>
        </w:rPr>
        <w:t>t</w:t>
      </w:r>
      <w:r w:rsidR="00D34419" w:rsidRPr="00C3564D">
        <w:rPr>
          <w:lang w:val="en-GB"/>
        </w:rPr>
        <w:t xml:space="preserve"> is not possible to </w:t>
      </w:r>
      <w:r w:rsidR="00424FDB">
        <w:rPr>
          <w:lang w:val="en-GB"/>
        </w:rPr>
        <w:t>tell</w:t>
      </w:r>
      <w:r w:rsidR="00D34419" w:rsidRPr="00C3564D">
        <w:rPr>
          <w:lang w:val="en-GB"/>
        </w:rPr>
        <w:t xml:space="preserve"> </w:t>
      </w:r>
      <w:r w:rsidR="000921AA" w:rsidRPr="00C3564D">
        <w:rPr>
          <w:lang w:val="en-GB"/>
        </w:rPr>
        <w:t>whether</w:t>
      </w:r>
      <w:r w:rsidR="001240B3" w:rsidRPr="00C3564D">
        <w:rPr>
          <w:lang w:val="en-GB"/>
        </w:rPr>
        <w:t xml:space="preserve"> any differences</w:t>
      </w:r>
      <w:r w:rsidR="000921AA" w:rsidRPr="00C3564D">
        <w:rPr>
          <w:lang w:val="en-GB"/>
        </w:rPr>
        <w:t xml:space="preserve"> between the </w:t>
      </w:r>
      <w:r w:rsidR="00177F9E">
        <w:rPr>
          <w:lang w:val="en-GB"/>
        </w:rPr>
        <w:t>third-</w:t>
      </w:r>
      <w:r w:rsidR="000921AA" w:rsidRPr="00C3564D">
        <w:rPr>
          <w:lang w:val="en-GB"/>
        </w:rPr>
        <w:t xml:space="preserve">line treatments in ATTRACTION-3 and the NHS would </w:t>
      </w:r>
      <w:r w:rsidR="00957B96">
        <w:rPr>
          <w:lang w:val="en-GB"/>
        </w:rPr>
        <w:t>a</w:t>
      </w:r>
      <w:r w:rsidR="00177F9E">
        <w:rPr>
          <w:lang w:val="en-GB"/>
        </w:rPr>
        <w:t>ffect</w:t>
      </w:r>
      <w:r w:rsidR="000921AA" w:rsidRPr="00C3564D">
        <w:rPr>
          <w:lang w:val="en-GB"/>
        </w:rPr>
        <w:t xml:space="preserve"> the relative effectiveness of </w:t>
      </w:r>
      <w:r w:rsidR="001240B3" w:rsidRPr="00C3564D">
        <w:rPr>
          <w:lang w:val="en-GB"/>
        </w:rPr>
        <w:t>nivolumab</w:t>
      </w:r>
      <w:r w:rsidR="000921AA" w:rsidRPr="00C3564D">
        <w:rPr>
          <w:lang w:val="en-GB"/>
        </w:rPr>
        <w:t xml:space="preserve"> in the NHS comp</w:t>
      </w:r>
      <w:r w:rsidR="001240B3" w:rsidRPr="00C3564D">
        <w:rPr>
          <w:lang w:val="en-GB"/>
        </w:rPr>
        <w:t>a</w:t>
      </w:r>
      <w:r w:rsidR="000921AA" w:rsidRPr="00C3564D">
        <w:rPr>
          <w:lang w:val="en-GB"/>
        </w:rPr>
        <w:t>red with the trial</w:t>
      </w:r>
      <w:r w:rsidR="009D6236" w:rsidRPr="00C3564D">
        <w:rPr>
          <w:lang w:val="en-GB"/>
        </w:rPr>
        <w:t>.</w:t>
      </w:r>
    </w:p>
    <w:p w14:paraId="280890C8" w14:textId="14CB1F72" w:rsidR="00E566CC" w:rsidRPr="00C3564D" w:rsidRDefault="00E566CC" w:rsidP="00E566CC">
      <w:pPr>
        <w:pStyle w:val="Heading2"/>
      </w:pPr>
      <w:r w:rsidRPr="00C3564D">
        <w:t>Utility values</w:t>
      </w:r>
    </w:p>
    <w:p w14:paraId="4F821A47" w14:textId="10D145B4" w:rsidR="00E566CC" w:rsidRPr="00C3564D" w:rsidRDefault="008274FA" w:rsidP="00E566CC">
      <w:pPr>
        <w:pStyle w:val="Heading3"/>
      </w:pPr>
      <w:r>
        <w:t>Using</w:t>
      </w:r>
      <w:r w:rsidR="00E566CC" w:rsidRPr="00C3564D">
        <w:t xml:space="preserve"> different utilities</w:t>
      </w:r>
      <w:r w:rsidR="00071B16">
        <w:t xml:space="preserve"> after progression</w:t>
      </w:r>
      <w:r w:rsidR="00E566CC" w:rsidRPr="00C3564D">
        <w:t xml:space="preserve"> in the nivolumab and </w:t>
      </w:r>
      <w:proofErr w:type="spellStart"/>
      <w:r w:rsidR="00E566CC" w:rsidRPr="00C3564D">
        <w:t>taxane</w:t>
      </w:r>
      <w:proofErr w:type="spellEnd"/>
      <w:r w:rsidR="00E566CC" w:rsidRPr="00C3564D">
        <w:t xml:space="preserve"> arm</w:t>
      </w:r>
      <w:r>
        <w:t>s</w:t>
      </w:r>
      <w:r w:rsidR="00E27E48">
        <w:t xml:space="preserve"> i</w:t>
      </w:r>
      <w:r w:rsidR="00E566CC" w:rsidRPr="00C3564D">
        <w:t>s not adequately justified</w:t>
      </w:r>
    </w:p>
    <w:p w14:paraId="469B7141" w14:textId="08A96673" w:rsidR="008F3106" w:rsidRPr="00C3564D" w:rsidRDefault="008F3106" w:rsidP="007E20D8">
      <w:pPr>
        <w:pStyle w:val="Numberedlevel2text"/>
        <w:rPr>
          <w:lang w:val="en-GB"/>
        </w:rPr>
      </w:pPr>
      <w:r w:rsidRPr="00C3564D">
        <w:rPr>
          <w:lang w:val="en-GB"/>
        </w:rPr>
        <w:t>The company estimated</w:t>
      </w:r>
      <w:r w:rsidR="00226E2E">
        <w:rPr>
          <w:lang w:val="en-GB"/>
        </w:rPr>
        <w:t xml:space="preserve"> the </w:t>
      </w:r>
      <w:r w:rsidRPr="00C3564D">
        <w:rPr>
          <w:lang w:val="en-GB"/>
        </w:rPr>
        <w:t>utilit</w:t>
      </w:r>
      <w:r w:rsidR="00226E2E">
        <w:rPr>
          <w:lang w:val="en-GB"/>
        </w:rPr>
        <w:t>ies</w:t>
      </w:r>
      <w:r w:rsidR="00555F21">
        <w:rPr>
          <w:lang w:val="en-GB"/>
        </w:rPr>
        <w:t xml:space="preserve"> before and after progression</w:t>
      </w:r>
      <w:r w:rsidR="00226E2E">
        <w:rPr>
          <w:lang w:val="en-GB"/>
        </w:rPr>
        <w:t xml:space="preserve"> </w:t>
      </w:r>
      <w:r w:rsidR="00555F21">
        <w:rPr>
          <w:lang w:val="en-GB"/>
        </w:rPr>
        <w:t>using</w:t>
      </w:r>
      <w:r w:rsidR="00226E2E">
        <w:rPr>
          <w:lang w:val="en-GB"/>
        </w:rPr>
        <w:t xml:space="preserve"> a statistical model fit to </w:t>
      </w:r>
      <w:r w:rsidRPr="00C3564D">
        <w:rPr>
          <w:lang w:val="en-GB"/>
        </w:rPr>
        <w:t>EQ-5D data from the clinical trial</w:t>
      </w:r>
      <w:r w:rsidR="00226E2E">
        <w:rPr>
          <w:lang w:val="en-GB"/>
        </w:rPr>
        <w:t xml:space="preserve">, with missing values imputed under the assumption that they were </w:t>
      </w:r>
      <w:r w:rsidRPr="00C3564D">
        <w:rPr>
          <w:lang w:val="en-GB"/>
        </w:rPr>
        <w:t>missing at random. Nivolumab had a higher utility</w:t>
      </w:r>
      <w:r w:rsidR="0062322C">
        <w:rPr>
          <w:lang w:val="en-GB"/>
        </w:rPr>
        <w:t xml:space="preserve"> before progression</w:t>
      </w:r>
      <w:r w:rsidRPr="00C3564D">
        <w:rPr>
          <w:lang w:val="en-GB"/>
        </w:rPr>
        <w:t xml:space="preserve"> than </w:t>
      </w:r>
      <w:proofErr w:type="spellStart"/>
      <w:r w:rsidRPr="00C3564D">
        <w:rPr>
          <w:lang w:val="en-GB"/>
        </w:rPr>
        <w:t>taxanes</w:t>
      </w:r>
      <w:proofErr w:type="spellEnd"/>
      <w:r w:rsidRPr="00C3564D">
        <w:rPr>
          <w:lang w:val="en-GB"/>
        </w:rPr>
        <w:t xml:space="preserve"> </w:t>
      </w:r>
      <w:r w:rsidR="003605AA">
        <w:rPr>
          <w:lang w:val="en-GB"/>
        </w:rPr>
        <w:t>because of</w:t>
      </w:r>
      <w:r w:rsidRPr="00C3564D">
        <w:rPr>
          <w:lang w:val="en-GB"/>
        </w:rPr>
        <w:t xml:space="preserve"> its more favourable safety profile</w:t>
      </w:r>
      <w:r w:rsidR="001E1EB5" w:rsidRPr="00C3564D">
        <w:rPr>
          <w:lang w:val="en-GB"/>
        </w:rPr>
        <w:t xml:space="preserve"> </w:t>
      </w:r>
      <w:r w:rsidR="002E785F" w:rsidRPr="00C3564D">
        <w:rPr>
          <w:lang w:val="en-GB"/>
        </w:rPr>
        <w:t>(the data cannot be reported here because the company submitted it as academic in confidence).</w:t>
      </w:r>
      <w:r w:rsidR="002E785F" w:rsidRPr="00C3564D">
        <w:rPr>
          <w:color w:val="FF0000"/>
          <w:lang w:val="en-GB"/>
        </w:rPr>
        <w:t xml:space="preserve"> </w:t>
      </w:r>
      <w:r w:rsidR="001E1EB5" w:rsidRPr="00C3564D">
        <w:rPr>
          <w:lang w:val="en-GB"/>
        </w:rPr>
        <w:t>T</w:t>
      </w:r>
      <w:r w:rsidR="00886EE8" w:rsidRPr="00C3564D">
        <w:rPr>
          <w:lang w:val="en-GB"/>
        </w:rPr>
        <w:t>he</w:t>
      </w:r>
      <w:r w:rsidR="001E1EB5" w:rsidRPr="00C3564D">
        <w:rPr>
          <w:lang w:val="en-GB"/>
        </w:rPr>
        <w:t xml:space="preserve"> company model assumed a higher utility</w:t>
      </w:r>
      <w:r w:rsidR="00876280">
        <w:rPr>
          <w:lang w:val="en-GB"/>
        </w:rPr>
        <w:t xml:space="preserve"> after progression</w:t>
      </w:r>
      <w:r w:rsidR="001E1EB5" w:rsidRPr="00C3564D">
        <w:rPr>
          <w:lang w:val="en-GB"/>
        </w:rPr>
        <w:t xml:space="preserve"> for nivolumab </w:t>
      </w:r>
      <w:r w:rsidR="001E1EB5" w:rsidRPr="00C3564D">
        <w:rPr>
          <w:lang w:val="en-GB"/>
        </w:rPr>
        <w:lastRenderedPageBreak/>
        <w:t xml:space="preserve">compared with </w:t>
      </w:r>
      <w:proofErr w:type="spellStart"/>
      <w:r w:rsidR="001E1EB5" w:rsidRPr="00C3564D">
        <w:rPr>
          <w:lang w:val="en-GB"/>
        </w:rPr>
        <w:t>taxanes</w:t>
      </w:r>
      <w:proofErr w:type="spellEnd"/>
      <w:r w:rsidR="001E1EB5" w:rsidRPr="00C3564D">
        <w:rPr>
          <w:lang w:val="en-GB"/>
        </w:rPr>
        <w:t xml:space="preserve"> because of the </w:t>
      </w:r>
      <w:r w:rsidR="00FE375D" w:rsidRPr="00C3564D">
        <w:rPr>
          <w:lang w:val="en-GB"/>
        </w:rPr>
        <w:t>co</w:t>
      </w:r>
      <w:r w:rsidR="00EB1B24" w:rsidRPr="00C3564D">
        <w:rPr>
          <w:lang w:val="en-GB"/>
        </w:rPr>
        <w:t>ntinued</w:t>
      </w:r>
      <w:r w:rsidR="00FE375D" w:rsidRPr="00C3564D">
        <w:rPr>
          <w:lang w:val="en-GB"/>
        </w:rPr>
        <w:t xml:space="preserve"> </w:t>
      </w:r>
      <w:r w:rsidR="001E1EB5" w:rsidRPr="00C3564D">
        <w:rPr>
          <w:lang w:val="en-GB"/>
        </w:rPr>
        <w:t xml:space="preserve">benefit of nivolumab. </w:t>
      </w:r>
      <w:r w:rsidR="00886EE8" w:rsidRPr="00C3564D">
        <w:rPr>
          <w:lang w:val="en-GB"/>
        </w:rPr>
        <w:t>The committee considered it plausible for the utility</w:t>
      </w:r>
      <w:r w:rsidR="008D3888">
        <w:rPr>
          <w:lang w:val="en-GB"/>
        </w:rPr>
        <w:t xml:space="preserve"> before progression</w:t>
      </w:r>
      <w:r w:rsidR="00886EE8" w:rsidRPr="00C3564D">
        <w:rPr>
          <w:lang w:val="en-GB"/>
        </w:rPr>
        <w:t xml:space="preserve"> for nivolumab to be higher than the </w:t>
      </w:r>
      <w:proofErr w:type="spellStart"/>
      <w:r w:rsidR="00886EE8" w:rsidRPr="00C3564D">
        <w:rPr>
          <w:lang w:val="en-GB"/>
        </w:rPr>
        <w:t>taxane</w:t>
      </w:r>
      <w:proofErr w:type="spellEnd"/>
      <w:r w:rsidR="00886EE8" w:rsidRPr="00C3564D">
        <w:rPr>
          <w:lang w:val="en-GB"/>
        </w:rPr>
        <w:t xml:space="preserve"> </w:t>
      </w:r>
      <w:r w:rsidR="00326C06">
        <w:rPr>
          <w:lang w:val="en-GB"/>
        </w:rPr>
        <w:t>arm,</w:t>
      </w:r>
      <w:r w:rsidR="00886EE8" w:rsidRPr="00C3564D">
        <w:rPr>
          <w:lang w:val="en-GB"/>
        </w:rPr>
        <w:t xml:space="preserve"> based on differences in tolerability and adverse events</w:t>
      </w:r>
      <w:r w:rsidR="00555F21">
        <w:rPr>
          <w:lang w:val="en-GB"/>
        </w:rPr>
        <w:t>.</w:t>
      </w:r>
      <w:r w:rsidR="00EC7402" w:rsidRPr="00C3564D">
        <w:rPr>
          <w:lang w:val="en-GB"/>
        </w:rPr>
        <w:t xml:space="preserve"> </w:t>
      </w:r>
      <w:r w:rsidR="00555F21">
        <w:rPr>
          <w:lang w:val="en-GB"/>
        </w:rPr>
        <w:t>B</w:t>
      </w:r>
      <w:r w:rsidR="00555F21" w:rsidRPr="00C3564D">
        <w:rPr>
          <w:lang w:val="en-GB"/>
        </w:rPr>
        <w:t>ut</w:t>
      </w:r>
      <w:r w:rsidR="00326C06">
        <w:rPr>
          <w:lang w:val="en-GB"/>
        </w:rPr>
        <w:t xml:space="preserve"> it</w:t>
      </w:r>
      <w:r w:rsidR="00EC7402" w:rsidRPr="00C3564D">
        <w:rPr>
          <w:lang w:val="en-GB"/>
        </w:rPr>
        <w:t xml:space="preserve"> </w:t>
      </w:r>
      <w:r w:rsidR="00886EE8" w:rsidRPr="00C3564D">
        <w:rPr>
          <w:lang w:val="en-GB"/>
        </w:rPr>
        <w:t xml:space="preserve">noted that the difference was greater </w:t>
      </w:r>
      <w:r w:rsidR="002D6CB1">
        <w:rPr>
          <w:lang w:val="en-GB"/>
        </w:rPr>
        <w:t>in</w:t>
      </w:r>
      <w:r w:rsidR="00886EE8" w:rsidRPr="00C3564D">
        <w:rPr>
          <w:lang w:val="en-GB"/>
        </w:rPr>
        <w:t xml:space="preserve"> the company</w:t>
      </w:r>
      <w:r w:rsidR="00226E2E">
        <w:rPr>
          <w:lang w:val="en-GB"/>
        </w:rPr>
        <w:t>’s analysis compared with the ERG’s analysis, which used values from an alternative statistical</w:t>
      </w:r>
      <w:r w:rsidR="00886EE8" w:rsidRPr="00C3564D">
        <w:rPr>
          <w:lang w:val="en-GB"/>
        </w:rPr>
        <w:t xml:space="preserve"> </w:t>
      </w:r>
      <w:r w:rsidR="002D6CB1">
        <w:rPr>
          <w:lang w:val="en-GB"/>
        </w:rPr>
        <w:t xml:space="preserve">model </w:t>
      </w:r>
      <w:r w:rsidR="00226E2E">
        <w:rPr>
          <w:lang w:val="en-GB"/>
        </w:rPr>
        <w:t xml:space="preserve">fit by the company that did not include imputation of missing values. </w:t>
      </w:r>
      <w:r w:rsidR="00886EE8" w:rsidRPr="00C3564D">
        <w:rPr>
          <w:lang w:val="en-GB"/>
        </w:rPr>
        <w:t xml:space="preserve">The clinical </w:t>
      </w:r>
      <w:r w:rsidR="00EC7402" w:rsidRPr="00C3564D">
        <w:rPr>
          <w:lang w:val="en-GB"/>
        </w:rPr>
        <w:t>expert explained that i</w:t>
      </w:r>
      <w:r w:rsidR="00886EE8" w:rsidRPr="00C3564D">
        <w:rPr>
          <w:lang w:val="en-GB"/>
        </w:rPr>
        <w:t>t often takes p</w:t>
      </w:r>
      <w:r w:rsidR="00F13F6E">
        <w:rPr>
          <w:lang w:val="en-GB"/>
        </w:rPr>
        <w:t>eople</w:t>
      </w:r>
      <w:r w:rsidR="00886EE8" w:rsidRPr="00C3564D">
        <w:rPr>
          <w:lang w:val="en-GB"/>
        </w:rPr>
        <w:t xml:space="preserve"> </w:t>
      </w:r>
      <w:r w:rsidR="00555F21">
        <w:rPr>
          <w:lang w:val="en-GB"/>
        </w:rPr>
        <w:t>6</w:t>
      </w:r>
      <w:r w:rsidR="00166016">
        <w:rPr>
          <w:lang w:val="en-GB"/>
        </w:rPr>
        <w:t> </w:t>
      </w:r>
      <w:r w:rsidR="00886EE8" w:rsidRPr="00C3564D">
        <w:rPr>
          <w:lang w:val="en-GB"/>
        </w:rPr>
        <w:t xml:space="preserve">months to recover from </w:t>
      </w:r>
      <w:r w:rsidR="00A30429" w:rsidRPr="00C3564D">
        <w:rPr>
          <w:lang w:val="en-GB"/>
        </w:rPr>
        <w:t xml:space="preserve">the </w:t>
      </w:r>
      <w:r w:rsidR="00886EE8" w:rsidRPr="00C3564D">
        <w:rPr>
          <w:lang w:val="en-GB"/>
        </w:rPr>
        <w:t>adverse effects of chemotherapy.</w:t>
      </w:r>
      <w:r w:rsidR="00D34419" w:rsidRPr="00C3564D">
        <w:rPr>
          <w:lang w:val="en-GB"/>
        </w:rPr>
        <w:t xml:space="preserve"> The NHS England clinical lead</w:t>
      </w:r>
      <w:r w:rsidR="00EC7402" w:rsidRPr="00C3564D">
        <w:rPr>
          <w:lang w:val="en-GB"/>
        </w:rPr>
        <w:t xml:space="preserve"> advised</w:t>
      </w:r>
      <w:r w:rsidR="00D34419" w:rsidRPr="00C3564D">
        <w:rPr>
          <w:lang w:val="en-GB"/>
        </w:rPr>
        <w:t xml:space="preserve"> that if nivolumab increase</w:t>
      </w:r>
      <w:r w:rsidR="00EC7402" w:rsidRPr="00C3564D">
        <w:rPr>
          <w:lang w:val="en-GB"/>
        </w:rPr>
        <w:t>d</w:t>
      </w:r>
      <w:r w:rsidR="00D34419" w:rsidRPr="00C3564D">
        <w:rPr>
          <w:lang w:val="en-GB"/>
        </w:rPr>
        <w:t xml:space="preserve"> the use of</w:t>
      </w:r>
      <w:r w:rsidR="007D4DF4">
        <w:rPr>
          <w:lang w:val="en-GB"/>
        </w:rPr>
        <w:t xml:space="preserve"> third-</w:t>
      </w:r>
      <w:r w:rsidR="00D34419" w:rsidRPr="00C3564D">
        <w:rPr>
          <w:lang w:val="en-GB"/>
        </w:rPr>
        <w:t>line treatments, a constant utility</w:t>
      </w:r>
      <w:r w:rsidR="00D2514E">
        <w:rPr>
          <w:lang w:val="en-GB"/>
        </w:rPr>
        <w:t xml:space="preserve"> after progression</w:t>
      </w:r>
      <w:r w:rsidR="00D34419" w:rsidRPr="00C3564D">
        <w:rPr>
          <w:lang w:val="en-GB"/>
        </w:rPr>
        <w:t xml:space="preserve"> </w:t>
      </w:r>
      <w:r w:rsidR="00C512CF">
        <w:rPr>
          <w:lang w:val="en-GB"/>
        </w:rPr>
        <w:t>wa</w:t>
      </w:r>
      <w:r w:rsidR="00D34419" w:rsidRPr="00C3564D">
        <w:rPr>
          <w:lang w:val="en-GB"/>
        </w:rPr>
        <w:t>s not plausible.</w:t>
      </w:r>
      <w:r w:rsidR="00886EE8" w:rsidRPr="00C3564D">
        <w:rPr>
          <w:lang w:val="en-GB"/>
        </w:rPr>
        <w:t xml:space="preserve"> The committee concluded that </w:t>
      </w:r>
      <w:r w:rsidR="00DB2FFB" w:rsidRPr="00C3564D">
        <w:rPr>
          <w:lang w:val="en-GB"/>
        </w:rPr>
        <w:t>a differential utility</w:t>
      </w:r>
      <w:r w:rsidR="00BE183F">
        <w:rPr>
          <w:lang w:val="en-GB"/>
        </w:rPr>
        <w:t xml:space="preserve"> before progression</w:t>
      </w:r>
      <w:r w:rsidR="00DB2FFB" w:rsidRPr="00C3564D">
        <w:rPr>
          <w:lang w:val="en-GB"/>
        </w:rPr>
        <w:t xml:space="preserve"> was reasonable, but </w:t>
      </w:r>
      <w:r w:rsidR="00886EE8" w:rsidRPr="00C3564D">
        <w:rPr>
          <w:lang w:val="en-GB"/>
        </w:rPr>
        <w:t>the company had not given adequate justification for a long-term difference in utility</w:t>
      </w:r>
      <w:r w:rsidR="00532F63">
        <w:rPr>
          <w:lang w:val="en-GB"/>
        </w:rPr>
        <w:t xml:space="preserve"> after progression</w:t>
      </w:r>
      <w:r w:rsidR="00886EE8" w:rsidRPr="00C3564D">
        <w:rPr>
          <w:lang w:val="en-GB"/>
        </w:rPr>
        <w:t>.</w:t>
      </w:r>
    </w:p>
    <w:p w14:paraId="7CFE6966" w14:textId="66A1D667" w:rsidR="00E566CC" w:rsidRPr="00C3564D" w:rsidRDefault="00E566CC" w:rsidP="00E566CC">
      <w:pPr>
        <w:pStyle w:val="Heading2"/>
      </w:pPr>
      <w:r w:rsidRPr="00C3564D">
        <w:t>Costs</w:t>
      </w:r>
    </w:p>
    <w:p w14:paraId="04CB0B93" w14:textId="37E90FAC" w:rsidR="00E566CC" w:rsidRPr="00C3564D" w:rsidRDefault="00E566CC" w:rsidP="00035FF6">
      <w:pPr>
        <w:pStyle w:val="Heading3"/>
      </w:pPr>
      <w:r w:rsidRPr="00C3564D">
        <w:t xml:space="preserve">The company’s method for estimated medical resource use costs </w:t>
      </w:r>
      <w:r w:rsidR="00844109">
        <w:t>i</w:t>
      </w:r>
      <w:r w:rsidRPr="00C3564D">
        <w:t>s not adequately justified</w:t>
      </w:r>
      <w:r w:rsidR="00035FF6" w:rsidRPr="00C3564D">
        <w:t>,</w:t>
      </w:r>
      <w:r w:rsidRPr="00C3564D">
        <w:t xml:space="preserve"> </w:t>
      </w:r>
      <w:proofErr w:type="spellStart"/>
      <w:r w:rsidRPr="00C3564D">
        <w:t>eMIT</w:t>
      </w:r>
      <w:proofErr w:type="spellEnd"/>
      <w:r w:rsidRPr="00C3564D">
        <w:t xml:space="preserve"> should be the source for treatment costs</w:t>
      </w:r>
    </w:p>
    <w:p w14:paraId="742396DC" w14:textId="43492ECA" w:rsidR="00EC7402" w:rsidRPr="00C3564D" w:rsidRDefault="00886EE8" w:rsidP="007E20D8">
      <w:pPr>
        <w:pStyle w:val="Numberedlevel2text"/>
        <w:rPr>
          <w:lang w:val="en-GB"/>
        </w:rPr>
      </w:pPr>
      <w:r w:rsidRPr="00C3564D">
        <w:rPr>
          <w:lang w:val="en-GB"/>
        </w:rPr>
        <w:t>The company used</w:t>
      </w:r>
      <w:r w:rsidR="00EC7402" w:rsidRPr="00C3564D">
        <w:rPr>
          <w:lang w:val="en-GB"/>
        </w:rPr>
        <w:t xml:space="preserve"> the</w:t>
      </w:r>
      <w:r w:rsidRPr="00C3564D">
        <w:rPr>
          <w:lang w:val="en-GB"/>
        </w:rPr>
        <w:t xml:space="preserve"> </w:t>
      </w:r>
      <w:r w:rsidR="003573AE" w:rsidRPr="00C3564D">
        <w:rPr>
          <w:lang w:val="en-GB"/>
        </w:rPr>
        <w:t>Monthly Index of Medical Specialities</w:t>
      </w:r>
      <w:r w:rsidRPr="00C3564D">
        <w:rPr>
          <w:lang w:val="en-GB"/>
        </w:rPr>
        <w:t xml:space="preserve"> list price of </w:t>
      </w:r>
      <w:proofErr w:type="spellStart"/>
      <w:r w:rsidRPr="00C3564D">
        <w:rPr>
          <w:lang w:val="en-GB"/>
        </w:rPr>
        <w:t>taxanes</w:t>
      </w:r>
      <w:proofErr w:type="spellEnd"/>
      <w:r w:rsidRPr="00C3564D">
        <w:rPr>
          <w:lang w:val="en-GB"/>
        </w:rPr>
        <w:t xml:space="preserve"> and subsequent treatment for their economic model. </w:t>
      </w:r>
      <w:hyperlink r:id="rId9" w:anchor="evidence-on-resource-use-and-costs" w:history="1">
        <w:r w:rsidR="00BF2ACD" w:rsidRPr="00041BD0">
          <w:rPr>
            <w:rStyle w:val="Hyperlink"/>
            <w:lang w:val="en-GB"/>
          </w:rPr>
          <w:t>S</w:t>
        </w:r>
        <w:r w:rsidR="00EC7402" w:rsidRPr="00041BD0">
          <w:rPr>
            <w:rStyle w:val="Hyperlink"/>
            <w:lang w:val="en-GB"/>
          </w:rPr>
          <w:t xml:space="preserve">ection 5.5.2 of </w:t>
        </w:r>
        <w:r w:rsidR="00447F37" w:rsidRPr="00041BD0">
          <w:rPr>
            <w:rStyle w:val="Hyperlink"/>
            <w:lang w:val="en-GB"/>
          </w:rPr>
          <w:t>NICE’s</w:t>
        </w:r>
        <w:r w:rsidR="00EC7402" w:rsidRPr="00041BD0">
          <w:rPr>
            <w:rStyle w:val="Hyperlink"/>
            <w:lang w:val="en-GB"/>
          </w:rPr>
          <w:t xml:space="preserve"> guide to the methods of technology appraisals</w:t>
        </w:r>
      </w:hyperlink>
      <w:r w:rsidR="00EC7402" w:rsidRPr="00C3564D">
        <w:rPr>
          <w:lang w:val="en-GB"/>
        </w:rPr>
        <w:t xml:space="preserve"> recommends </w:t>
      </w:r>
      <w:r w:rsidR="0008056A">
        <w:rPr>
          <w:lang w:val="en-GB"/>
        </w:rPr>
        <w:t>using</w:t>
      </w:r>
      <w:r w:rsidRPr="00C3564D">
        <w:rPr>
          <w:lang w:val="en-GB"/>
        </w:rPr>
        <w:t xml:space="preserve"> </w:t>
      </w:r>
      <w:r w:rsidR="00F12639">
        <w:rPr>
          <w:lang w:val="en-GB"/>
        </w:rPr>
        <w:t>e</w:t>
      </w:r>
      <w:r w:rsidR="003573AE" w:rsidRPr="00C3564D">
        <w:rPr>
          <w:lang w:val="en-GB"/>
        </w:rPr>
        <w:t xml:space="preserve">lectronic </w:t>
      </w:r>
      <w:r w:rsidR="00F12639">
        <w:rPr>
          <w:lang w:val="en-GB"/>
        </w:rPr>
        <w:t>m</w:t>
      </w:r>
      <w:r w:rsidR="003573AE" w:rsidRPr="00C3564D">
        <w:rPr>
          <w:lang w:val="en-GB"/>
        </w:rPr>
        <w:t xml:space="preserve">arket </w:t>
      </w:r>
      <w:r w:rsidR="00F12639">
        <w:rPr>
          <w:lang w:val="en-GB"/>
        </w:rPr>
        <w:t>i</w:t>
      </w:r>
      <w:r w:rsidR="003573AE" w:rsidRPr="00C3564D">
        <w:rPr>
          <w:lang w:val="en-GB"/>
        </w:rPr>
        <w:t xml:space="preserve">nformation </w:t>
      </w:r>
      <w:r w:rsidR="00F12639">
        <w:rPr>
          <w:lang w:val="en-GB"/>
        </w:rPr>
        <w:t>t</w:t>
      </w:r>
      <w:r w:rsidR="003573AE" w:rsidRPr="00C3564D">
        <w:rPr>
          <w:lang w:val="en-GB"/>
        </w:rPr>
        <w:t xml:space="preserve">ool </w:t>
      </w:r>
      <w:r w:rsidRPr="00C3564D">
        <w:rPr>
          <w:lang w:val="en-GB"/>
        </w:rPr>
        <w:t>(</w:t>
      </w:r>
      <w:proofErr w:type="spellStart"/>
      <w:r w:rsidR="003573AE" w:rsidRPr="00C3564D">
        <w:rPr>
          <w:lang w:val="en-GB"/>
        </w:rPr>
        <w:t>eMIT</w:t>
      </w:r>
      <w:proofErr w:type="spellEnd"/>
      <w:r w:rsidRPr="00C3564D">
        <w:rPr>
          <w:lang w:val="en-GB"/>
        </w:rPr>
        <w:t xml:space="preserve">) </w:t>
      </w:r>
      <w:r w:rsidR="00EC7402" w:rsidRPr="00C3564D">
        <w:rPr>
          <w:lang w:val="en-GB"/>
        </w:rPr>
        <w:t xml:space="preserve">prices because this </w:t>
      </w:r>
      <w:r w:rsidR="00BF2ACD">
        <w:rPr>
          <w:lang w:val="en-GB"/>
        </w:rPr>
        <w:t>i</w:t>
      </w:r>
      <w:r w:rsidRPr="00C3564D">
        <w:rPr>
          <w:lang w:val="en-GB"/>
        </w:rPr>
        <w:t>s the most reflective source of average prices paid by NHS trusts</w:t>
      </w:r>
      <w:r w:rsidR="00EC7402" w:rsidRPr="00C3564D">
        <w:rPr>
          <w:lang w:val="en-GB"/>
        </w:rPr>
        <w:t xml:space="preserve">. </w:t>
      </w:r>
      <w:r w:rsidRPr="00C3564D">
        <w:rPr>
          <w:lang w:val="en-GB"/>
        </w:rPr>
        <w:t xml:space="preserve">The committee </w:t>
      </w:r>
      <w:r w:rsidR="005631E7" w:rsidRPr="00C3564D">
        <w:rPr>
          <w:lang w:val="en-GB"/>
        </w:rPr>
        <w:t>conclude</w:t>
      </w:r>
      <w:r w:rsidRPr="00C3564D">
        <w:rPr>
          <w:lang w:val="en-GB"/>
        </w:rPr>
        <w:t xml:space="preserve">d that </w:t>
      </w:r>
      <w:proofErr w:type="spellStart"/>
      <w:r w:rsidRPr="00C3564D">
        <w:rPr>
          <w:lang w:val="en-GB"/>
        </w:rPr>
        <w:t>eMIT</w:t>
      </w:r>
      <w:proofErr w:type="spellEnd"/>
      <w:r w:rsidRPr="00C3564D">
        <w:rPr>
          <w:lang w:val="en-GB"/>
        </w:rPr>
        <w:t xml:space="preserve"> should have been used to estimate the costs of treatment</w:t>
      </w:r>
      <w:r w:rsidR="00D75CA3">
        <w:rPr>
          <w:lang w:val="en-GB"/>
        </w:rPr>
        <w:t>.</w:t>
      </w:r>
      <w:r w:rsidR="00555F21">
        <w:rPr>
          <w:lang w:val="en-GB"/>
        </w:rPr>
        <w:t xml:space="preserve"> </w:t>
      </w:r>
      <w:r w:rsidR="00D75CA3">
        <w:rPr>
          <w:lang w:val="en-GB"/>
        </w:rPr>
        <w:t>This</w:t>
      </w:r>
      <w:r w:rsidRPr="00C3564D">
        <w:rPr>
          <w:lang w:val="en-GB"/>
        </w:rPr>
        <w:t xml:space="preserve"> would increase the company</w:t>
      </w:r>
      <w:r w:rsidR="00555F21">
        <w:rPr>
          <w:lang w:val="en-GB"/>
        </w:rPr>
        <w:t xml:space="preserve"> </w:t>
      </w:r>
      <w:r w:rsidRPr="00C3564D">
        <w:rPr>
          <w:lang w:val="en-GB"/>
        </w:rPr>
        <w:t>base</w:t>
      </w:r>
      <w:r w:rsidR="00555F21">
        <w:rPr>
          <w:lang w:val="en-GB"/>
        </w:rPr>
        <w:t>-</w:t>
      </w:r>
      <w:r w:rsidRPr="00C3564D">
        <w:rPr>
          <w:lang w:val="en-GB"/>
        </w:rPr>
        <w:t>case model</w:t>
      </w:r>
      <w:r w:rsidR="00555F21">
        <w:rPr>
          <w:lang w:val="en-GB"/>
        </w:rPr>
        <w:t xml:space="preserve"> incremental cost-effectiveness ratio (ICER)</w:t>
      </w:r>
      <w:r w:rsidRPr="00C3564D">
        <w:rPr>
          <w:lang w:val="en-GB"/>
        </w:rPr>
        <w:t xml:space="preserve"> to £53,459 per </w:t>
      </w:r>
      <w:r w:rsidR="00861D77">
        <w:rPr>
          <w:lang w:val="en-GB"/>
        </w:rPr>
        <w:t>quality-adjusted life year (</w:t>
      </w:r>
      <w:r w:rsidRPr="00C3564D">
        <w:rPr>
          <w:lang w:val="en-GB"/>
        </w:rPr>
        <w:t>QALY</w:t>
      </w:r>
      <w:r w:rsidR="00861D77">
        <w:rPr>
          <w:lang w:val="en-GB"/>
        </w:rPr>
        <w:t>)</w:t>
      </w:r>
      <w:r w:rsidRPr="00C3564D">
        <w:rPr>
          <w:lang w:val="en-GB"/>
        </w:rPr>
        <w:t xml:space="preserve"> gained. </w:t>
      </w:r>
    </w:p>
    <w:p w14:paraId="2D7A18FE" w14:textId="624FF19A" w:rsidR="00EC7402" w:rsidRPr="00C3564D" w:rsidRDefault="00EC7402" w:rsidP="00EC7402">
      <w:pPr>
        <w:pStyle w:val="Heading3"/>
      </w:pPr>
      <w:r w:rsidRPr="00C3564D">
        <w:t>The company’s model underestimates the cost of inpatient treatment</w:t>
      </w:r>
    </w:p>
    <w:p w14:paraId="5F40CABA" w14:textId="0C718CA5" w:rsidR="00D4339C" w:rsidRPr="00C3564D" w:rsidRDefault="00886EE8" w:rsidP="007E20D8">
      <w:pPr>
        <w:pStyle w:val="Numberedlevel2text"/>
        <w:rPr>
          <w:lang w:val="en-GB"/>
        </w:rPr>
      </w:pPr>
      <w:r w:rsidRPr="00C3564D">
        <w:rPr>
          <w:lang w:val="en-GB"/>
        </w:rPr>
        <w:t>The company estimated the cost of</w:t>
      </w:r>
      <w:r w:rsidR="00EC7402" w:rsidRPr="00C3564D">
        <w:rPr>
          <w:lang w:val="en-GB"/>
        </w:rPr>
        <w:t xml:space="preserve"> each episode of</w:t>
      </w:r>
      <w:r w:rsidRPr="00C3564D">
        <w:rPr>
          <w:lang w:val="en-GB"/>
        </w:rPr>
        <w:t xml:space="preserve"> hospitalisation at £534.07</w:t>
      </w:r>
      <w:r w:rsidR="00396F35" w:rsidRPr="00C3564D">
        <w:rPr>
          <w:lang w:val="en-GB"/>
        </w:rPr>
        <w:t xml:space="preserve"> </w:t>
      </w:r>
      <w:r w:rsidR="00EC7402" w:rsidRPr="00C3564D">
        <w:rPr>
          <w:lang w:val="en-GB"/>
        </w:rPr>
        <w:t>based on</w:t>
      </w:r>
      <w:r w:rsidR="00396F35" w:rsidRPr="00C3564D">
        <w:rPr>
          <w:lang w:val="en-GB"/>
        </w:rPr>
        <w:t xml:space="preserve"> an average of 1</w:t>
      </w:r>
      <w:r w:rsidR="00AB136A">
        <w:rPr>
          <w:lang w:val="en-GB"/>
        </w:rPr>
        <w:t> </w:t>
      </w:r>
      <w:r w:rsidR="00396F35" w:rsidRPr="00C3564D">
        <w:rPr>
          <w:lang w:val="en-GB"/>
        </w:rPr>
        <w:t>bed day per p</w:t>
      </w:r>
      <w:r w:rsidR="006725F6">
        <w:rPr>
          <w:lang w:val="en-GB"/>
        </w:rPr>
        <w:t>erson</w:t>
      </w:r>
      <w:r w:rsidR="00396F35" w:rsidRPr="00C3564D">
        <w:rPr>
          <w:lang w:val="en-GB"/>
        </w:rPr>
        <w:t>.</w:t>
      </w:r>
      <w:r w:rsidRPr="00C3564D">
        <w:rPr>
          <w:lang w:val="en-GB"/>
        </w:rPr>
        <w:t xml:space="preserve"> </w:t>
      </w:r>
      <w:r w:rsidR="00396F35" w:rsidRPr="00C3564D">
        <w:rPr>
          <w:lang w:val="en-GB"/>
        </w:rPr>
        <w:t>T</w:t>
      </w:r>
      <w:r w:rsidRPr="00C3564D">
        <w:rPr>
          <w:lang w:val="en-GB"/>
        </w:rPr>
        <w:t xml:space="preserve">he ERG </w:t>
      </w:r>
      <w:r w:rsidR="00396F35" w:rsidRPr="00C3564D">
        <w:rPr>
          <w:lang w:val="en-GB"/>
        </w:rPr>
        <w:t xml:space="preserve">did not consider this method appropriate, instead using the cost of full length of </w:t>
      </w:r>
      <w:r w:rsidR="00396F35" w:rsidRPr="00C3564D">
        <w:rPr>
          <w:lang w:val="en-GB"/>
        </w:rPr>
        <w:lastRenderedPageBreak/>
        <w:t>hospitalisation without adjusting for the length of stay</w:t>
      </w:r>
      <w:r w:rsidRPr="00C3564D">
        <w:rPr>
          <w:lang w:val="en-GB"/>
        </w:rPr>
        <w:t>.</w:t>
      </w:r>
      <w:r w:rsidR="00396F35" w:rsidRPr="00C3564D">
        <w:rPr>
          <w:lang w:val="en-GB"/>
        </w:rPr>
        <w:t xml:space="preserve"> This increased the cost of hospitalisation to £3</w:t>
      </w:r>
      <w:r w:rsidR="00B27F24">
        <w:rPr>
          <w:lang w:val="en-GB"/>
        </w:rPr>
        <w:t>,</w:t>
      </w:r>
      <w:r w:rsidR="00396F35" w:rsidRPr="00C3564D">
        <w:rPr>
          <w:lang w:val="en-GB"/>
        </w:rPr>
        <w:t xml:space="preserve">379.73. The committee noted that this remains an uncertainty </w:t>
      </w:r>
      <w:r w:rsidR="00D96A8E">
        <w:rPr>
          <w:lang w:val="en-GB"/>
        </w:rPr>
        <w:t>that</w:t>
      </w:r>
      <w:r w:rsidR="00396F35" w:rsidRPr="00C3564D">
        <w:rPr>
          <w:lang w:val="en-GB"/>
        </w:rPr>
        <w:t xml:space="preserve"> has a substantial </w:t>
      </w:r>
      <w:r w:rsidR="00A71608">
        <w:rPr>
          <w:lang w:val="en-GB"/>
        </w:rPr>
        <w:t>effect</w:t>
      </w:r>
      <w:r w:rsidR="00A71608" w:rsidRPr="00C3564D">
        <w:rPr>
          <w:lang w:val="en-GB"/>
        </w:rPr>
        <w:t xml:space="preserve"> </w:t>
      </w:r>
      <w:r w:rsidR="00396F35" w:rsidRPr="00C3564D">
        <w:rPr>
          <w:lang w:val="en-GB"/>
        </w:rPr>
        <w:t xml:space="preserve">on the ICER. </w:t>
      </w:r>
      <w:r w:rsidR="00A55432">
        <w:rPr>
          <w:lang w:val="en-GB"/>
        </w:rPr>
        <w:t>It</w:t>
      </w:r>
      <w:r w:rsidR="00AD004F">
        <w:rPr>
          <w:lang w:val="en-GB"/>
        </w:rPr>
        <w:t xml:space="preserve"> </w:t>
      </w:r>
      <w:r w:rsidR="00396F35" w:rsidRPr="00C3564D">
        <w:rPr>
          <w:lang w:val="en-GB"/>
        </w:rPr>
        <w:t>concluded that the company ha</w:t>
      </w:r>
      <w:r w:rsidR="00AD004F">
        <w:rPr>
          <w:lang w:val="en-GB"/>
        </w:rPr>
        <w:t>d</w:t>
      </w:r>
      <w:r w:rsidR="00396F35" w:rsidRPr="00C3564D">
        <w:rPr>
          <w:lang w:val="en-GB"/>
        </w:rPr>
        <w:t xml:space="preserve"> not given adequate justification for the estimation of hospital costs based </w:t>
      </w:r>
      <w:r w:rsidR="0074357C" w:rsidRPr="00C3564D">
        <w:rPr>
          <w:lang w:val="en-GB"/>
        </w:rPr>
        <w:t>o</w:t>
      </w:r>
      <w:r w:rsidR="00396F35" w:rsidRPr="00C3564D">
        <w:rPr>
          <w:lang w:val="en-GB"/>
        </w:rPr>
        <w:t>n the duration of stay of 1</w:t>
      </w:r>
      <w:r w:rsidR="00F94DBB">
        <w:rPr>
          <w:lang w:val="en-GB"/>
        </w:rPr>
        <w:t> </w:t>
      </w:r>
      <w:r w:rsidR="0074357C" w:rsidRPr="00C3564D">
        <w:rPr>
          <w:lang w:val="en-GB"/>
        </w:rPr>
        <w:t>bed day.</w:t>
      </w:r>
    </w:p>
    <w:p w14:paraId="3D0FCE52" w14:textId="030AF941" w:rsidR="004B7D57" w:rsidRPr="00C3564D" w:rsidRDefault="0023087E" w:rsidP="004B7D57">
      <w:pPr>
        <w:pStyle w:val="Heading3"/>
      </w:pPr>
      <w:r>
        <w:t>The range of plausible ICERs is above what is considered cost</w:t>
      </w:r>
      <w:r w:rsidR="001A2519">
        <w:t xml:space="preserve"> </w:t>
      </w:r>
      <w:r>
        <w:t>effective</w:t>
      </w:r>
    </w:p>
    <w:p w14:paraId="5871C576" w14:textId="67276DAA" w:rsidR="0023576D" w:rsidRPr="00E42973" w:rsidRDefault="004E49D2" w:rsidP="00E77891">
      <w:pPr>
        <w:pStyle w:val="Numberedlevel2text"/>
      </w:pPr>
      <w:r w:rsidRPr="00C3564D">
        <w:t>The committee noted that the company bas</w:t>
      </w:r>
      <w:r w:rsidR="00555F21">
        <w:t>e-</w:t>
      </w:r>
      <w:r w:rsidRPr="00C3564D">
        <w:t xml:space="preserve">case ICER (including </w:t>
      </w:r>
      <w:proofErr w:type="spellStart"/>
      <w:r w:rsidRPr="00C3564D">
        <w:t>eMIT</w:t>
      </w:r>
      <w:proofErr w:type="spellEnd"/>
      <w:r w:rsidRPr="00C3564D">
        <w:t xml:space="preserve"> costs for </w:t>
      </w:r>
      <w:proofErr w:type="spellStart"/>
      <w:r w:rsidRPr="00C3564D">
        <w:t>taxanes</w:t>
      </w:r>
      <w:proofErr w:type="spellEnd"/>
      <w:r w:rsidRPr="00C3564D">
        <w:t>) was £53,</w:t>
      </w:r>
      <w:r w:rsidR="00555F21">
        <w:t>45</w:t>
      </w:r>
      <w:r w:rsidRPr="00C3564D">
        <w:t>9 per QALY gained. The</w:t>
      </w:r>
      <w:r w:rsidR="006305CB">
        <w:t>re</w:t>
      </w:r>
      <w:r w:rsidRPr="00C3564D">
        <w:t xml:space="preserve"> were several modelling uncertainties remaining</w:t>
      </w:r>
      <w:r w:rsidR="00B27F24">
        <w:t>,</w:t>
      </w:r>
      <w:r w:rsidRPr="00C3564D">
        <w:t xml:space="preserve"> including the extrapolation of overall survival, progression-free survival and time on treatment</w:t>
      </w:r>
      <w:r w:rsidR="00BB6B16">
        <w:t>.</w:t>
      </w:r>
      <w:r w:rsidRPr="00C3564D">
        <w:t xml:space="preserve"> </w:t>
      </w:r>
      <w:r w:rsidR="00BB6B16">
        <w:t>A</w:t>
      </w:r>
      <w:r w:rsidRPr="00C3564D">
        <w:t xml:space="preserve">ll of </w:t>
      </w:r>
      <w:r w:rsidR="00BB6B16">
        <w:t>these</w:t>
      </w:r>
      <w:r w:rsidRPr="00C3564D">
        <w:t xml:space="preserve"> </w:t>
      </w:r>
      <w:r w:rsidR="00405B04">
        <w:t>could</w:t>
      </w:r>
      <w:r w:rsidR="00405B04" w:rsidRPr="00C3564D">
        <w:t xml:space="preserve"> </w:t>
      </w:r>
      <w:r w:rsidRPr="00C3564D">
        <w:t>be affected by evidence from the 36-month data cut.</w:t>
      </w:r>
      <w:r w:rsidR="0068401B" w:rsidRPr="00C3564D">
        <w:t xml:space="preserve"> The ERG base</w:t>
      </w:r>
      <w:r w:rsidR="00F87926">
        <w:t>-</w:t>
      </w:r>
      <w:r w:rsidR="0068401B" w:rsidRPr="00C3564D">
        <w:t xml:space="preserve">case analysis included different assumptions for overall survival, time on treatment, utility </w:t>
      </w:r>
      <w:r w:rsidR="003B0C7E">
        <w:t xml:space="preserve">values before and after progression, </w:t>
      </w:r>
      <w:r w:rsidR="0068401B" w:rsidRPr="00C3564D">
        <w:t xml:space="preserve">and medical resource </w:t>
      </w:r>
      <w:r w:rsidR="00555F21">
        <w:t xml:space="preserve">use </w:t>
      </w:r>
      <w:r w:rsidR="0068401B" w:rsidRPr="00C3564D">
        <w:t>costs</w:t>
      </w:r>
      <w:r w:rsidR="003B0C7E">
        <w:t>. This</w:t>
      </w:r>
      <w:r w:rsidR="0068401B" w:rsidRPr="00C3564D">
        <w:t xml:space="preserve"> gave a cumulative ICER of £125,984 per QALY gained. </w:t>
      </w:r>
      <w:r w:rsidR="00405B04">
        <w:t>U</w:t>
      </w:r>
      <w:r w:rsidR="00DD17D6" w:rsidRPr="00C3564D">
        <w:t>sing the data available so far</w:t>
      </w:r>
      <w:r w:rsidR="00692E70">
        <w:rPr>
          <w:lang w:val="en-US"/>
        </w:rPr>
        <w:t>,</w:t>
      </w:r>
      <w:r w:rsidR="0068401B" w:rsidRPr="00C3564D">
        <w:t xml:space="preserve"> </w:t>
      </w:r>
      <w:r w:rsidR="008E1477">
        <w:t>the ICER</w:t>
      </w:r>
      <w:r w:rsidR="0068401B" w:rsidRPr="00C3564D">
        <w:t xml:space="preserve"> may be between £53,</w:t>
      </w:r>
      <w:r w:rsidR="00555F21">
        <w:t>45</w:t>
      </w:r>
      <w:r w:rsidR="0068401B" w:rsidRPr="00C3564D">
        <w:t xml:space="preserve">9 (company base case with </w:t>
      </w:r>
      <w:proofErr w:type="spellStart"/>
      <w:r w:rsidR="0068401B" w:rsidRPr="00C3564D">
        <w:t>eMIT</w:t>
      </w:r>
      <w:proofErr w:type="spellEnd"/>
      <w:r w:rsidR="0068401B" w:rsidRPr="00C3564D">
        <w:t xml:space="preserve"> </w:t>
      </w:r>
      <w:proofErr w:type="spellStart"/>
      <w:r w:rsidR="0068401B" w:rsidRPr="00C3564D">
        <w:t>taxane</w:t>
      </w:r>
      <w:proofErr w:type="spellEnd"/>
      <w:r w:rsidR="0068401B" w:rsidRPr="00C3564D">
        <w:t xml:space="preserve"> prices) and £125,984 </w:t>
      </w:r>
      <w:r w:rsidR="008E1477">
        <w:t xml:space="preserve">(ERG base case) </w:t>
      </w:r>
      <w:r w:rsidR="0068401B" w:rsidRPr="00C3564D">
        <w:t xml:space="preserve">per QALY gained. The committee concluded that nivolumab could not be recommended as a cost-effective use of NHS resources. </w:t>
      </w:r>
      <w:r w:rsidR="000043C6">
        <w:t>It</w:t>
      </w:r>
      <w:r w:rsidR="0068401B" w:rsidRPr="00C3564D">
        <w:t xml:space="preserve"> noted that the lowest ICER is </w:t>
      </w:r>
      <w:r w:rsidR="000E4A8F" w:rsidRPr="00C3564D">
        <w:t xml:space="preserve">also </w:t>
      </w:r>
      <w:r w:rsidR="0068401B" w:rsidRPr="00C3564D">
        <w:t xml:space="preserve">above what is considered </w:t>
      </w:r>
      <w:r w:rsidR="00405B04">
        <w:t>plausibly cost</w:t>
      </w:r>
      <w:r w:rsidR="00924DFA">
        <w:rPr>
          <w:lang w:val="en-US"/>
        </w:rPr>
        <w:t xml:space="preserve"> </w:t>
      </w:r>
      <w:r w:rsidR="00405B04">
        <w:t>effective</w:t>
      </w:r>
      <w:r w:rsidR="00405B04" w:rsidRPr="00C3564D">
        <w:t xml:space="preserve"> </w:t>
      </w:r>
      <w:r w:rsidR="00DD17D6" w:rsidRPr="00C3564D">
        <w:t>f</w:t>
      </w:r>
      <w:r w:rsidR="000E4A8F" w:rsidRPr="00C3564D">
        <w:t xml:space="preserve">or consideration </w:t>
      </w:r>
      <w:r w:rsidR="0023576D">
        <w:rPr>
          <w:lang w:val="en-US"/>
        </w:rPr>
        <w:t>in</w:t>
      </w:r>
      <w:r w:rsidR="000E4A8F" w:rsidRPr="00C3564D">
        <w:t xml:space="preserve"> </w:t>
      </w:r>
      <w:r w:rsidR="0068401B" w:rsidRPr="00C3564D">
        <w:t>the Cancer Drugs Fund.</w:t>
      </w:r>
    </w:p>
    <w:p w14:paraId="72634CC1" w14:textId="3B055FB2" w:rsidR="00156A6B" w:rsidRDefault="00647356" w:rsidP="00D762FC">
      <w:pPr>
        <w:pStyle w:val="Heading2"/>
      </w:pPr>
      <w:r w:rsidRPr="00C3564D">
        <w:t>End</w:t>
      </w:r>
      <w:r w:rsidR="00B5426D">
        <w:t xml:space="preserve"> </w:t>
      </w:r>
      <w:r w:rsidRPr="00C3564D">
        <w:t>of</w:t>
      </w:r>
      <w:r w:rsidR="00B5426D">
        <w:t xml:space="preserve"> </w:t>
      </w:r>
      <w:r w:rsidRPr="00C3564D">
        <w:t>life</w:t>
      </w:r>
    </w:p>
    <w:p w14:paraId="6B6D4B3F" w14:textId="5834FF9D" w:rsidR="00647356" w:rsidRPr="00C3564D" w:rsidRDefault="00156A6B" w:rsidP="006926E9">
      <w:pPr>
        <w:pStyle w:val="Heading3"/>
      </w:pPr>
      <w:r>
        <w:t>Nivolumab meets the end-of-life criteria</w:t>
      </w:r>
    </w:p>
    <w:p w14:paraId="468738DE" w14:textId="5EA3B065" w:rsidR="00647356" w:rsidRPr="00B5426D" w:rsidRDefault="00204B13" w:rsidP="007D63EE">
      <w:pPr>
        <w:pStyle w:val="Numberedlevel2text"/>
      </w:pPr>
      <w:r>
        <w:t xml:space="preserve">The committee considered the </w:t>
      </w:r>
      <w:r w:rsidRPr="00611D94">
        <w:t>advice</w:t>
      </w:r>
      <w:r>
        <w:t xml:space="preserve"> about life-extending treatments for people with a short life expectancy in </w:t>
      </w:r>
      <w:hyperlink r:id="rId10" w:history="1">
        <w:r w:rsidRPr="00D019BA">
          <w:rPr>
            <w:rStyle w:val="Hyperlink"/>
          </w:rPr>
          <w:t>NICE’s guide to the methods of technology appraisal</w:t>
        </w:r>
      </w:hyperlink>
      <w:r>
        <w:t>.</w:t>
      </w:r>
      <w:r>
        <w:rPr>
          <w:lang w:val="en-US"/>
        </w:rPr>
        <w:t xml:space="preserve"> </w:t>
      </w:r>
      <w:r w:rsidR="00647356" w:rsidRPr="007D63EE">
        <w:rPr>
          <w:lang w:val="en-GB"/>
        </w:rPr>
        <w:t xml:space="preserve">The committee considered whether nivolumab meets the end-of-life criteria for people with </w:t>
      </w:r>
      <w:r w:rsidR="00647356" w:rsidRPr="00495C0C">
        <w:rPr>
          <w:lang w:val="en-GB"/>
        </w:rPr>
        <w:t>unresectable</w:t>
      </w:r>
      <w:r w:rsidR="00647356" w:rsidRPr="007D63EE">
        <w:rPr>
          <w:lang w:val="en-GB"/>
        </w:rPr>
        <w:t xml:space="preserve">, </w:t>
      </w:r>
      <w:proofErr w:type="gramStart"/>
      <w:r w:rsidR="00647356" w:rsidRPr="007D63EE">
        <w:rPr>
          <w:lang w:val="en-GB"/>
        </w:rPr>
        <w:t>advanced</w:t>
      </w:r>
      <w:proofErr w:type="gramEnd"/>
      <w:r w:rsidR="00647356" w:rsidRPr="007D63EE">
        <w:rPr>
          <w:lang w:val="en-GB"/>
        </w:rPr>
        <w:t xml:space="preserve"> </w:t>
      </w:r>
      <w:r w:rsidR="00CF40CE">
        <w:rPr>
          <w:lang w:val="en-GB"/>
        </w:rPr>
        <w:t xml:space="preserve">or recurrent </w:t>
      </w:r>
      <w:r w:rsidR="00647356" w:rsidRPr="007D63EE">
        <w:rPr>
          <w:lang w:val="en-GB"/>
        </w:rPr>
        <w:t xml:space="preserve">oesophageal cancer who have </w:t>
      </w:r>
      <w:r w:rsidR="00204579" w:rsidRPr="007D63EE">
        <w:rPr>
          <w:lang w:val="en-GB"/>
        </w:rPr>
        <w:t>had</w:t>
      </w:r>
      <w:r w:rsidR="00647356" w:rsidRPr="00495C0C">
        <w:rPr>
          <w:lang w:val="en-GB"/>
        </w:rPr>
        <w:t xml:space="preserve"> fluoropyrimidine and platinum-based therapy. The company and ERG both agreed based on their analyses that life expectancy in this population is less than 24</w:t>
      </w:r>
      <w:r w:rsidR="000277E6">
        <w:rPr>
          <w:lang w:val="en-GB"/>
        </w:rPr>
        <w:t> </w:t>
      </w:r>
      <w:r w:rsidR="00647356" w:rsidRPr="00495C0C">
        <w:rPr>
          <w:lang w:val="en-GB"/>
        </w:rPr>
        <w:t>months</w:t>
      </w:r>
      <w:r w:rsidR="00543B6D" w:rsidRPr="00495C0C">
        <w:rPr>
          <w:lang w:val="en-GB"/>
        </w:rPr>
        <w:t xml:space="preserve">. The committee concluded that nivolumab was indicated for </w:t>
      </w:r>
      <w:r w:rsidR="00543B6D" w:rsidRPr="00495C0C">
        <w:rPr>
          <w:lang w:val="en-GB"/>
        </w:rPr>
        <w:lastRenderedPageBreak/>
        <w:t xml:space="preserve">people with a short life expectancy. </w:t>
      </w:r>
      <w:r w:rsidR="00B5426D">
        <w:rPr>
          <w:lang w:val="en-GB"/>
        </w:rPr>
        <w:t>T</w:t>
      </w:r>
      <w:r w:rsidR="00C236E8" w:rsidRPr="00495C0C">
        <w:rPr>
          <w:lang w:val="en-GB"/>
        </w:rPr>
        <w:t>he observed</w:t>
      </w:r>
      <w:r w:rsidR="003D772C">
        <w:rPr>
          <w:lang w:val="en-GB"/>
        </w:rPr>
        <w:t xml:space="preserve"> median</w:t>
      </w:r>
      <w:r w:rsidR="00C236E8" w:rsidRPr="00495C0C">
        <w:rPr>
          <w:lang w:val="en-GB"/>
        </w:rPr>
        <w:t xml:space="preserve"> overall survival benefit with nivolumab of 2.5</w:t>
      </w:r>
      <w:r w:rsidR="00B91014">
        <w:rPr>
          <w:lang w:val="en-GB"/>
        </w:rPr>
        <w:t> </w:t>
      </w:r>
      <w:r w:rsidR="00C236E8" w:rsidRPr="00495C0C">
        <w:rPr>
          <w:lang w:val="en-GB"/>
        </w:rPr>
        <w:t>months was extrapolated</w:t>
      </w:r>
      <w:r w:rsidR="00B5426D">
        <w:rPr>
          <w:lang w:val="en-GB"/>
        </w:rPr>
        <w:t>. T</w:t>
      </w:r>
      <w:r w:rsidR="00647356" w:rsidRPr="00495C0C">
        <w:rPr>
          <w:lang w:val="en-GB"/>
        </w:rPr>
        <w:t xml:space="preserve">his </w:t>
      </w:r>
      <w:r w:rsidR="00A42A69" w:rsidRPr="00495C0C">
        <w:rPr>
          <w:lang w:val="en-GB"/>
        </w:rPr>
        <w:t>gave</w:t>
      </w:r>
      <w:r w:rsidR="006D37DB">
        <w:rPr>
          <w:lang w:val="en-GB"/>
        </w:rPr>
        <w:t xml:space="preserve"> an</w:t>
      </w:r>
      <w:r w:rsidR="00C236E8" w:rsidRPr="00495C0C">
        <w:rPr>
          <w:lang w:val="en-GB"/>
        </w:rPr>
        <w:t xml:space="preserve"> expected overall</w:t>
      </w:r>
      <w:r w:rsidR="003D772C">
        <w:rPr>
          <w:lang w:val="en-GB"/>
        </w:rPr>
        <w:t xml:space="preserve"> mean</w:t>
      </w:r>
      <w:r w:rsidR="00C236E8" w:rsidRPr="00495C0C">
        <w:rPr>
          <w:lang w:val="en-GB"/>
        </w:rPr>
        <w:t xml:space="preserve"> survival benefit of</w:t>
      </w:r>
      <w:r w:rsidR="00647356" w:rsidRPr="00495C0C">
        <w:rPr>
          <w:lang w:val="en-GB"/>
        </w:rPr>
        <w:t xml:space="preserve"> 7.8</w:t>
      </w:r>
      <w:r w:rsidR="00B91014">
        <w:rPr>
          <w:lang w:val="en-GB"/>
        </w:rPr>
        <w:t> </w:t>
      </w:r>
      <w:r w:rsidR="00647356" w:rsidRPr="00495C0C">
        <w:rPr>
          <w:lang w:val="en-GB"/>
        </w:rPr>
        <w:t xml:space="preserve">months in the company’s base-case model </w:t>
      </w:r>
      <w:r w:rsidR="00C236E8" w:rsidRPr="00495C0C">
        <w:rPr>
          <w:lang w:val="en-GB"/>
        </w:rPr>
        <w:t>and</w:t>
      </w:r>
      <w:r w:rsidR="00647356" w:rsidRPr="00495C0C">
        <w:rPr>
          <w:lang w:val="en-GB"/>
        </w:rPr>
        <w:t xml:space="preserve"> 4.0</w:t>
      </w:r>
      <w:r w:rsidR="00B91014">
        <w:rPr>
          <w:lang w:val="en-GB"/>
        </w:rPr>
        <w:t> </w:t>
      </w:r>
      <w:r w:rsidR="00647356" w:rsidRPr="00495C0C">
        <w:rPr>
          <w:lang w:val="en-GB"/>
        </w:rPr>
        <w:t xml:space="preserve">months </w:t>
      </w:r>
      <w:r w:rsidR="00C236E8" w:rsidRPr="00495C0C">
        <w:rPr>
          <w:lang w:val="en-GB"/>
        </w:rPr>
        <w:t>in</w:t>
      </w:r>
      <w:r w:rsidR="00647356" w:rsidRPr="00495C0C">
        <w:rPr>
          <w:lang w:val="en-GB"/>
        </w:rPr>
        <w:t xml:space="preserve"> the ERG</w:t>
      </w:r>
      <w:r w:rsidR="00C236E8" w:rsidRPr="00495C0C">
        <w:rPr>
          <w:lang w:val="en-GB"/>
        </w:rPr>
        <w:t xml:space="preserve"> model</w:t>
      </w:r>
      <w:r w:rsidR="00647356" w:rsidRPr="00495C0C">
        <w:rPr>
          <w:lang w:val="en-GB"/>
        </w:rPr>
        <w:t xml:space="preserve">. </w:t>
      </w:r>
      <w:r w:rsidR="00C236E8" w:rsidRPr="00495C0C">
        <w:rPr>
          <w:lang w:val="en-GB"/>
        </w:rPr>
        <w:t>The committee considered it likely that the extension to life criteri</w:t>
      </w:r>
      <w:r w:rsidR="006D37DB">
        <w:rPr>
          <w:lang w:val="en-GB"/>
        </w:rPr>
        <w:t>on</w:t>
      </w:r>
      <w:r w:rsidR="00C236E8" w:rsidRPr="00495C0C">
        <w:rPr>
          <w:lang w:val="en-GB"/>
        </w:rPr>
        <w:t xml:space="preserve"> </w:t>
      </w:r>
      <w:r w:rsidR="00BA2F44" w:rsidRPr="00495C0C">
        <w:rPr>
          <w:lang w:val="en-GB"/>
        </w:rPr>
        <w:t>wa</w:t>
      </w:r>
      <w:r w:rsidR="00C236E8" w:rsidRPr="00495C0C">
        <w:rPr>
          <w:lang w:val="en-GB"/>
        </w:rPr>
        <w:t xml:space="preserve">s met but would like to see the </w:t>
      </w:r>
      <w:r w:rsidR="004B52D1" w:rsidRPr="00495C0C">
        <w:rPr>
          <w:lang w:val="en-GB"/>
        </w:rPr>
        <w:t>effect</w:t>
      </w:r>
      <w:r w:rsidR="00C236E8" w:rsidRPr="00495C0C">
        <w:rPr>
          <w:lang w:val="en-GB"/>
        </w:rPr>
        <w:t xml:space="preserve"> of the 36-month data on modelled survival benefit.</w:t>
      </w:r>
    </w:p>
    <w:p w14:paraId="764DEAED" w14:textId="1DB5022E" w:rsidR="00E91460" w:rsidRPr="00C3564D" w:rsidRDefault="00E91460" w:rsidP="00E91460">
      <w:pPr>
        <w:pStyle w:val="Heading2"/>
      </w:pPr>
      <w:r w:rsidRPr="00C3564D">
        <w:t>Conclusion</w:t>
      </w:r>
    </w:p>
    <w:p w14:paraId="1F8FDE01" w14:textId="1E692797" w:rsidR="00DC3177" w:rsidRPr="00C3564D" w:rsidRDefault="00051A5C" w:rsidP="0073007E">
      <w:pPr>
        <w:pStyle w:val="Heading3"/>
      </w:pPr>
      <w:r>
        <w:t>N</w:t>
      </w:r>
      <w:r w:rsidR="005631E7" w:rsidRPr="00C3564D">
        <w:t>ivolumab</w:t>
      </w:r>
      <w:r>
        <w:t xml:space="preserve"> is not recommended</w:t>
      </w:r>
      <w:r w:rsidR="005631E7" w:rsidRPr="00C3564D">
        <w:t xml:space="preserve"> given the uncertainty in clinical and cost-effectiveness data</w:t>
      </w:r>
    </w:p>
    <w:p w14:paraId="4C60A08F" w14:textId="17E8AFD8" w:rsidR="00E91460" w:rsidRPr="00C3564D" w:rsidRDefault="00E91460" w:rsidP="00E42973">
      <w:pPr>
        <w:pStyle w:val="Numberedlevel2text"/>
      </w:pPr>
      <w:r w:rsidRPr="00C3564D">
        <w:t xml:space="preserve">Data from the clinical trial shows that nivolumab offers improved survival benefit compared with </w:t>
      </w:r>
      <w:proofErr w:type="spellStart"/>
      <w:r w:rsidRPr="00C3564D">
        <w:t>taxanes</w:t>
      </w:r>
      <w:proofErr w:type="spellEnd"/>
      <w:r w:rsidRPr="00C3564D">
        <w:t xml:space="preserve"> in the long</w:t>
      </w:r>
      <w:r w:rsidR="00B5426D">
        <w:t xml:space="preserve"> </w:t>
      </w:r>
      <w:r w:rsidRPr="00C3564D">
        <w:t>term, but not the short</w:t>
      </w:r>
      <w:r w:rsidR="00B5426D">
        <w:t xml:space="preserve"> </w:t>
      </w:r>
      <w:r w:rsidRPr="00C3564D">
        <w:t xml:space="preserve">term. The committee has not seen the most recent </w:t>
      </w:r>
      <w:r w:rsidR="006D37DB">
        <w:t>results for</w:t>
      </w:r>
      <w:r w:rsidRPr="00C3564D">
        <w:t xml:space="preserve"> overall survival, progression-free survival and time on treatment. </w:t>
      </w:r>
      <w:r w:rsidR="00712574" w:rsidRPr="00C3564D">
        <w:t xml:space="preserve">Further justification and supporting evidence is </w:t>
      </w:r>
      <w:r w:rsidR="00D879DB">
        <w:t>needed</w:t>
      </w:r>
      <w:r w:rsidR="00712574" w:rsidRPr="00C3564D">
        <w:t xml:space="preserve"> for methods of extrapolation, differential utility</w:t>
      </w:r>
      <w:r w:rsidR="009B316D">
        <w:t xml:space="preserve"> after progression</w:t>
      </w:r>
      <w:r w:rsidR="00712574" w:rsidRPr="00C3564D">
        <w:t xml:space="preserve"> between treatment arms and hospitalisation costs. </w:t>
      </w:r>
      <w:r w:rsidRPr="00C3564D">
        <w:t xml:space="preserve">The most plausible ICER is </w:t>
      </w:r>
      <w:r w:rsidR="0008445C" w:rsidRPr="00C3564D">
        <w:t>currently</w:t>
      </w:r>
      <w:r w:rsidR="00132B8E" w:rsidRPr="00C3564D">
        <w:t xml:space="preserve"> </w:t>
      </w:r>
      <w:r w:rsidRPr="00C3564D">
        <w:t xml:space="preserve">likely to range between </w:t>
      </w:r>
      <w:r w:rsidR="00712574" w:rsidRPr="00C3564D">
        <w:t>£53,</w:t>
      </w:r>
      <w:r w:rsidR="00555F21">
        <w:t>45</w:t>
      </w:r>
      <w:r w:rsidR="00712574" w:rsidRPr="00C3564D">
        <w:t xml:space="preserve">9 (company base case with </w:t>
      </w:r>
      <w:proofErr w:type="spellStart"/>
      <w:r w:rsidR="00712574" w:rsidRPr="00C3564D">
        <w:t>eMIT</w:t>
      </w:r>
      <w:proofErr w:type="spellEnd"/>
      <w:r w:rsidR="00712574" w:rsidRPr="00C3564D">
        <w:t xml:space="preserve"> </w:t>
      </w:r>
      <w:proofErr w:type="spellStart"/>
      <w:r w:rsidR="00712574" w:rsidRPr="00C3564D">
        <w:t>taxane</w:t>
      </w:r>
      <w:proofErr w:type="spellEnd"/>
      <w:r w:rsidR="00712574" w:rsidRPr="00C3564D">
        <w:t xml:space="preserve"> prices) and £125,984 per QALY gained (ERG base case). </w:t>
      </w:r>
      <w:r w:rsidRPr="00C3564D">
        <w:t>Based on the current evidence</w:t>
      </w:r>
      <w:r w:rsidR="00D45A51">
        <w:rPr>
          <w:lang w:val="en-US"/>
        </w:rPr>
        <w:t>,</w:t>
      </w:r>
      <w:r w:rsidRPr="00C3564D">
        <w:t xml:space="preserve"> nivolumab is not cost effective for routine use or inclusion in the Cancer Drugs Fund. </w:t>
      </w:r>
    </w:p>
    <w:p w14:paraId="66972AFE" w14:textId="77777777" w:rsidR="000F48EC" w:rsidRPr="00C3564D" w:rsidRDefault="007A2801" w:rsidP="002E73E7">
      <w:pPr>
        <w:pStyle w:val="Numberedheading1"/>
      </w:pPr>
      <w:r w:rsidRPr="00C3564D">
        <w:t xml:space="preserve">Proposed date for </w:t>
      </w:r>
      <w:r w:rsidR="00000441" w:rsidRPr="00C3564D">
        <w:t>r</w:t>
      </w:r>
      <w:r w:rsidR="000F48EC" w:rsidRPr="00C3564D">
        <w:t>eview of guidance</w:t>
      </w:r>
    </w:p>
    <w:p w14:paraId="50594823" w14:textId="48B2AAEE" w:rsidR="001823EB" w:rsidRPr="00C3564D" w:rsidRDefault="001823EB" w:rsidP="001823EB">
      <w:pPr>
        <w:pStyle w:val="Numberedlevel2text"/>
        <w:rPr>
          <w:lang w:val="en-GB"/>
        </w:rPr>
      </w:pPr>
      <w:r w:rsidRPr="00C3564D">
        <w:rPr>
          <w:lang w:val="en-GB"/>
        </w:rPr>
        <w:t xml:space="preserve">NICE proposes that the guidance on this technology is considered for review by the guidance executive 3 years after publication of the guidance. NICE welcomes comment on this proposed date. The guidance executive will decide whether the technology should be reviewed based on information gathered by NICE, and in consultation with consultees and commentators. </w:t>
      </w:r>
    </w:p>
    <w:p w14:paraId="4FC1A0D8" w14:textId="157D7847" w:rsidR="004845D0" w:rsidRPr="00C3564D" w:rsidRDefault="00A02A64" w:rsidP="00ED5F88">
      <w:pPr>
        <w:pStyle w:val="NICEnormal"/>
      </w:pPr>
      <w:r w:rsidRPr="00C3564D">
        <w:t>Jane Adam</w:t>
      </w:r>
      <w:r w:rsidR="004845D0" w:rsidRPr="00C3564D">
        <w:br/>
        <w:t xml:space="preserve">Chair, </w:t>
      </w:r>
      <w:r w:rsidR="003847B9" w:rsidRPr="00C3564D">
        <w:t>a</w:t>
      </w:r>
      <w:r w:rsidR="004845D0" w:rsidRPr="00C3564D">
        <w:t xml:space="preserve">ppraisal </w:t>
      </w:r>
      <w:r w:rsidR="003847B9" w:rsidRPr="00C3564D">
        <w:t>c</w:t>
      </w:r>
      <w:r w:rsidR="004845D0" w:rsidRPr="00C3564D">
        <w:t>ommittee</w:t>
      </w:r>
      <w:r w:rsidR="004845D0" w:rsidRPr="00C3564D">
        <w:br/>
      </w:r>
      <w:r w:rsidRPr="00C3564D">
        <w:t>October 2020</w:t>
      </w:r>
    </w:p>
    <w:p w14:paraId="52446006" w14:textId="77777777" w:rsidR="00B16431" w:rsidRPr="00C3564D" w:rsidRDefault="00B16431" w:rsidP="00B16431">
      <w:pPr>
        <w:pStyle w:val="Numberedheading1"/>
        <w:numPr>
          <w:ilvl w:val="0"/>
          <w:numId w:val="1"/>
        </w:numPr>
      </w:pPr>
      <w:r w:rsidRPr="00C3564D">
        <w:lastRenderedPageBreak/>
        <w:t xml:space="preserve">Appraisal </w:t>
      </w:r>
      <w:r w:rsidR="00343B53" w:rsidRPr="00C3564D">
        <w:t>c</w:t>
      </w:r>
      <w:r w:rsidRPr="00C3564D">
        <w:t>ommittee members and NICE project team</w:t>
      </w:r>
    </w:p>
    <w:p w14:paraId="2424B30D" w14:textId="77777777" w:rsidR="00B16431" w:rsidRPr="00C3564D" w:rsidRDefault="00B16431" w:rsidP="00B16431">
      <w:pPr>
        <w:pStyle w:val="Heading2"/>
      </w:pPr>
      <w:r w:rsidRPr="00C3564D">
        <w:t xml:space="preserve">Appraisal </w:t>
      </w:r>
      <w:r w:rsidR="00343B53" w:rsidRPr="00C3564D">
        <w:t>c</w:t>
      </w:r>
      <w:r w:rsidRPr="00C3564D">
        <w:t>ommittee members</w:t>
      </w:r>
    </w:p>
    <w:p w14:paraId="2EF5D0A4" w14:textId="1534EF23" w:rsidR="002F2583" w:rsidRPr="00C3564D" w:rsidRDefault="002F2583" w:rsidP="002F2583">
      <w:pPr>
        <w:pStyle w:val="NICEnormal"/>
        <w:rPr>
          <w:rFonts w:eastAsia="Calibri"/>
        </w:rPr>
      </w:pPr>
      <w:r w:rsidRPr="00C3564D">
        <w:t>The 4 technology appraisal committees are standing advisory committees of NICE. This topic was considered by</w:t>
      </w:r>
      <w:r w:rsidR="00591CB5" w:rsidRPr="00C3564D">
        <w:t xml:space="preserve"> </w:t>
      </w:r>
      <w:hyperlink r:id="rId11" w:history="1">
        <w:r w:rsidR="00591CB5" w:rsidRPr="00C3564D">
          <w:rPr>
            <w:rStyle w:val="Hyperlink"/>
          </w:rPr>
          <w:t>committee A</w:t>
        </w:r>
      </w:hyperlink>
      <w:r w:rsidRPr="00C3564D">
        <w:t>.</w:t>
      </w:r>
    </w:p>
    <w:p w14:paraId="2751F208" w14:textId="77777777" w:rsidR="002F2583" w:rsidRPr="00C3564D" w:rsidRDefault="002F2583" w:rsidP="002F2583">
      <w:pPr>
        <w:pStyle w:val="NICEnormal"/>
      </w:pPr>
      <w:r w:rsidRPr="00C3564D">
        <w:t xml:space="preserve">Committee members are asked to declare any interests in the technology to be appraised. If it is considered there is a conflict of interest, the member is excluded from participating further in that appraisal. </w:t>
      </w:r>
    </w:p>
    <w:p w14:paraId="0DBED734" w14:textId="77777777" w:rsidR="002F2583" w:rsidRPr="00C3564D" w:rsidRDefault="002F2583" w:rsidP="002F2583">
      <w:pPr>
        <w:pStyle w:val="NICEnormal"/>
      </w:pPr>
      <w:r w:rsidRPr="00C3564D">
        <w:t xml:space="preserve">The </w:t>
      </w:r>
      <w:hyperlink r:id="rId12" w:history="1">
        <w:r w:rsidRPr="00C3564D">
          <w:rPr>
            <w:rStyle w:val="Hyperlink"/>
            <w:rFonts w:eastAsia="Calibri"/>
          </w:rPr>
          <w:t>minutes</w:t>
        </w:r>
        <w:r w:rsidRPr="00C3564D">
          <w:rPr>
            <w:rStyle w:val="Hyperlink"/>
          </w:rPr>
          <w:t xml:space="preserve"> of each appraisal committee meeting</w:t>
        </w:r>
      </w:hyperlink>
      <w:r w:rsidRPr="00C3564D">
        <w:t>, which include the names of the members who attended and their declarations of interests, are posted on the NICE website.</w:t>
      </w:r>
    </w:p>
    <w:p w14:paraId="329A5FF8" w14:textId="185C1884" w:rsidR="00621AFB" w:rsidRPr="00C3564D" w:rsidRDefault="00621AFB" w:rsidP="002F2583">
      <w:pPr>
        <w:pStyle w:val="NICEnormal"/>
      </w:pPr>
      <w:r w:rsidRPr="00C3564D">
        <w:t>Committee members are asked to declare any interests in the technology to be appraised. If it is considered there is a conflict of interest, the member is excluded from participating further in that appraisal.</w:t>
      </w:r>
    </w:p>
    <w:p w14:paraId="67606B48" w14:textId="77777777" w:rsidR="00B16431" w:rsidRPr="00C3564D" w:rsidRDefault="00B16431" w:rsidP="00B16431">
      <w:pPr>
        <w:pStyle w:val="Heading2"/>
      </w:pPr>
      <w:r w:rsidRPr="00C3564D">
        <w:t>NICE project team</w:t>
      </w:r>
    </w:p>
    <w:p w14:paraId="7900A037" w14:textId="2AC6C185" w:rsidR="00B16431" w:rsidRPr="00C3564D" w:rsidRDefault="00B16431" w:rsidP="00B16431">
      <w:pPr>
        <w:pStyle w:val="NICEnormal"/>
      </w:pPr>
      <w:r w:rsidRPr="00C3564D">
        <w:t xml:space="preserve">Each technology appraisal is assigned to a team consisting of 1 or more health technology analysts (who act as technical leads for the appraisal), a technical adviser and a project manager. </w:t>
      </w:r>
    </w:p>
    <w:p w14:paraId="1F35C3CC" w14:textId="033BEEC6" w:rsidR="00C65932" w:rsidRPr="00C3564D" w:rsidRDefault="00C65932" w:rsidP="00591CB5">
      <w:pPr>
        <w:pStyle w:val="NICEnormal"/>
        <w:spacing w:after="0"/>
        <w:rPr>
          <w:b/>
          <w:bCs/>
        </w:rPr>
      </w:pPr>
      <w:bookmarkStart w:id="1" w:name="Text45"/>
      <w:r w:rsidRPr="00C3564D">
        <w:rPr>
          <w:b/>
          <w:bCs/>
        </w:rPr>
        <w:t>Farhaan Jamadar</w:t>
      </w:r>
    </w:p>
    <w:p w14:paraId="2D43C1A0" w14:textId="3D2A5D28" w:rsidR="00591CB5" w:rsidRPr="00C3564D" w:rsidRDefault="00591CB5" w:rsidP="00591CB5">
      <w:pPr>
        <w:pStyle w:val="NICEnormal"/>
      </w:pPr>
      <w:r w:rsidRPr="00C3564D">
        <w:t>Technical lead</w:t>
      </w:r>
    </w:p>
    <w:p w14:paraId="19068CF9" w14:textId="09483DE7" w:rsidR="00C65932" w:rsidRPr="00C3564D" w:rsidRDefault="00591CB5" w:rsidP="00591CB5">
      <w:pPr>
        <w:pStyle w:val="NICEnormal"/>
      </w:pPr>
      <w:r w:rsidRPr="00C3564D">
        <w:rPr>
          <w:b/>
          <w:bCs/>
        </w:rPr>
        <w:t>Eleanor Donegan</w:t>
      </w:r>
      <w:r w:rsidR="00B16431" w:rsidRPr="00C3564D">
        <w:br/>
      </w:r>
      <w:r w:rsidRPr="00C3564D">
        <w:t>Technical adviser</w:t>
      </w:r>
    </w:p>
    <w:p w14:paraId="0EAC1DF4" w14:textId="076AD9FD" w:rsidR="00C65932" w:rsidRPr="00C3564D" w:rsidRDefault="00591CB5" w:rsidP="00591CB5">
      <w:pPr>
        <w:pStyle w:val="NICEnormal"/>
        <w:spacing w:after="0"/>
        <w:rPr>
          <w:b/>
          <w:bCs/>
        </w:rPr>
      </w:pPr>
      <w:r w:rsidRPr="00C3564D">
        <w:rPr>
          <w:b/>
          <w:bCs/>
        </w:rPr>
        <w:t>Jeremy Powell</w:t>
      </w:r>
    </w:p>
    <w:p w14:paraId="0BF631AA" w14:textId="59438758" w:rsidR="00B16431" w:rsidRPr="00C3564D" w:rsidRDefault="00B16431" w:rsidP="005D3FD9">
      <w:pPr>
        <w:pStyle w:val="NICEnormal"/>
      </w:pPr>
      <w:r w:rsidRPr="00C3564D">
        <w:t xml:space="preserve">Project </w:t>
      </w:r>
      <w:r w:rsidR="00E65C76" w:rsidRPr="00C3564D">
        <w:t>m</w:t>
      </w:r>
      <w:r w:rsidRPr="00C3564D">
        <w:t>anager</w:t>
      </w:r>
      <w:bookmarkEnd w:id="1"/>
    </w:p>
    <w:p w14:paraId="7EDBF3F0" w14:textId="77777777" w:rsidR="006E7647" w:rsidRPr="00C3564D" w:rsidRDefault="006E7647" w:rsidP="00F05E37">
      <w:pPr>
        <w:pStyle w:val="NICEnormal"/>
      </w:pPr>
      <w:r w:rsidRPr="00C3564D">
        <w:t xml:space="preserve">ISBN: </w:t>
      </w:r>
      <w:r w:rsidRPr="00C3564D">
        <w:rPr>
          <w:highlight w:val="green"/>
        </w:rPr>
        <w:t>[to be added at publication]</w:t>
      </w:r>
    </w:p>
    <w:sectPr w:rsidR="006E7647" w:rsidRPr="00C3564D" w:rsidSect="00C76DDA">
      <w:headerReference w:type="default" r:id="rId13"/>
      <w:footerReference w:type="default" r:id="rId1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9F386" w14:textId="77777777" w:rsidR="0041669B" w:rsidRDefault="0041669B">
      <w:r>
        <w:separator/>
      </w:r>
    </w:p>
  </w:endnote>
  <w:endnote w:type="continuationSeparator" w:id="0">
    <w:p w14:paraId="6AE1740E" w14:textId="77777777" w:rsidR="0041669B" w:rsidRDefault="00416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25A34" w14:textId="09FFBF86" w:rsidR="0041669B" w:rsidRPr="003D33FB" w:rsidRDefault="0041669B" w:rsidP="007A7EC8">
    <w:pPr>
      <w:pStyle w:val="NICEnormalsinglespacing"/>
      <w:spacing w:after="120"/>
      <w:rPr>
        <w:sz w:val="18"/>
        <w:szCs w:val="18"/>
      </w:rPr>
    </w:pPr>
    <w:r>
      <w:rPr>
        <w:sz w:val="18"/>
        <w:szCs w:val="18"/>
      </w:rPr>
      <w:t>Appraisal consultation document</w:t>
    </w:r>
    <w:r w:rsidR="0023087E">
      <w:rPr>
        <w:sz w:val="18"/>
        <w:szCs w:val="18"/>
      </w:rPr>
      <w:t xml:space="preserve"> </w:t>
    </w:r>
    <w:r w:rsidRPr="003D33FB">
      <w:rPr>
        <w:sz w:val="18"/>
        <w:szCs w:val="18"/>
      </w:rPr>
      <w:t xml:space="preserve">– </w:t>
    </w:r>
    <w:r>
      <w:rPr>
        <w:sz w:val="18"/>
        <w:szCs w:val="18"/>
      </w:rPr>
      <w:t>nivolumab for previously treated unresectable advanced</w:t>
    </w:r>
    <w:r w:rsidR="001F27BA">
      <w:rPr>
        <w:sz w:val="18"/>
        <w:szCs w:val="18"/>
      </w:rPr>
      <w:t xml:space="preserve"> or recurrent</w:t>
    </w:r>
    <w:r>
      <w:rPr>
        <w:sz w:val="18"/>
        <w:szCs w:val="18"/>
      </w:rPr>
      <w:t xml:space="preserve"> oesophageal cancer</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3F6E69D5" w14:textId="77777777" w:rsidR="0041669B" w:rsidRDefault="0041669B" w:rsidP="007A7EC8">
    <w:pPr>
      <w:pStyle w:val="NICEnormalsinglespacing"/>
      <w:spacing w:after="120"/>
      <w:rPr>
        <w:sz w:val="18"/>
        <w:szCs w:val="18"/>
      </w:rPr>
    </w:pPr>
    <w:r w:rsidRPr="003D33FB">
      <w:rPr>
        <w:sz w:val="18"/>
        <w:szCs w:val="18"/>
      </w:rPr>
      <w:t>Issue date:</w:t>
    </w:r>
    <w:r>
      <w:rPr>
        <w:sz w:val="18"/>
        <w:szCs w:val="18"/>
      </w:rPr>
      <w:t xml:space="preserve"> October 2020</w:t>
    </w:r>
  </w:p>
  <w:p w14:paraId="218FACD4" w14:textId="6A3CF420" w:rsidR="0041669B" w:rsidRPr="007A7EC8" w:rsidRDefault="0041669B" w:rsidP="007A7EC8">
    <w:pPr>
      <w:pStyle w:val="NICEnormalsinglespacing"/>
      <w:spacing w:after="120"/>
    </w:pPr>
    <w:r>
      <w:rPr>
        <w:sz w:val="18"/>
        <w:szCs w:val="18"/>
      </w:rPr>
      <w:t xml:space="preserve">© NICE 2020.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4A815" w14:textId="77777777" w:rsidR="0041669B" w:rsidRDefault="0041669B">
      <w:r>
        <w:separator/>
      </w:r>
    </w:p>
  </w:footnote>
  <w:footnote w:type="continuationSeparator" w:id="0">
    <w:p w14:paraId="0904753D" w14:textId="77777777" w:rsidR="0041669B" w:rsidRDefault="00416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12F14" w14:textId="77777777" w:rsidR="0041669B" w:rsidRPr="004E6427" w:rsidRDefault="0041669B"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B12500"/>
    <w:multiLevelType w:val="hybridMultilevel"/>
    <w:tmpl w:val="ACD294DE"/>
    <w:lvl w:ilvl="0" w:tplc="6FE8A05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C3584"/>
    <w:multiLevelType w:val="multilevel"/>
    <w:tmpl w:val="6BDE902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3F8228F"/>
    <w:multiLevelType w:val="hybridMultilevel"/>
    <w:tmpl w:val="74901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8207BC"/>
    <w:multiLevelType w:val="hybridMultilevel"/>
    <w:tmpl w:val="D7440DBE"/>
    <w:lvl w:ilvl="0" w:tplc="AB2E95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1"/>
  </w:num>
  <w:num w:numId="3">
    <w:abstractNumId w:val="18"/>
  </w:num>
  <w:num w:numId="4">
    <w:abstractNumId w:val="10"/>
  </w:num>
  <w:num w:numId="5">
    <w:abstractNumId w:val="11"/>
  </w:num>
  <w:num w:numId="6">
    <w:abstractNumId w:val="0"/>
  </w:num>
  <w:num w:numId="7">
    <w:abstractNumId w:val="2"/>
  </w:num>
  <w:num w:numId="8">
    <w:abstractNumId w:val="4"/>
  </w:num>
  <w:num w:numId="9">
    <w:abstractNumId w:val="5"/>
  </w:num>
  <w:num w:numId="10">
    <w:abstractNumId w:val="7"/>
  </w:num>
  <w:num w:numId="11">
    <w:abstractNumId w:val="9"/>
  </w:num>
  <w:num w:numId="12">
    <w:abstractNumId w:val="8"/>
  </w:num>
  <w:num w:numId="13">
    <w:abstractNumId w:val="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9"/>
  </w:num>
  <w:num w:numId="18">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num>
  <w:num w:numId="21">
    <w:abstractNumId w:val="7"/>
  </w:num>
  <w:num w:numId="22">
    <w:abstractNumId w:val="15"/>
  </w:num>
  <w:num w:numId="23">
    <w:abstractNumId w:val="17"/>
  </w:num>
  <w:num w:numId="24">
    <w:abstractNumId w:val="7"/>
  </w:num>
  <w:num w:numId="25">
    <w:abstractNumId w:val="15"/>
  </w:num>
  <w:num w:numId="26">
    <w:abstractNumId w:val="12"/>
  </w:num>
  <w:num w:numId="27">
    <w:abstractNumId w:val="16"/>
  </w:num>
  <w:num w:numId="28">
    <w:abstractNumId w:val="6"/>
  </w:num>
  <w:num w:numId="2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EC5"/>
    <w:rsid w:val="00000441"/>
    <w:rsid w:val="00001F1A"/>
    <w:rsid w:val="00003EC3"/>
    <w:rsid w:val="000043C6"/>
    <w:rsid w:val="00006590"/>
    <w:rsid w:val="000069A4"/>
    <w:rsid w:val="000069F9"/>
    <w:rsid w:val="0000727D"/>
    <w:rsid w:val="000119FB"/>
    <w:rsid w:val="00011BB3"/>
    <w:rsid w:val="00014990"/>
    <w:rsid w:val="00016A22"/>
    <w:rsid w:val="00016E5E"/>
    <w:rsid w:val="00017610"/>
    <w:rsid w:val="000205C6"/>
    <w:rsid w:val="00021FB0"/>
    <w:rsid w:val="000221AA"/>
    <w:rsid w:val="0002331F"/>
    <w:rsid w:val="00023F26"/>
    <w:rsid w:val="000249F8"/>
    <w:rsid w:val="00026687"/>
    <w:rsid w:val="00026E82"/>
    <w:rsid w:val="000277E6"/>
    <w:rsid w:val="000302F8"/>
    <w:rsid w:val="00030676"/>
    <w:rsid w:val="00030714"/>
    <w:rsid w:val="000324E7"/>
    <w:rsid w:val="0003322C"/>
    <w:rsid w:val="00034110"/>
    <w:rsid w:val="00035AC1"/>
    <w:rsid w:val="00035FF6"/>
    <w:rsid w:val="000368FC"/>
    <w:rsid w:val="0003696E"/>
    <w:rsid w:val="000376EE"/>
    <w:rsid w:val="00041BD0"/>
    <w:rsid w:val="000421F8"/>
    <w:rsid w:val="00043262"/>
    <w:rsid w:val="00045528"/>
    <w:rsid w:val="0005072D"/>
    <w:rsid w:val="00051A5C"/>
    <w:rsid w:val="00052063"/>
    <w:rsid w:val="00052DB7"/>
    <w:rsid w:val="00055427"/>
    <w:rsid w:val="00055DDF"/>
    <w:rsid w:val="00057724"/>
    <w:rsid w:val="00061373"/>
    <w:rsid w:val="00061C83"/>
    <w:rsid w:val="00062987"/>
    <w:rsid w:val="0006624B"/>
    <w:rsid w:val="0006629A"/>
    <w:rsid w:val="000711F1"/>
    <w:rsid w:val="00071B16"/>
    <w:rsid w:val="00072321"/>
    <w:rsid w:val="00073DA8"/>
    <w:rsid w:val="00074112"/>
    <w:rsid w:val="00074C0F"/>
    <w:rsid w:val="000755E6"/>
    <w:rsid w:val="000764D3"/>
    <w:rsid w:val="000769B6"/>
    <w:rsid w:val="0008056A"/>
    <w:rsid w:val="00080A47"/>
    <w:rsid w:val="000823D6"/>
    <w:rsid w:val="00082AFF"/>
    <w:rsid w:val="00082F77"/>
    <w:rsid w:val="0008445C"/>
    <w:rsid w:val="00085C5A"/>
    <w:rsid w:val="000862FC"/>
    <w:rsid w:val="00087323"/>
    <w:rsid w:val="000879ED"/>
    <w:rsid w:val="000912D5"/>
    <w:rsid w:val="000921AA"/>
    <w:rsid w:val="00093649"/>
    <w:rsid w:val="00094AC5"/>
    <w:rsid w:val="00096246"/>
    <w:rsid w:val="000A06FB"/>
    <w:rsid w:val="000A0A6E"/>
    <w:rsid w:val="000A4016"/>
    <w:rsid w:val="000A6C40"/>
    <w:rsid w:val="000A7A7F"/>
    <w:rsid w:val="000B1027"/>
    <w:rsid w:val="000B70D6"/>
    <w:rsid w:val="000B7F7A"/>
    <w:rsid w:val="000C04A1"/>
    <w:rsid w:val="000C139E"/>
    <w:rsid w:val="000C1831"/>
    <w:rsid w:val="000C194F"/>
    <w:rsid w:val="000C2222"/>
    <w:rsid w:val="000C7DF0"/>
    <w:rsid w:val="000D09ED"/>
    <w:rsid w:val="000D0A87"/>
    <w:rsid w:val="000D0FB1"/>
    <w:rsid w:val="000D11B8"/>
    <w:rsid w:val="000D145B"/>
    <w:rsid w:val="000D15EA"/>
    <w:rsid w:val="000D1811"/>
    <w:rsid w:val="000D3486"/>
    <w:rsid w:val="000D6016"/>
    <w:rsid w:val="000D62BF"/>
    <w:rsid w:val="000D7185"/>
    <w:rsid w:val="000E1CED"/>
    <w:rsid w:val="000E24BD"/>
    <w:rsid w:val="000E29D1"/>
    <w:rsid w:val="000E4688"/>
    <w:rsid w:val="000E4A8F"/>
    <w:rsid w:val="000E6F19"/>
    <w:rsid w:val="000E7D4C"/>
    <w:rsid w:val="000F1B3B"/>
    <w:rsid w:val="000F1E3F"/>
    <w:rsid w:val="000F3DBC"/>
    <w:rsid w:val="000F48EC"/>
    <w:rsid w:val="000F5D8D"/>
    <w:rsid w:val="000F6E34"/>
    <w:rsid w:val="000F7C1E"/>
    <w:rsid w:val="001017A9"/>
    <w:rsid w:val="00101F34"/>
    <w:rsid w:val="00102623"/>
    <w:rsid w:val="001030E1"/>
    <w:rsid w:val="001033D5"/>
    <w:rsid w:val="001039F7"/>
    <w:rsid w:val="00105409"/>
    <w:rsid w:val="00107DBD"/>
    <w:rsid w:val="00110683"/>
    <w:rsid w:val="001110C7"/>
    <w:rsid w:val="00113666"/>
    <w:rsid w:val="00113830"/>
    <w:rsid w:val="001169FE"/>
    <w:rsid w:val="00116D19"/>
    <w:rsid w:val="00117513"/>
    <w:rsid w:val="001209CD"/>
    <w:rsid w:val="00121E78"/>
    <w:rsid w:val="00122736"/>
    <w:rsid w:val="001230AC"/>
    <w:rsid w:val="00123F4B"/>
    <w:rsid w:val="001240B3"/>
    <w:rsid w:val="00124604"/>
    <w:rsid w:val="001265C0"/>
    <w:rsid w:val="00130027"/>
    <w:rsid w:val="0013226A"/>
    <w:rsid w:val="00132B8E"/>
    <w:rsid w:val="00132CBA"/>
    <w:rsid w:val="001337B7"/>
    <w:rsid w:val="00133921"/>
    <w:rsid w:val="001344B3"/>
    <w:rsid w:val="00135617"/>
    <w:rsid w:val="001404FB"/>
    <w:rsid w:val="00140C93"/>
    <w:rsid w:val="00143536"/>
    <w:rsid w:val="0014592C"/>
    <w:rsid w:val="00145B2F"/>
    <w:rsid w:val="00145E72"/>
    <w:rsid w:val="001460A7"/>
    <w:rsid w:val="001464B2"/>
    <w:rsid w:val="00150440"/>
    <w:rsid w:val="001506D2"/>
    <w:rsid w:val="00151D8E"/>
    <w:rsid w:val="001533A7"/>
    <w:rsid w:val="00156A6B"/>
    <w:rsid w:val="001570BC"/>
    <w:rsid w:val="001579BF"/>
    <w:rsid w:val="00161AA0"/>
    <w:rsid w:val="00163344"/>
    <w:rsid w:val="00166016"/>
    <w:rsid w:val="001662BC"/>
    <w:rsid w:val="0017072D"/>
    <w:rsid w:val="00170B60"/>
    <w:rsid w:val="00171A2B"/>
    <w:rsid w:val="00176FB2"/>
    <w:rsid w:val="00177F9E"/>
    <w:rsid w:val="00180034"/>
    <w:rsid w:val="001823EB"/>
    <w:rsid w:val="00182810"/>
    <w:rsid w:val="00184A64"/>
    <w:rsid w:val="001855F7"/>
    <w:rsid w:val="0018716E"/>
    <w:rsid w:val="001873CB"/>
    <w:rsid w:val="00191B56"/>
    <w:rsid w:val="00193945"/>
    <w:rsid w:val="001950B8"/>
    <w:rsid w:val="001956FC"/>
    <w:rsid w:val="00196F64"/>
    <w:rsid w:val="00196FE1"/>
    <w:rsid w:val="0019718A"/>
    <w:rsid w:val="001A0A91"/>
    <w:rsid w:val="001A1AE2"/>
    <w:rsid w:val="001A2519"/>
    <w:rsid w:val="001A438E"/>
    <w:rsid w:val="001A553C"/>
    <w:rsid w:val="001A5561"/>
    <w:rsid w:val="001B2AA6"/>
    <w:rsid w:val="001B2DD8"/>
    <w:rsid w:val="001B35A7"/>
    <w:rsid w:val="001B4448"/>
    <w:rsid w:val="001B44BC"/>
    <w:rsid w:val="001B7E00"/>
    <w:rsid w:val="001C00E5"/>
    <w:rsid w:val="001C0EF4"/>
    <w:rsid w:val="001C59E4"/>
    <w:rsid w:val="001C64B9"/>
    <w:rsid w:val="001D1D43"/>
    <w:rsid w:val="001D2587"/>
    <w:rsid w:val="001D3D58"/>
    <w:rsid w:val="001D507A"/>
    <w:rsid w:val="001D76D5"/>
    <w:rsid w:val="001D7B0E"/>
    <w:rsid w:val="001E057F"/>
    <w:rsid w:val="001E1EB5"/>
    <w:rsid w:val="001E27E5"/>
    <w:rsid w:val="001E2CAF"/>
    <w:rsid w:val="001E4D37"/>
    <w:rsid w:val="001E7089"/>
    <w:rsid w:val="001F1400"/>
    <w:rsid w:val="001F27BA"/>
    <w:rsid w:val="001F3ABB"/>
    <w:rsid w:val="001F6078"/>
    <w:rsid w:val="001F7251"/>
    <w:rsid w:val="001F7F18"/>
    <w:rsid w:val="00202EA7"/>
    <w:rsid w:val="00203F4F"/>
    <w:rsid w:val="0020408C"/>
    <w:rsid w:val="00204579"/>
    <w:rsid w:val="00204B13"/>
    <w:rsid w:val="00204F82"/>
    <w:rsid w:val="00205E1B"/>
    <w:rsid w:val="002067AC"/>
    <w:rsid w:val="00206AB0"/>
    <w:rsid w:val="002070B8"/>
    <w:rsid w:val="0021081C"/>
    <w:rsid w:val="002119CD"/>
    <w:rsid w:val="002133EA"/>
    <w:rsid w:val="00214868"/>
    <w:rsid w:val="002159C9"/>
    <w:rsid w:val="00217FB0"/>
    <w:rsid w:val="002218BC"/>
    <w:rsid w:val="002228FA"/>
    <w:rsid w:val="00222BEA"/>
    <w:rsid w:val="00225439"/>
    <w:rsid w:val="00225F9B"/>
    <w:rsid w:val="00226E2E"/>
    <w:rsid w:val="00227938"/>
    <w:rsid w:val="0023087E"/>
    <w:rsid w:val="0023156C"/>
    <w:rsid w:val="00232061"/>
    <w:rsid w:val="0023576D"/>
    <w:rsid w:val="00235945"/>
    <w:rsid w:val="00235CAB"/>
    <w:rsid w:val="0024253B"/>
    <w:rsid w:val="002432F7"/>
    <w:rsid w:val="0024331D"/>
    <w:rsid w:val="00245742"/>
    <w:rsid w:val="00245BFF"/>
    <w:rsid w:val="00250117"/>
    <w:rsid w:val="00250FA7"/>
    <w:rsid w:val="00251429"/>
    <w:rsid w:val="00251764"/>
    <w:rsid w:val="00253EB9"/>
    <w:rsid w:val="0025430E"/>
    <w:rsid w:val="002555BE"/>
    <w:rsid w:val="00255679"/>
    <w:rsid w:val="0025696A"/>
    <w:rsid w:val="00257B1C"/>
    <w:rsid w:val="002614EA"/>
    <w:rsid w:val="00263E92"/>
    <w:rsid w:val="00265B0E"/>
    <w:rsid w:val="00271321"/>
    <w:rsid w:val="00274B03"/>
    <w:rsid w:val="00275120"/>
    <w:rsid w:val="00275B98"/>
    <w:rsid w:val="002766FE"/>
    <w:rsid w:val="00282C30"/>
    <w:rsid w:val="00282D7E"/>
    <w:rsid w:val="00284E19"/>
    <w:rsid w:val="00285DBD"/>
    <w:rsid w:val="00286E9B"/>
    <w:rsid w:val="00290445"/>
    <w:rsid w:val="00292044"/>
    <w:rsid w:val="00292E0B"/>
    <w:rsid w:val="00293159"/>
    <w:rsid w:val="00293811"/>
    <w:rsid w:val="00294D1D"/>
    <w:rsid w:val="00297D10"/>
    <w:rsid w:val="002A13B8"/>
    <w:rsid w:val="002A151A"/>
    <w:rsid w:val="002A176E"/>
    <w:rsid w:val="002A2687"/>
    <w:rsid w:val="002A3DE0"/>
    <w:rsid w:val="002A5C23"/>
    <w:rsid w:val="002A686F"/>
    <w:rsid w:val="002B1C38"/>
    <w:rsid w:val="002B3340"/>
    <w:rsid w:val="002B3567"/>
    <w:rsid w:val="002B5772"/>
    <w:rsid w:val="002B6D1D"/>
    <w:rsid w:val="002C0551"/>
    <w:rsid w:val="002C257D"/>
    <w:rsid w:val="002C2774"/>
    <w:rsid w:val="002C381D"/>
    <w:rsid w:val="002C6CD9"/>
    <w:rsid w:val="002C71A9"/>
    <w:rsid w:val="002D6CB1"/>
    <w:rsid w:val="002D79A7"/>
    <w:rsid w:val="002E138C"/>
    <w:rsid w:val="002E3F68"/>
    <w:rsid w:val="002E4BF2"/>
    <w:rsid w:val="002E5C16"/>
    <w:rsid w:val="002E5C1A"/>
    <w:rsid w:val="002E73E7"/>
    <w:rsid w:val="002E770B"/>
    <w:rsid w:val="002E785F"/>
    <w:rsid w:val="002F0AA7"/>
    <w:rsid w:val="002F1B28"/>
    <w:rsid w:val="002F2583"/>
    <w:rsid w:val="002F279A"/>
    <w:rsid w:val="002F2C1A"/>
    <w:rsid w:val="002F4F5B"/>
    <w:rsid w:val="002F5371"/>
    <w:rsid w:val="002F6491"/>
    <w:rsid w:val="002F68FE"/>
    <w:rsid w:val="00300DF8"/>
    <w:rsid w:val="00302678"/>
    <w:rsid w:val="00303156"/>
    <w:rsid w:val="0030505C"/>
    <w:rsid w:val="003057A8"/>
    <w:rsid w:val="003107AB"/>
    <w:rsid w:val="0031127A"/>
    <w:rsid w:val="00311574"/>
    <w:rsid w:val="003115A2"/>
    <w:rsid w:val="00311A01"/>
    <w:rsid w:val="0031249C"/>
    <w:rsid w:val="003154E8"/>
    <w:rsid w:val="00315C29"/>
    <w:rsid w:val="0031664C"/>
    <w:rsid w:val="003214C4"/>
    <w:rsid w:val="00324997"/>
    <w:rsid w:val="003256B1"/>
    <w:rsid w:val="003261ED"/>
    <w:rsid w:val="00326C06"/>
    <w:rsid w:val="00330FD2"/>
    <w:rsid w:val="00331545"/>
    <w:rsid w:val="003330E6"/>
    <w:rsid w:val="0033333E"/>
    <w:rsid w:val="003368C0"/>
    <w:rsid w:val="00337CF3"/>
    <w:rsid w:val="0034250C"/>
    <w:rsid w:val="00342E93"/>
    <w:rsid w:val="00343439"/>
    <w:rsid w:val="00343B53"/>
    <w:rsid w:val="00344791"/>
    <w:rsid w:val="003459E9"/>
    <w:rsid w:val="00345ADE"/>
    <w:rsid w:val="00346BA7"/>
    <w:rsid w:val="00347123"/>
    <w:rsid w:val="0034744C"/>
    <w:rsid w:val="003529D0"/>
    <w:rsid w:val="00354915"/>
    <w:rsid w:val="003573AE"/>
    <w:rsid w:val="003605AA"/>
    <w:rsid w:val="00361D6D"/>
    <w:rsid w:val="003630AE"/>
    <w:rsid w:val="00364722"/>
    <w:rsid w:val="00364E30"/>
    <w:rsid w:val="00365781"/>
    <w:rsid w:val="0036750B"/>
    <w:rsid w:val="003679D7"/>
    <w:rsid w:val="003700C9"/>
    <w:rsid w:val="00372031"/>
    <w:rsid w:val="003720BC"/>
    <w:rsid w:val="003721A1"/>
    <w:rsid w:val="003738C2"/>
    <w:rsid w:val="0037752F"/>
    <w:rsid w:val="00380CDB"/>
    <w:rsid w:val="00383594"/>
    <w:rsid w:val="003836C8"/>
    <w:rsid w:val="003847B9"/>
    <w:rsid w:val="00385E85"/>
    <w:rsid w:val="00386DC3"/>
    <w:rsid w:val="0039009B"/>
    <w:rsid w:val="0039118D"/>
    <w:rsid w:val="00391AC8"/>
    <w:rsid w:val="00392FB4"/>
    <w:rsid w:val="00394DFF"/>
    <w:rsid w:val="003953F9"/>
    <w:rsid w:val="00395C05"/>
    <w:rsid w:val="0039630B"/>
    <w:rsid w:val="00396F35"/>
    <w:rsid w:val="00397434"/>
    <w:rsid w:val="00397C67"/>
    <w:rsid w:val="003A0250"/>
    <w:rsid w:val="003A03BE"/>
    <w:rsid w:val="003A04CD"/>
    <w:rsid w:val="003A0E2A"/>
    <w:rsid w:val="003A11AB"/>
    <w:rsid w:val="003A1F14"/>
    <w:rsid w:val="003A3974"/>
    <w:rsid w:val="003A3EAD"/>
    <w:rsid w:val="003A5838"/>
    <w:rsid w:val="003A7304"/>
    <w:rsid w:val="003A7940"/>
    <w:rsid w:val="003B0BC2"/>
    <w:rsid w:val="003B0C7E"/>
    <w:rsid w:val="003B37BB"/>
    <w:rsid w:val="003B678E"/>
    <w:rsid w:val="003C1633"/>
    <w:rsid w:val="003C2327"/>
    <w:rsid w:val="003C36AC"/>
    <w:rsid w:val="003C7EF9"/>
    <w:rsid w:val="003D0059"/>
    <w:rsid w:val="003D1F0B"/>
    <w:rsid w:val="003D65E1"/>
    <w:rsid w:val="003D671A"/>
    <w:rsid w:val="003D68D5"/>
    <w:rsid w:val="003D7050"/>
    <w:rsid w:val="003D772C"/>
    <w:rsid w:val="003E14CF"/>
    <w:rsid w:val="003E1778"/>
    <w:rsid w:val="003E4859"/>
    <w:rsid w:val="003E5694"/>
    <w:rsid w:val="003E684C"/>
    <w:rsid w:val="003E7834"/>
    <w:rsid w:val="003F168A"/>
    <w:rsid w:val="003F1C22"/>
    <w:rsid w:val="003F3AB0"/>
    <w:rsid w:val="003F44F7"/>
    <w:rsid w:val="003F4604"/>
    <w:rsid w:val="00405B04"/>
    <w:rsid w:val="00406ABE"/>
    <w:rsid w:val="00407D59"/>
    <w:rsid w:val="0041341A"/>
    <w:rsid w:val="00414D56"/>
    <w:rsid w:val="0041525E"/>
    <w:rsid w:val="00415939"/>
    <w:rsid w:val="0041669B"/>
    <w:rsid w:val="00417EBA"/>
    <w:rsid w:val="00420315"/>
    <w:rsid w:val="00420742"/>
    <w:rsid w:val="00421005"/>
    <w:rsid w:val="00421DD6"/>
    <w:rsid w:val="00424FDB"/>
    <w:rsid w:val="00431372"/>
    <w:rsid w:val="00433564"/>
    <w:rsid w:val="00436A09"/>
    <w:rsid w:val="00437CA3"/>
    <w:rsid w:val="0044027B"/>
    <w:rsid w:val="004408F8"/>
    <w:rsid w:val="00440FB9"/>
    <w:rsid w:val="00443296"/>
    <w:rsid w:val="00443870"/>
    <w:rsid w:val="0044402C"/>
    <w:rsid w:val="00444713"/>
    <w:rsid w:val="004463E5"/>
    <w:rsid w:val="0044648F"/>
    <w:rsid w:val="00446DA2"/>
    <w:rsid w:val="00447F37"/>
    <w:rsid w:val="004506F4"/>
    <w:rsid w:val="00450C9B"/>
    <w:rsid w:val="00451033"/>
    <w:rsid w:val="00452802"/>
    <w:rsid w:val="00453AC7"/>
    <w:rsid w:val="004569EC"/>
    <w:rsid w:val="0045721F"/>
    <w:rsid w:val="00457843"/>
    <w:rsid w:val="00462002"/>
    <w:rsid w:val="0046212F"/>
    <w:rsid w:val="00462733"/>
    <w:rsid w:val="00463227"/>
    <w:rsid w:val="00463973"/>
    <w:rsid w:val="00464C0C"/>
    <w:rsid w:val="004651F6"/>
    <w:rsid w:val="00466674"/>
    <w:rsid w:val="00466D2D"/>
    <w:rsid w:val="00470CAB"/>
    <w:rsid w:val="00471113"/>
    <w:rsid w:val="00471200"/>
    <w:rsid w:val="0047191D"/>
    <w:rsid w:val="00472782"/>
    <w:rsid w:val="00472FF8"/>
    <w:rsid w:val="00473B83"/>
    <w:rsid w:val="00475F03"/>
    <w:rsid w:val="004804B3"/>
    <w:rsid w:val="00481E06"/>
    <w:rsid w:val="004820E9"/>
    <w:rsid w:val="00483119"/>
    <w:rsid w:val="0048361F"/>
    <w:rsid w:val="004845D0"/>
    <w:rsid w:val="004852FF"/>
    <w:rsid w:val="0049195A"/>
    <w:rsid w:val="00491D5A"/>
    <w:rsid w:val="004921C3"/>
    <w:rsid w:val="00492F60"/>
    <w:rsid w:val="00492FDA"/>
    <w:rsid w:val="00493410"/>
    <w:rsid w:val="00494E73"/>
    <w:rsid w:val="00495C0C"/>
    <w:rsid w:val="00496CE5"/>
    <w:rsid w:val="004A03D6"/>
    <w:rsid w:val="004A21F3"/>
    <w:rsid w:val="004A2830"/>
    <w:rsid w:val="004A3009"/>
    <w:rsid w:val="004A5AD1"/>
    <w:rsid w:val="004A6893"/>
    <w:rsid w:val="004B09EC"/>
    <w:rsid w:val="004B514C"/>
    <w:rsid w:val="004B52D1"/>
    <w:rsid w:val="004B7D57"/>
    <w:rsid w:val="004B7D6B"/>
    <w:rsid w:val="004C00D8"/>
    <w:rsid w:val="004C2E54"/>
    <w:rsid w:val="004C3DAD"/>
    <w:rsid w:val="004C56BC"/>
    <w:rsid w:val="004C5923"/>
    <w:rsid w:val="004C6116"/>
    <w:rsid w:val="004C612F"/>
    <w:rsid w:val="004C7397"/>
    <w:rsid w:val="004C7C61"/>
    <w:rsid w:val="004D0DFD"/>
    <w:rsid w:val="004D1FBE"/>
    <w:rsid w:val="004D4A86"/>
    <w:rsid w:val="004D7664"/>
    <w:rsid w:val="004E074F"/>
    <w:rsid w:val="004E49D2"/>
    <w:rsid w:val="004E6427"/>
    <w:rsid w:val="004E7625"/>
    <w:rsid w:val="004E7E43"/>
    <w:rsid w:val="004F0927"/>
    <w:rsid w:val="004F14B3"/>
    <w:rsid w:val="004F1956"/>
    <w:rsid w:val="004F373D"/>
    <w:rsid w:val="004F5FC6"/>
    <w:rsid w:val="004F69FA"/>
    <w:rsid w:val="00502707"/>
    <w:rsid w:val="005037B2"/>
    <w:rsid w:val="00503C59"/>
    <w:rsid w:val="0050455E"/>
    <w:rsid w:val="005047AD"/>
    <w:rsid w:val="00507D37"/>
    <w:rsid w:val="00510B1D"/>
    <w:rsid w:val="0051107D"/>
    <w:rsid w:val="00511167"/>
    <w:rsid w:val="00512F4B"/>
    <w:rsid w:val="005202DB"/>
    <w:rsid w:val="0052046A"/>
    <w:rsid w:val="00526C07"/>
    <w:rsid w:val="005273A6"/>
    <w:rsid w:val="00527533"/>
    <w:rsid w:val="00527E88"/>
    <w:rsid w:val="00532F63"/>
    <w:rsid w:val="0053387C"/>
    <w:rsid w:val="00534F74"/>
    <w:rsid w:val="0053602A"/>
    <w:rsid w:val="00536789"/>
    <w:rsid w:val="00536D2F"/>
    <w:rsid w:val="00540052"/>
    <w:rsid w:val="0054146B"/>
    <w:rsid w:val="00541642"/>
    <w:rsid w:val="00541C00"/>
    <w:rsid w:val="00543B6D"/>
    <w:rsid w:val="00543DB4"/>
    <w:rsid w:val="00543E08"/>
    <w:rsid w:val="005449AD"/>
    <w:rsid w:val="005459DC"/>
    <w:rsid w:val="005465AE"/>
    <w:rsid w:val="005505ED"/>
    <w:rsid w:val="00551A2D"/>
    <w:rsid w:val="00552B42"/>
    <w:rsid w:val="005549D1"/>
    <w:rsid w:val="00555F21"/>
    <w:rsid w:val="005614DE"/>
    <w:rsid w:val="0056171D"/>
    <w:rsid w:val="005627F8"/>
    <w:rsid w:val="005631E7"/>
    <w:rsid w:val="00563C95"/>
    <w:rsid w:val="00564B04"/>
    <w:rsid w:val="00566AD7"/>
    <w:rsid w:val="00570524"/>
    <w:rsid w:val="00570A15"/>
    <w:rsid w:val="00572835"/>
    <w:rsid w:val="00572FDF"/>
    <w:rsid w:val="00573059"/>
    <w:rsid w:val="0057621E"/>
    <w:rsid w:val="005772F7"/>
    <w:rsid w:val="00577B05"/>
    <w:rsid w:val="00580D6F"/>
    <w:rsid w:val="005812C6"/>
    <w:rsid w:val="0058382A"/>
    <w:rsid w:val="0058453D"/>
    <w:rsid w:val="00585909"/>
    <w:rsid w:val="00591CB5"/>
    <w:rsid w:val="00593613"/>
    <w:rsid w:val="005948FA"/>
    <w:rsid w:val="0059534B"/>
    <w:rsid w:val="005959BE"/>
    <w:rsid w:val="00596210"/>
    <w:rsid w:val="00596286"/>
    <w:rsid w:val="00596999"/>
    <w:rsid w:val="005978F2"/>
    <w:rsid w:val="005A0F31"/>
    <w:rsid w:val="005A28A1"/>
    <w:rsid w:val="005A46D0"/>
    <w:rsid w:val="005A470D"/>
    <w:rsid w:val="005A6B22"/>
    <w:rsid w:val="005A6FB5"/>
    <w:rsid w:val="005A78E3"/>
    <w:rsid w:val="005B25E4"/>
    <w:rsid w:val="005B30C8"/>
    <w:rsid w:val="005B5004"/>
    <w:rsid w:val="005B7778"/>
    <w:rsid w:val="005C051F"/>
    <w:rsid w:val="005C4BFA"/>
    <w:rsid w:val="005C519E"/>
    <w:rsid w:val="005C6E7B"/>
    <w:rsid w:val="005C762E"/>
    <w:rsid w:val="005D098C"/>
    <w:rsid w:val="005D1587"/>
    <w:rsid w:val="005D32DA"/>
    <w:rsid w:val="005D3FD9"/>
    <w:rsid w:val="005D5407"/>
    <w:rsid w:val="005D64C3"/>
    <w:rsid w:val="005D7397"/>
    <w:rsid w:val="005E02FD"/>
    <w:rsid w:val="005E2139"/>
    <w:rsid w:val="005E3814"/>
    <w:rsid w:val="005E404B"/>
    <w:rsid w:val="005E4695"/>
    <w:rsid w:val="005E46BB"/>
    <w:rsid w:val="005E5E2E"/>
    <w:rsid w:val="005E7605"/>
    <w:rsid w:val="005F2D36"/>
    <w:rsid w:val="005F5627"/>
    <w:rsid w:val="006001CC"/>
    <w:rsid w:val="00602B4D"/>
    <w:rsid w:val="006034E9"/>
    <w:rsid w:val="00603C94"/>
    <w:rsid w:val="006048E0"/>
    <w:rsid w:val="00604FAD"/>
    <w:rsid w:val="00606081"/>
    <w:rsid w:val="0060662A"/>
    <w:rsid w:val="006079DC"/>
    <w:rsid w:val="00610756"/>
    <w:rsid w:val="00612789"/>
    <w:rsid w:val="00613D24"/>
    <w:rsid w:val="00614BDA"/>
    <w:rsid w:val="00615509"/>
    <w:rsid w:val="006157FE"/>
    <w:rsid w:val="006217D1"/>
    <w:rsid w:val="00621878"/>
    <w:rsid w:val="00621AFB"/>
    <w:rsid w:val="00622A8B"/>
    <w:rsid w:val="0062322C"/>
    <w:rsid w:val="0062589A"/>
    <w:rsid w:val="00625C2A"/>
    <w:rsid w:val="006305CB"/>
    <w:rsid w:val="006307C7"/>
    <w:rsid w:val="00632B82"/>
    <w:rsid w:val="006331B4"/>
    <w:rsid w:val="006343F3"/>
    <w:rsid w:val="006356E9"/>
    <w:rsid w:val="00640CF2"/>
    <w:rsid w:val="006417D6"/>
    <w:rsid w:val="00641BD9"/>
    <w:rsid w:val="00642906"/>
    <w:rsid w:val="00643582"/>
    <w:rsid w:val="00643B75"/>
    <w:rsid w:val="00643BB4"/>
    <w:rsid w:val="00644666"/>
    <w:rsid w:val="006457EF"/>
    <w:rsid w:val="00647356"/>
    <w:rsid w:val="00650F96"/>
    <w:rsid w:val="006512B7"/>
    <w:rsid w:val="00651C22"/>
    <w:rsid w:val="00655679"/>
    <w:rsid w:val="00655B4D"/>
    <w:rsid w:val="00655ED5"/>
    <w:rsid w:val="00665734"/>
    <w:rsid w:val="00671977"/>
    <w:rsid w:val="00671D23"/>
    <w:rsid w:val="00671D80"/>
    <w:rsid w:val="006725F6"/>
    <w:rsid w:val="00672EFB"/>
    <w:rsid w:val="006739CF"/>
    <w:rsid w:val="006763A6"/>
    <w:rsid w:val="0067752C"/>
    <w:rsid w:val="006776A2"/>
    <w:rsid w:val="006801A6"/>
    <w:rsid w:val="0068124B"/>
    <w:rsid w:val="00681610"/>
    <w:rsid w:val="0068401B"/>
    <w:rsid w:val="00684AD6"/>
    <w:rsid w:val="00685D36"/>
    <w:rsid w:val="00686E23"/>
    <w:rsid w:val="00687304"/>
    <w:rsid w:val="0069269B"/>
    <w:rsid w:val="006926E9"/>
    <w:rsid w:val="00692C71"/>
    <w:rsid w:val="00692E70"/>
    <w:rsid w:val="006931A0"/>
    <w:rsid w:val="006935BC"/>
    <w:rsid w:val="00696E55"/>
    <w:rsid w:val="006972C5"/>
    <w:rsid w:val="006A0B0E"/>
    <w:rsid w:val="006A3A9C"/>
    <w:rsid w:val="006A3CC5"/>
    <w:rsid w:val="006A721F"/>
    <w:rsid w:val="006A7CCF"/>
    <w:rsid w:val="006B0405"/>
    <w:rsid w:val="006B0581"/>
    <w:rsid w:val="006B0768"/>
    <w:rsid w:val="006B0F36"/>
    <w:rsid w:val="006B14C2"/>
    <w:rsid w:val="006B30FD"/>
    <w:rsid w:val="006B4254"/>
    <w:rsid w:val="006B4D68"/>
    <w:rsid w:val="006B5CB4"/>
    <w:rsid w:val="006B6DCF"/>
    <w:rsid w:val="006B791B"/>
    <w:rsid w:val="006C4793"/>
    <w:rsid w:val="006C4F04"/>
    <w:rsid w:val="006D2072"/>
    <w:rsid w:val="006D36FB"/>
    <w:rsid w:val="006D37DB"/>
    <w:rsid w:val="006D42ED"/>
    <w:rsid w:val="006D4D1A"/>
    <w:rsid w:val="006D73F1"/>
    <w:rsid w:val="006D7CB4"/>
    <w:rsid w:val="006E2A26"/>
    <w:rsid w:val="006E2A29"/>
    <w:rsid w:val="006E2BEC"/>
    <w:rsid w:val="006E324E"/>
    <w:rsid w:val="006E3514"/>
    <w:rsid w:val="006E7421"/>
    <w:rsid w:val="006E7647"/>
    <w:rsid w:val="006F162C"/>
    <w:rsid w:val="006F1DA8"/>
    <w:rsid w:val="006F22E9"/>
    <w:rsid w:val="006F4CFA"/>
    <w:rsid w:val="006F5310"/>
    <w:rsid w:val="006F696E"/>
    <w:rsid w:val="006F6A6D"/>
    <w:rsid w:val="006F6B91"/>
    <w:rsid w:val="006F7442"/>
    <w:rsid w:val="006F766B"/>
    <w:rsid w:val="007040CB"/>
    <w:rsid w:val="0070523B"/>
    <w:rsid w:val="007054E2"/>
    <w:rsid w:val="0070625D"/>
    <w:rsid w:val="00707D16"/>
    <w:rsid w:val="00711834"/>
    <w:rsid w:val="00712574"/>
    <w:rsid w:val="00712ECB"/>
    <w:rsid w:val="00715E8A"/>
    <w:rsid w:val="00717226"/>
    <w:rsid w:val="007176CE"/>
    <w:rsid w:val="00720FDD"/>
    <w:rsid w:val="0072151D"/>
    <w:rsid w:val="00722883"/>
    <w:rsid w:val="00723A49"/>
    <w:rsid w:val="00723A7A"/>
    <w:rsid w:val="00723AF0"/>
    <w:rsid w:val="00727911"/>
    <w:rsid w:val="0073007E"/>
    <w:rsid w:val="007311E2"/>
    <w:rsid w:val="00732519"/>
    <w:rsid w:val="0073365B"/>
    <w:rsid w:val="00734E28"/>
    <w:rsid w:val="00734F5A"/>
    <w:rsid w:val="0073579D"/>
    <w:rsid w:val="00736D97"/>
    <w:rsid w:val="00737CEF"/>
    <w:rsid w:val="00737DDA"/>
    <w:rsid w:val="0074357C"/>
    <w:rsid w:val="00746B57"/>
    <w:rsid w:val="00746E77"/>
    <w:rsid w:val="00747D90"/>
    <w:rsid w:val="007501B9"/>
    <w:rsid w:val="00751CB9"/>
    <w:rsid w:val="0075259E"/>
    <w:rsid w:val="0075624F"/>
    <w:rsid w:val="00756580"/>
    <w:rsid w:val="00756D96"/>
    <w:rsid w:val="007620C2"/>
    <w:rsid w:val="00763641"/>
    <w:rsid w:val="007668BA"/>
    <w:rsid w:val="00767085"/>
    <w:rsid w:val="00770596"/>
    <w:rsid w:val="00771906"/>
    <w:rsid w:val="0077270D"/>
    <w:rsid w:val="0077277D"/>
    <w:rsid w:val="007747D4"/>
    <w:rsid w:val="00774963"/>
    <w:rsid w:val="00780B12"/>
    <w:rsid w:val="00780D30"/>
    <w:rsid w:val="00781A28"/>
    <w:rsid w:val="00781B7F"/>
    <w:rsid w:val="0078247F"/>
    <w:rsid w:val="00782DCB"/>
    <w:rsid w:val="00783155"/>
    <w:rsid w:val="00784156"/>
    <w:rsid w:val="00784632"/>
    <w:rsid w:val="00787BCC"/>
    <w:rsid w:val="00791280"/>
    <w:rsid w:val="007933B3"/>
    <w:rsid w:val="00794D72"/>
    <w:rsid w:val="007A048E"/>
    <w:rsid w:val="007A0D21"/>
    <w:rsid w:val="007A19AF"/>
    <w:rsid w:val="007A1E9D"/>
    <w:rsid w:val="007A2801"/>
    <w:rsid w:val="007A4EEE"/>
    <w:rsid w:val="007A6DAA"/>
    <w:rsid w:val="007A7EC8"/>
    <w:rsid w:val="007B032C"/>
    <w:rsid w:val="007B1654"/>
    <w:rsid w:val="007B1AF8"/>
    <w:rsid w:val="007B2A16"/>
    <w:rsid w:val="007B4B3F"/>
    <w:rsid w:val="007B66F7"/>
    <w:rsid w:val="007B787D"/>
    <w:rsid w:val="007B7B7B"/>
    <w:rsid w:val="007C04A0"/>
    <w:rsid w:val="007C3165"/>
    <w:rsid w:val="007C325D"/>
    <w:rsid w:val="007C395C"/>
    <w:rsid w:val="007C529E"/>
    <w:rsid w:val="007C58D6"/>
    <w:rsid w:val="007C732D"/>
    <w:rsid w:val="007D01D5"/>
    <w:rsid w:val="007D1008"/>
    <w:rsid w:val="007D4DF4"/>
    <w:rsid w:val="007D5B27"/>
    <w:rsid w:val="007D5C80"/>
    <w:rsid w:val="007D62AE"/>
    <w:rsid w:val="007D63EE"/>
    <w:rsid w:val="007E013D"/>
    <w:rsid w:val="007E20D8"/>
    <w:rsid w:val="007E2754"/>
    <w:rsid w:val="007E5818"/>
    <w:rsid w:val="007E61A7"/>
    <w:rsid w:val="007E65D7"/>
    <w:rsid w:val="007E6ABD"/>
    <w:rsid w:val="007F011E"/>
    <w:rsid w:val="007F1914"/>
    <w:rsid w:val="007F227E"/>
    <w:rsid w:val="007F437A"/>
    <w:rsid w:val="0080019A"/>
    <w:rsid w:val="0080089C"/>
    <w:rsid w:val="00800FFD"/>
    <w:rsid w:val="00801155"/>
    <w:rsid w:val="00803318"/>
    <w:rsid w:val="00803456"/>
    <w:rsid w:val="0080390A"/>
    <w:rsid w:val="0080629B"/>
    <w:rsid w:val="008106DB"/>
    <w:rsid w:val="00811BBD"/>
    <w:rsid w:val="00812976"/>
    <w:rsid w:val="00813E22"/>
    <w:rsid w:val="00814807"/>
    <w:rsid w:val="00814DEF"/>
    <w:rsid w:val="00816726"/>
    <w:rsid w:val="00816BA8"/>
    <w:rsid w:val="00820DE8"/>
    <w:rsid w:val="00822025"/>
    <w:rsid w:val="0082239E"/>
    <w:rsid w:val="00825A87"/>
    <w:rsid w:val="008272BA"/>
    <w:rsid w:val="008274FA"/>
    <w:rsid w:val="008318AB"/>
    <w:rsid w:val="00831B9B"/>
    <w:rsid w:val="008320DF"/>
    <w:rsid w:val="00835008"/>
    <w:rsid w:val="00836774"/>
    <w:rsid w:val="008374F0"/>
    <w:rsid w:val="0084155D"/>
    <w:rsid w:val="008415AF"/>
    <w:rsid w:val="0084246A"/>
    <w:rsid w:val="00842A7E"/>
    <w:rsid w:val="00843529"/>
    <w:rsid w:val="00844109"/>
    <w:rsid w:val="00844D3D"/>
    <w:rsid w:val="0084532E"/>
    <w:rsid w:val="00845810"/>
    <w:rsid w:val="00845F3C"/>
    <w:rsid w:val="00846159"/>
    <w:rsid w:val="00847A99"/>
    <w:rsid w:val="00847DB7"/>
    <w:rsid w:val="008505C3"/>
    <w:rsid w:val="00851677"/>
    <w:rsid w:val="008522C6"/>
    <w:rsid w:val="00852E40"/>
    <w:rsid w:val="00855DFF"/>
    <w:rsid w:val="00857A90"/>
    <w:rsid w:val="00857CDD"/>
    <w:rsid w:val="00860EA8"/>
    <w:rsid w:val="008614DA"/>
    <w:rsid w:val="00861D77"/>
    <w:rsid w:val="0086472B"/>
    <w:rsid w:val="008734B0"/>
    <w:rsid w:val="0087368E"/>
    <w:rsid w:val="00874E3C"/>
    <w:rsid w:val="008750F8"/>
    <w:rsid w:val="00876280"/>
    <w:rsid w:val="00876BEB"/>
    <w:rsid w:val="00877F7A"/>
    <w:rsid w:val="008802D9"/>
    <w:rsid w:val="00880B98"/>
    <w:rsid w:val="00881671"/>
    <w:rsid w:val="00881F26"/>
    <w:rsid w:val="00883861"/>
    <w:rsid w:val="008838A1"/>
    <w:rsid w:val="00884904"/>
    <w:rsid w:val="00886677"/>
    <w:rsid w:val="0088685E"/>
    <w:rsid w:val="0088689E"/>
    <w:rsid w:val="00886EE8"/>
    <w:rsid w:val="00890620"/>
    <w:rsid w:val="00891794"/>
    <w:rsid w:val="00891929"/>
    <w:rsid w:val="00893176"/>
    <w:rsid w:val="00895446"/>
    <w:rsid w:val="008A05E4"/>
    <w:rsid w:val="008A2098"/>
    <w:rsid w:val="008A32D1"/>
    <w:rsid w:val="008A3C5F"/>
    <w:rsid w:val="008A6584"/>
    <w:rsid w:val="008B03D8"/>
    <w:rsid w:val="008B09B0"/>
    <w:rsid w:val="008B4290"/>
    <w:rsid w:val="008B61CD"/>
    <w:rsid w:val="008C0CE3"/>
    <w:rsid w:val="008C4A61"/>
    <w:rsid w:val="008C4ACD"/>
    <w:rsid w:val="008C4CB3"/>
    <w:rsid w:val="008C4F0F"/>
    <w:rsid w:val="008C6CFD"/>
    <w:rsid w:val="008C7D07"/>
    <w:rsid w:val="008C7F38"/>
    <w:rsid w:val="008D0357"/>
    <w:rsid w:val="008D0D79"/>
    <w:rsid w:val="008D3888"/>
    <w:rsid w:val="008D3B9E"/>
    <w:rsid w:val="008D550A"/>
    <w:rsid w:val="008D55C9"/>
    <w:rsid w:val="008D5DAE"/>
    <w:rsid w:val="008D7166"/>
    <w:rsid w:val="008E1477"/>
    <w:rsid w:val="008E1947"/>
    <w:rsid w:val="008E288F"/>
    <w:rsid w:val="008E5D90"/>
    <w:rsid w:val="008E7460"/>
    <w:rsid w:val="008E7585"/>
    <w:rsid w:val="008E75BD"/>
    <w:rsid w:val="008F0E4D"/>
    <w:rsid w:val="008F2E5C"/>
    <w:rsid w:val="008F3106"/>
    <w:rsid w:val="008F4C35"/>
    <w:rsid w:val="008F51A3"/>
    <w:rsid w:val="008F5652"/>
    <w:rsid w:val="008F5BF9"/>
    <w:rsid w:val="008F646F"/>
    <w:rsid w:val="008F6C76"/>
    <w:rsid w:val="00902A50"/>
    <w:rsid w:val="00906982"/>
    <w:rsid w:val="009076D0"/>
    <w:rsid w:val="00911202"/>
    <w:rsid w:val="00914F38"/>
    <w:rsid w:val="00914FBA"/>
    <w:rsid w:val="0091776B"/>
    <w:rsid w:val="00920396"/>
    <w:rsid w:val="00924DFA"/>
    <w:rsid w:val="0092657D"/>
    <w:rsid w:val="00932B67"/>
    <w:rsid w:val="00934696"/>
    <w:rsid w:val="00935018"/>
    <w:rsid w:val="0093671F"/>
    <w:rsid w:val="00936B38"/>
    <w:rsid w:val="00937D0C"/>
    <w:rsid w:val="00937F0D"/>
    <w:rsid w:val="00941D1F"/>
    <w:rsid w:val="00942404"/>
    <w:rsid w:val="0094347B"/>
    <w:rsid w:val="0094366C"/>
    <w:rsid w:val="00943A53"/>
    <w:rsid w:val="00945650"/>
    <w:rsid w:val="00945DA1"/>
    <w:rsid w:val="0094666B"/>
    <w:rsid w:val="009479C0"/>
    <w:rsid w:val="00950883"/>
    <w:rsid w:val="00950914"/>
    <w:rsid w:val="00950C51"/>
    <w:rsid w:val="00951973"/>
    <w:rsid w:val="0095252E"/>
    <w:rsid w:val="00952591"/>
    <w:rsid w:val="00952C90"/>
    <w:rsid w:val="00953ADF"/>
    <w:rsid w:val="00953B55"/>
    <w:rsid w:val="0095579B"/>
    <w:rsid w:val="00956BD1"/>
    <w:rsid w:val="00957B96"/>
    <w:rsid w:val="00957E73"/>
    <w:rsid w:val="00960A4C"/>
    <w:rsid w:val="0096135C"/>
    <w:rsid w:val="009615CA"/>
    <w:rsid w:val="009625EC"/>
    <w:rsid w:val="00965673"/>
    <w:rsid w:val="00967B12"/>
    <w:rsid w:val="009726C8"/>
    <w:rsid w:val="009746D7"/>
    <w:rsid w:val="009772DD"/>
    <w:rsid w:val="009808B4"/>
    <w:rsid w:val="00983391"/>
    <w:rsid w:val="00984821"/>
    <w:rsid w:val="00985261"/>
    <w:rsid w:val="00986B1F"/>
    <w:rsid w:val="00995296"/>
    <w:rsid w:val="009961A7"/>
    <w:rsid w:val="0099716A"/>
    <w:rsid w:val="009A0593"/>
    <w:rsid w:val="009A121C"/>
    <w:rsid w:val="009A2797"/>
    <w:rsid w:val="009A2C14"/>
    <w:rsid w:val="009A2E19"/>
    <w:rsid w:val="009A3D97"/>
    <w:rsid w:val="009A3ED6"/>
    <w:rsid w:val="009A43F6"/>
    <w:rsid w:val="009A4411"/>
    <w:rsid w:val="009A598B"/>
    <w:rsid w:val="009A698B"/>
    <w:rsid w:val="009B0A66"/>
    <w:rsid w:val="009B2D86"/>
    <w:rsid w:val="009B316D"/>
    <w:rsid w:val="009B3AA9"/>
    <w:rsid w:val="009B3F94"/>
    <w:rsid w:val="009B5E70"/>
    <w:rsid w:val="009B621A"/>
    <w:rsid w:val="009B672F"/>
    <w:rsid w:val="009B6EAB"/>
    <w:rsid w:val="009B718D"/>
    <w:rsid w:val="009C0BCC"/>
    <w:rsid w:val="009C26F2"/>
    <w:rsid w:val="009C3FA3"/>
    <w:rsid w:val="009C45D9"/>
    <w:rsid w:val="009C6530"/>
    <w:rsid w:val="009C6F32"/>
    <w:rsid w:val="009D2297"/>
    <w:rsid w:val="009D2BEF"/>
    <w:rsid w:val="009D31AD"/>
    <w:rsid w:val="009D358E"/>
    <w:rsid w:val="009D6236"/>
    <w:rsid w:val="009D7187"/>
    <w:rsid w:val="009D783B"/>
    <w:rsid w:val="009D7A17"/>
    <w:rsid w:val="009E01DD"/>
    <w:rsid w:val="009E0B5C"/>
    <w:rsid w:val="009E547A"/>
    <w:rsid w:val="009F30C8"/>
    <w:rsid w:val="009F4054"/>
    <w:rsid w:val="009F58D8"/>
    <w:rsid w:val="009F6A71"/>
    <w:rsid w:val="00A02A64"/>
    <w:rsid w:val="00A02F7D"/>
    <w:rsid w:val="00A03791"/>
    <w:rsid w:val="00A03F00"/>
    <w:rsid w:val="00A0490B"/>
    <w:rsid w:val="00A06657"/>
    <w:rsid w:val="00A114F3"/>
    <w:rsid w:val="00A12DA0"/>
    <w:rsid w:val="00A16DFA"/>
    <w:rsid w:val="00A17C0A"/>
    <w:rsid w:val="00A21B2B"/>
    <w:rsid w:val="00A22FA7"/>
    <w:rsid w:val="00A238D0"/>
    <w:rsid w:val="00A30429"/>
    <w:rsid w:val="00A33919"/>
    <w:rsid w:val="00A346B2"/>
    <w:rsid w:val="00A3601F"/>
    <w:rsid w:val="00A36968"/>
    <w:rsid w:val="00A36B0B"/>
    <w:rsid w:val="00A36EC5"/>
    <w:rsid w:val="00A37D0A"/>
    <w:rsid w:val="00A41149"/>
    <w:rsid w:val="00A42A69"/>
    <w:rsid w:val="00A43E92"/>
    <w:rsid w:val="00A44745"/>
    <w:rsid w:val="00A44F15"/>
    <w:rsid w:val="00A462AE"/>
    <w:rsid w:val="00A47646"/>
    <w:rsid w:val="00A47B7B"/>
    <w:rsid w:val="00A50621"/>
    <w:rsid w:val="00A54175"/>
    <w:rsid w:val="00A55432"/>
    <w:rsid w:val="00A56809"/>
    <w:rsid w:val="00A574D5"/>
    <w:rsid w:val="00A60D9A"/>
    <w:rsid w:val="00A6150F"/>
    <w:rsid w:val="00A62176"/>
    <w:rsid w:val="00A62A94"/>
    <w:rsid w:val="00A63A07"/>
    <w:rsid w:val="00A63C84"/>
    <w:rsid w:val="00A642A0"/>
    <w:rsid w:val="00A654A2"/>
    <w:rsid w:val="00A67183"/>
    <w:rsid w:val="00A70079"/>
    <w:rsid w:val="00A70F8F"/>
    <w:rsid w:val="00A71608"/>
    <w:rsid w:val="00A7260B"/>
    <w:rsid w:val="00A744DA"/>
    <w:rsid w:val="00A759A1"/>
    <w:rsid w:val="00A759FF"/>
    <w:rsid w:val="00A76391"/>
    <w:rsid w:val="00A76452"/>
    <w:rsid w:val="00A83F5F"/>
    <w:rsid w:val="00A84DF8"/>
    <w:rsid w:val="00A86D3D"/>
    <w:rsid w:val="00A9013E"/>
    <w:rsid w:val="00A915F3"/>
    <w:rsid w:val="00A94B17"/>
    <w:rsid w:val="00A94F1F"/>
    <w:rsid w:val="00A95347"/>
    <w:rsid w:val="00AA349C"/>
    <w:rsid w:val="00AA370A"/>
    <w:rsid w:val="00AA457E"/>
    <w:rsid w:val="00AA471D"/>
    <w:rsid w:val="00AA4B1C"/>
    <w:rsid w:val="00AA5E28"/>
    <w:rsid w:val="00AA6188"/>
    <w:rsid w:val="00AA6930"/>
    <w:rsid w:val="00AA7E33"/>
    <w:rsid w:val="00AB136A"/>
    <w:rsid w:val="00AB265E"/>
    <w:rsid w:val="00AB2948"/>
    <w:rsid w:val="00AB39FA"/>
    <w:rsid w:val="00AB3B30"/>
    <w:rsid w:val="00AB426C"/>
    <w:rsid w:val="00AB451C"/>
    <w:rsid w:val="00AB59F2"/>
    <w:rsid w:val="00AB5ACE"/>
    <w:rsid w:val="00AC2743"/>
    <w:rsid w:val="00AC31AC"/>
    <w:rsid w:val="00AC379D"/>
    <w:rsid w:val="00AC3E62"/>
    <w:rsid w:val="00AC5620"/>
    <w:rsid w:val="00AC5AF9"/>
    <w:rsid w:val="00AC6192"/>
    <w:rsid w:val="00AD004F"/>
    <w:rsid w:val="00AD03E2"/>
    <w:rsid w:val="00AD2F03"/>
    <w:rsid w:val="00AD4C60"/>
    <w:rsid w:val="00AD57FE"/>
    <w:rsid w:val="00AD6933"/>
    <w:rsid w:val="00AD6B7B"/>
    <w:rsid w:val="00AD7CAB"/>
    <w:rsid w:val="00AE0D6A"/>
    <w:rsid w:val="00AE10BE"/>
    <w:rsid w:val="00AE16C9"/>
    <w:rsid w:val="00AE19D2"/>
    <w:rsid w:val="00AE2154"/>
    <w:rsid w:val="00AE3EF5"/>
    <w:rsid w:val="00AE4F2A"/>
    <w:rsid w:val="00AE5F33"/>
    <w:rsid w:val="00AE6CB2"/>
    <w:rsid w:val="00AF05D7"/>
    <w:rsid w:val="00AF0AD5"/>
    <w:rsid w:val="00AF15E6"/>
    <w:rsid w:val="00AF51E7"/>
    <w:rsid w:val="00AF6744"/>
    <w:rsid w:val="00B05620"/>
    <w:rsid w:val="00B06C05"/>
    <w:rsid w:val="00B11C69"/>
    <w:rsid w:val="00B12E05"/>
    <w:rsid w:val="00B12EBE"/>
    <w:rsid w:val="00B16431"/>
    <w:rsid w:val="00B166A4"/>
    <w:rsid w:val="00B16ECA"/>
    <w:rsid w:val="00B219B7"/>
    <w:rsid w:val="00B25038"/>
    <w:rsid w:val="00B27F24"/>
    <w:rsid w:val="00B27FF1"/>
    <w:rsid w:val="00B3159A"/>
    <w:rsid w:val="00B33465"/>
    <w:rsid w:val="00B35C09"/>
    <w:rsid w:val="00B37266"/>
    <w:rsid w:val="00B379C5"/>
    <w:rsid w:val="00B4031E"/>
    <w:rsid w:val="00B416BA"/>
    <w:rsid w:val="00B4183F"/>
    <w:rsid w:val="00B41A07"/>
    <w:rsid w:val="00B42198"/>
    <w:rsid w:val="00B46AD2"/>
    <w:rsid w:val="00B51260"/>
    <w:rsid w:val="00B5426D"/>
    <w:rsid w:val="00B55E67"/>
    <w:rsid w:val="00B64BBE"/>
    <w:rsid w:val="00B64D5F"/>
    <w:rsid w:val="00B67DE1"/>
    <w:rsid w:val="00B70CC6"/>
    <w:rsid w:val="00B73894"/>
    <w:rsid w:val="00B776B5"/>
    <w:rsid w:val="00B8193F"/>
    <w:rsid w:val="00B82A82"/>
    <w:rsid w:val="00B83328"/>
    <w:rsid w:val="00B8464A"/>
    <w:rsid w:val="00B8473D"/>
    <w:rsid w:val="00B9038B"/>
    <w:rsid w:val="00B90410"/>
    <w:rsid w:val="00B90E10"/>
    <w:rsid w:val="00B91014"/>
    <w:rsid w:val="00B949B3"/>
    <w:rsid w:val="00B964CA"/>
    <w:rsid w:val="00B969D7"/>
    <w:rsid w:val="00BA0439"/>
    <w:rsid w:val="00BA2F44"/>
    <w:rsid w:val="00BA31C4"/>
    <w:rsid w:val="00BA3E1B"/>
    <w:rsid w:val="00BA4655"/>
    <w:rsid w:val="00BA78B6"/>
    <w:rsid w:val="00BA7935"/>
    <w:rsid w:val="00BB047B"/>
    <w:rsid w:val="00BB4818"/>
    <w:rsid w:val="00BB4AF3"/>
    <w:rsid w:val="00BB6398"/>
    <w:rsid w:val="00BB6B16"/>
    <w:rsid w:val="00BC25EF"/>
    <w:rsid w:val="00BC2DAF"/>
    <w:rsid w:val="00BC4FD3"/>
    <w:rsid w:val="00BC6827"/>
    <w:rsid w:val="00BC6C7A"/>
    <w:rsid w:val="00BC7D9E"/>
    <w:rsid w:val="00BC7E97"/>
    <w:rsid w:val="00BD0372"/>
    <w:rsid w:val="00BD04D7"/>
    <w:rsid w:val="00BD4297"/>
    <w:rsid w:val="00BD44F5"/>
    <w:rsid w:val="00BE183F"/>
    <w:rsid w:val="00BE2052"/>
    <w:rsid w:val="00BE35A2"/>
    <w:rsid w:val="00BE4340"/>
    <w:rsid w:val="00BE5020"/>
    <w:rsid w:val="00BE5C41"/>
    <w:rsid w:val="00BF0646"/>
    <w:rsid w:val="00BF1C32"/>
    <w:rsid w:val="00BF2ACD"/>
    <w:rsid w:val="00BF343F"/>
    <w:rsid w:val="00BF76A6"/>
    <w:rsid w:val="00C0068D"/>
    <w:rsid w:val="00C012DC"/>
    <w:rsid w:val="00C01F23"/>
    <w:rsid w:val="00C02A76"/>
    <w:rsid w:val="00C044BE"/>
    <w:rsid w:val="00C04BAB"/>
    <w:rsid w:val="00C0607B"/>
    <w:rsid w:val="00C06CBC"/>
    <w:rsid w:val="00C06DEF"/>
    <w:rsid w:val="00C075A2"/>
    <w:rsid w:val="00C07879"/>
    <w:rsid w:val="00C107CB"/>
    <w:rsid w:val="00C118C4"/>
    <w:rsid w:val="00C11F58"/>
    <w:rsid w:val="00C120D7"/>
    <w:rsid w:val="00C132D1"/>
    <w:rsid w:val="00C139CA"/>
    <w:rsid w:val="00C13A7D"/>
    <w:rsid w:val="00C142F9"/>
    <w:rsid w:val="00C20B90"/>
    <w:rsid w:val="00C215D1"/>
    <w:rsid w:val="00C233BC"/>
    <w:rsid w:val="00C236E8"/>
    <w:rsid w:val="00C23EC5"/>
    <w:rsid w:val="00C241A8"/>
    <w:rsid w:val="00C24ABA"/>
    <w:rsid w:val="00C253FB"/>
    <w:rsid w:val="00C264CB"/>
    <w:rsid w:val="00C30BA9"/>
    <w:rsid w:val="00C31253"/>
    <w:rsid w:val="00C33D00"/>
    <w:rsid w:val="00C35129"/>
    <w:rsid w:val="00C3564D"/>
    <w:rsid w:val="00C36498"/>
    <w:rsid w:val="00C41197"/>
    <w:rsid w:val="00C419DB"/>
    <w:rsid w:val="00C42946"/>
    <w:rsid w:val="00C45C37"/>
    <w:rsid w:val="00C476F1"/>
    <w:rsid w:val="00C512CF"/>
    <w:rsid w:val="00C51429"/>
    <w:rsid w:val="00C51E8F"/>
    <w:rsid w:val="00C52CE9"/>
    <w:rsid w:val="00C52FC0"/>
    <w:rsid w:val="00C53A3C"/>
    <w:rsid w:val="00C53F9E"/>
    <w:rsid w:val="00C559E9"/>
    <w:rsid w:val="00C608C1"/>
    <w:rsid w:val="00C60B5B"/>
    <w:rsid w:val="00C61360"/>
    <w:rsid w:val="00C63D4E"/>
    <w:rsid w:val="00C63EA9"/>
    <w:rsid w:val="00C65932"/>
    <w:rsid w:val="00C665A0"/>
    <w:rsid w:val="00C665C1"/>
    <w:rsid w:val="00C66970"/>
    <w:rsid w:val="00C67725"/>
    <w:rsid w:val="00C700F3"/>
    <w:rsid w:val="00C7092F"/>
    <w:rsid w:val="00C72608"/>
    <w:rsid w:val="00C72B84"/>
    <w:rsid w:val="00C72CEB"/>
    <w:rsid w:val="00C7535A"/>
    <w:rsid w:val="00C757EE"/>
    <w:rsid w:val="00C76DDA"/>
    <w:rsid w:val="00C80070"/>
    <w:rsid w:val="00C807B3"/>
    <w:rsid w:val="00C825C9"/>
    <w:rsid w:val="00C86CC3"/>
    <w:rsid w:val="00C86E37"/>
    <w:rsid w:val="00C9007D"/>
    <w:rsid w:val="00C901B1"/>
    <w:rsid w:val="00C90EBC"/>
    <w:rsid w:val="00C91B69"/>
    <w:rsid w:val="00C94FBA"/>
    <w:rsid w:val="00CA31E6"/>
    <w:rsid w:val="00CA3856"/>
    <w:rsid w:val="00CA5A3F"/>
    <w:rsid w:val="00CA6532"/>
    <w:rsid w:val="00CA67E0"/>
    <w:rsid w:val="00CB0122"/>
    <w:rsid w:val="00CB0269"/>
    <w:rsid w:val="00CB0833"/>
    <w:rsid w:val="00CB18F5"/>
    <w:rsid w:val="00CB505D"/>
    <w:rsid w:val="00CB5E58"/>
    <w:rsid w:val="00CB5E67"/>
    <w:rsid w:val="00CB6902"/>
    <w:rsid w:val="00CC008E"/>
    <w:rsid w:val="00CC02ED"/>
    <w:rsid w:val="00CC0C78"/>
    <w:rsid w:val="00CC63EB"/>
    <w:rsid w:val="00CC6D2F"/>
    <w:rsid w:val="00CD022A"/>
    <w:rsid w:val="00CD03BE"/>
    <w:rsid w:val="00CD0707"/>
    <w:rsid w:val="00CD1A25"/>
    <w:rsid w:val="00CD2979"/>
    <w:rsid w:val="00CD2E16"/>
    <w:rsid w:val="00CD65E7"/>
    <w:rsid w:val="00CD7BFC"/>
    <w:rsid w:val="00CE2B95"/>
    <w:rsid w:val="00CE2F1A"/>
    <w:rsid w:val="00CE7B82"/>
    <w:rsid w:val="00CF0115"/>
    <w:rsid w:val="00CF1A11"/>
    <w:rsid w:val="00CF30FC"/>
    <w:rsid w:val="00CF3401"/>
    <w:rsid w:val="00CF40CE"/>
    <w:rsid w:val="00CF4286"/>
    <w:rsid w:val="00CF4E90"/>
    <w:rsid w:val="00CF5CB2"/>
    <w:rsid w:val="00CF72A3"/>
    <w:rsid w:val="00D00F9E"/>
    <w:rsid w:val="00D019BA"/>
    <w:rsid w:val="00D01B9F"/>
    <w:rsid w:val="00D03B38"/>
    <w:rsid w:val="00D03F87"/>
    <w:rsid w:val="00D04CD4"/>
    <w:rsid w:val="00D0682B"/>
    <w:rsid w:val="00D07174"/>
    <w:rsid w:val="00D12095"/>
    <w:rsid w:val="00D13F4D"/>
    <w:rsid w:val="00D14060"/>
    <w:rsid w:val="00D20686"/>
    <w:rsid w:val="00D21AEC"/>
    <w:rsid w:val="00D22D06"/>
    <w:rsid w:val="00D24772"/>
    <w:rsid w:val="00D2514E"/>
    <w:rsid w:val="00D26E91"/>
    <w:rsid w:val="00D272A6"/>
    <w:rsid w:val="00D274BD"/>
    <w:rsid w:val="00D32D66"/>
    <w:rsid w:val="00D34419"/>
    <w:rsid w:val="00D3441D"/>
    <w:rsid w:val="00D349EB"/>
    <w:rsid w:val="00D355C4"/>
    <w:rsid w:val="00D3612A"/>
    <w:rsid w:val="00D3689D"/>
    <w:rsid w:val="00D3752B"/>
    <w:rsid w:val="00D37703"/>
    <w:rsid w:val="00D37DBF"/>
    <w:rsid w:val="00D37F25"/>
    <w:rsid w:val="00D406BC"/>
    <w:rsid w:val="00D42F4F"/>
    <w:rsid w:val="00D4339C"/>
    <w:rsid w:val="00D44141"/>
    <w:rsid w:val="00D45A51"/>
    <w:rsid w:val="00D5282B"/>
    <w:rsid w:val="00D548B2"/>
    <w:rsid w:val="00D56A53"/>
    <w:rsid w:val="00D57257"/>
    <w:rsid w:val="00D575F9"/>
    <w:rsid w:val="00D6017A"/>
    <w:rsid w:val="00D6324F"/>
    <w:rsid w:val="00D63458"/>
    <w:rsid w:val="00D63C5F"/>
    <w:rsid w:val="00D6472A"/>
    <w:rsid w:val="00D66635"/>
    <w:rsid w:val="00D66D37"/>
    <w:rsid w:val="00D67CB7"/>
    <w:rsid w:val="00D7079D"/>
    <w:rsid w:val="00D73B68"/>
    <w:rsid w:val="00D750CC"/>
    <w:rsid w:val="00D758A6"/>
    <w:rsid w:val="00D758DC"/>
    <w:rsid w:val="00D75CA3"/>
    <w:rsid w:val="00D76009"/>
    <w:rsid w:val="00D762FC"/>
    <w:rsid w:val="00D813E7"/>
    <w:rsid w:val="00D84369"/>
    <w:rsid w:val="00D84C8F"/>
    <w:rsid w:val="00D873AD"/>
    <w:rsid w:val="00D879DB"/>
    <w:rsid w:val="00D90BEE"/>
    <w:rsid w:val="00D91916"/>
    <w:rsid w:val="00D91AAC"/>
    <w:rsid w:val="00D91C06"/>
    <w:rsid w:val="00D91C9F"/>
    <w:rsid w:val="00D93FD1"/>
    <w:rsid w:val="00D9456A"/>
    <w:rsid w:val="00D94963"/>
    <w:rsid w:val="00D94B07"/>
    <w:rsid w:val="00D96A8E"/>
    <w:rsid w:val="00DA08F5"/>
    <w:rsid w:val="00DA25F0"/>
    <w:rsid w:val="00DA2ADC"/>
    <w:rsid w:val="00DA43C9"/>
    <w:rsid w:val="00DA481F"/>
    <w:rsid w:val="00DA73F1"/>
    <w:rsid w:val="00DB01E2"/>
    <w:rsid w:val="00DB0764"/>
    <w:rsid w:val="00DB2FFB"/>
    <w:rsid w:val="00DB3506"/>
    <w:rsid w:val="00DB7A9A"/>
    <w:rsid w:val="00DC0E57"/>
    <w:rsid w:val="00DC2382"/>
    <w:rsid w:val="00DC3177"/>
    <w:rsid w:val="00DC3276"/>
    <w:rsid w:val="00DC7B35"/>
    <w:rsid w:val="00DD035C"/>
    <w:rsid w:val="00DD13AB"/>
    <w:rsid w:val="00DD17D6"/>
    <w:rsid w:val="00DD2672"/>
    <w:rsid w:val="00DD2841"/>
    <w:rsid w:val="00DD323F"/>
    <w:rsid w:val="00DD37D8"/>
    <w:rsid w:val="00DD4EB5"/>
    <w:rsid w:val="00DD5902"/>
    <w:rsid w:val="00DD5F95"/>
    <w:rsid w:val="00DD60ED"/>
    <w:rsid w:val="00DD74C8"/>
    <w:rsid w:val="00DE01A4"/>
    <w:rsid w:val="00DE29D4"/>
    <w:rsid w:val="00DE3E40"/>
    <w:rsid w:val="00DE4597"/>
    <w:rsid w:val="00DE643F"/>
    <w:rsid w:val="00DE7999"/>
    <w:rsid w:val="00DF29E9"/>
    <w:rsid w:val="00DF4CE9"/>
    <w:rsid w:val="00DF6840"/>
    <w:rsid w:val="00E010AB"/>
    <w:rsid w:val="00E013C7"/>
    <w:rsid w:val="00E015AD"/>
    <w:rsid w:val="00E02003"/>
    <w:rsid w:val="00E0233F"/>
    <w:rsid w:val="00E02678"/>
    <w:rsid w:val="00E050EC"/>
    <w:rsid w:val="00E06262"/>
    <w:rsid w:val="00E0748A"/>
    <w:rsid w:val="00E128A9"/>
    <w:rsid w:val="00E13168"/>
    <w:rsid w:val="00E14133"/>
    <w:rsid w:val="00E143DA"/>
    <w:rsid w:val="00E14BA3"/>
    <w:rsid w:val="00E16744"/>
    <w:rsid w:val="00E178E1"/>
    <w:rsid w:val="00E24CDE"/>
    <w:rsid w:val="00E25953"/>
    <w:rsid w:val="00E265FE"/>
    <w:rsid w:val="00E27E48"/>
    <w:rsid w:val="00E27F5A"/>
    <w:rsid w:val="00E318AB"/>
    <w:rsid w:val="00E32BEA"/>
    <w:rsid w:val="00E32F5B"/>
    <w:rsid w:val="00E3799F"/>
    <w:rsid w:val="00E37DA2"/>
    <w:rsid w:val="00E41076"/>
    <w:rsid w:val="00E4121B"/>
    <w:rsid w:val="00E42228"/>
    <w:rsid w:val="00E42973"/>
    <w:rsid w:val="00E42FA4"/>
    <w:rsid w:val="00E43ACF"/>
    <w:rsid w:val="00E43B5E"/>
    <w:rsid w:val="00E45366"/>
    <w:rsid w:val="00E455D8"/>
    <w:rsid w:val="00E45864"/>
    <w:rsid w:val="00E4622C"/>
    <w:rsid w:val="00E47F40"/>
    <w:rsid w:val="00E50171"/>
    <w:rsid w:val="00E51D31"/>
    <w:rsid w:val="00E51FFB"/>
    <w:rsid w:val="00E524AA"/>
    <w:rsid w:val="00E52DD3"/>
    <w:rsid w:val="00E5471E"/>
    <w:rsid w:val="00E558A4"/>
    <w:rsid w:val="00E566CC"/>
    <w:rsid w:val="00E576D9"/>
    <w:rsid w:val="00E63C9E"/>
    <w:rsid w:val="00E65C76"/>
    <w:rsid w:val="00E65EA1"/>
    <w:rsid w:val="00E6605D"/>
    <w:rsid w:val="00E6611F"/>
    <w:rsid w:val="00E73B6E"/>
    <w:rsid w:val="00E73C8E"/>
    <w:rsid w:val="00E747CD"/>
    <w:rsid w:val="00E77309"/>
    <w:rsid w:val="00E77891"/>
    <w:rsid w:val="00E81920"/>
    <w:rsid w:val="00E90615"/>
    <w:rsid w:val="00E91460"/>
    <w:rsid w:val="00E9168B"/>
    <w:rsid w:val="00E91A28"/>
    <w:rsid w:val="00E923A0"/>
    <w:rsid w:val="00E9265B"/>
    <w:rsid w:val="00E95253"/>
    <w:rsid w:val="00E95569"/>
    <w:rsid w:val="00E978F3"/>
    <w:rsid w:val="00EA1CB1"/>
    <w:rsid w:val="00EA6125"/>
    <w:rsid w:val="00EB1B24"/>
    <w:rsid w:val="00EC0435"/>
    <w:rsid w:val="00EC7180"/>
    <w:rsid w:val="00EC7402"/>
    <w:rsid w:val="00ED209D"/>
    <w:rsid w:val="00ED2C5C"/>
    <w:rsid w:val="00ED3DB6"/>
    <w:rsid w:val="00ED418D"/>
    <w:rsid w:val="00ED46C4"/>
    <w:rsid w:val="00ED5F88"/>
    <w:rsid w:val="00ED664B"/>
    <w:rsid w:val="00ED7359"/>
    <w:rsid w:val="00ED7C2E"/>
    <w:rsid w:val="00EE2D4F"/>
    <w:rsid w:val="00EE3428"/>
    <w:rsid w:val="00EE5111"/>
    <w:rsid w:val="00EE512A"/>
    <w:rsid w:val="00EF157F"/>
    <w:rsid w:val="00EF159F"/>
    <w:rsid w:val="00EF17D4"/>
    <w:rsid w:val="00EF2730"/>
    <w:rsid w:val="00EF28D7"/>
    <w:rsid w:val="00EF3DBD"/>
    <w:rsid w:val="00EF4143"/>
    <w:rsid w:val="00EF426F"/>
    <w:rsid w:val="00EF5550"/>
    <w:rsid w:val="00EF5E89"/>
    <w:rsid w:val="00EF6AE6"/>
    <w:rsid w:val="00F01D63"/>
    <w:rsid w:val="00F02021"/>
    <w:rsid w:val="00F03786"/>
    <w:rsid w:val="00F03AB8"/>
    <w:rsid w:val="00F05E37"/>
    <w:rsid w:val="00F07897"/>
    <w:rsid w:val="00F07EF7"/>
    <w:rsid w:val="00F112AC"/>
    <w:rsid w:val="00F11805"/>
    <w:rsid w:val="00F12639"/>
    <w:rsid w:val="00F130AD"/>
    <w:rsid w:val="00F13F6E"/>
    <w:rsid w:val="00F16DF1"/>
    <w:rsid w:val="00F2002D"/>
    <w:rsid w:val="00F22093"/>
    <w:rsid w:val="00F227E8"/>
    <w:rsid w:val="00F24647"/>
    <w:rsid w:val="00F24E25"/>
    <w:rsid w:val="00F26374"/>
    <w:rsid w:val="00F26A9F"/>
    <w:rsid w:val="00F30DE4"/>
    <w:rsid w:val="00F326A2"/>
    <w:rsid w:val="00F331B5"/>
    <w:rsid w:val="00F33B44"/>
    <w:rsid w:val="00F34AF9"/>
    <w:rsid w:val="00F37F31"/>
    <w:rsid w:val="00F41836"/>
    <w:rsid w:val="00F41E62"/>
    <w:rsid w:val="00F43022"/>
    <w:rsid w:val="00F45725"/>
    <w:rsid w:val="00F47B58"/>
    <w:rsid w:val="00F47BED"/>
    <w:rsid w:val="00F512F6"/>
    <w:rsid w:val="00F5198B"/>
    <w:rsid w:val="00F53521"/>
    <w:rsid w:val="00F53991"/>
    <w:rsid w:val="00F53C0B"/>
    <w:rsid w:val="00F54EC9"/>
    <w:rsid w:val="00F561B4"/>
    <w:rsid w:val="00F61722"/>
    <w:rsid w:val="00F617C6"/>
    <w:rsid w:val="00F6208E"/>
    <w:rsid w:val="00F66A33"/>
    <w:rsid w:val="00F66F7C"/>
    <w:rsid w:val="00F70BA5"/>
    <w:rsid w:val="00F71818"/>
    <w:rsid w:val="00F72D4B"/>
    <w:rsid w:val="00F73842"/>
    <w:rsid w:val="00F73B39"/>
    <w:rsid w:val="00F74981"/>
    <w:rsid w:val="00F75177"/>
    <w:rsid w:val="00F75C04"/>
    <w:rsid w:val="00F80CF8"/>
    <w:rsid w:val="00F81F50"/>
    <w:rsid w:val="00F83984"/>
    <w:rsid w:val="00F84FC4"/>
    <w:rsid w:val="00F85299"/>
    <w:rsid w:val="00F87926"/>
    <w:rsid w:val="00F87D98"/>
    <w:rsid w:val="00F90692"/>
    <w:rsid w:val="00F94DBB"/>
    <w:rsid w:val="00F95772"/>
    <w:rsid w:val="00FA0846"/>
    <w:rsid w:val="00FA27ED"/>
    <w:rsid w:val="00FA5564"/>
    <w:rsid w:val="00FB2CA2"/>
    <w:rsid w:val="00FB4289"/>
    <w:rsid w:val="00FB5140"/>
    <w:rsid w:val="00FC0149"/>
    <w:rsid w:val="00FC111D"/>
    <w:rsid w:val="00FC1824"/>
    <w:rsid w:val="00FC2897"/>
    <w:rsid w:val="00FC2985"/>
    <w:rsid w:val="00FC3AD4"/>
    <w:rsid w:val="00FC7254"/>
    <w:rsid w:val="00FD008B"/>
    <w:rsid w:val="00FD0E0E"/>
    <w:rsid w:val="00FD12A2"/>
    <w:rsid w:val="00FD424D"/>
    <w:rsid w:val="00FD5803"/>
    <w:rsid w:val="00FE100D"/>
    <w:rsid w:val="00FE2CE3"/>
    <w:rsid w:val="00FE2CF0"/>
    <w:rsid w:val="00FE375D"/>
    <w:rsid w:val="00FE57E3"/>
    <w:rsid w:val="00FE65AC"/>
    <w:rsid w:val="00FE7F11"/>
    <w:rsid w:val="00FF20D4"/>
    <w:rsid w:val="00FF2484"/>
    <w:rsid w:val="00FF2AF6"/>
    <w:rsid w:val="00FF3F44"/>
    <w:rsid w:val="00FF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4D0560B"/>
  <w15:chartTrackingRefBased/>
  <w15:docId w15:val="{DD04ACF9-38A1-4C77-85DE-5F2C0064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5658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F81F50"/>
    <w:pPr>
      <w:numPr>
        <w:numId w:val="24"/>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24"/>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uiPriority w:val="99"/>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25"/>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23"/>
      </w:numPr>
    </w:pPr>
  </w:style>
  <w:style w:type="paragraph" w:customStyle="1" w:styleId="Section412paragraphs">
    <w:name w:val="Section 4.1.2 paragraphs"/>
    <w:basedOn w:val="NICEnormal"/>
    <w:rsid w:val="00FB5140"/>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99731">
      <w:bodyDiv w:val="1"/>
      <w:marLeft w:val="0"/>
      <w:marRight w:val="0"/>
      <w:marTop w:val="0"/>
      <w:marBottom w:val="0"/>
      <w:divBdr>
        <w:top w:val="none" w:sz="0" w:space="0" w:color="auto"/>
        <w:left w:val="none" w:sz="0" w:space="0" w:color="auto"/>
        <w:bottom w:val="none" w:sz="0" w:space="0" w:color="auto"/>
        <w:right w:val="none" w:sz="0" w:space="0" w:color="auto"/>
      </w:divBdr>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77178790">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222/document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et-involved/meetings-in-public/technology-appraisal-committ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et-Involved/Meetings-in-public/Technology-appraisal-Committee/Committee-A-Memb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ce.org.uk/process/pmg9/chapter/the-appraisal-of-the-evidence-and-structured-decision-making" TargetMode="External"/><Relationship Id="rId4" Type="http://schemas.openxmlformats.org/officeDocument/2006/relationships/settings" Target="settings.xml"/><Relationship Id="rId9" Type="http://schemas.openxmlformats.org/officeDocument/2006/relationships/hyperlink" Target="https://www.nice.org.uk/process/pmg9/chapter/the-reference-cas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1A37F-9317-4E19-94AA-0A7ADF3D1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3621</Words>
  <Characters>20705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24278</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Farhaan Jamadar</dc:creator>
  <cp:keywords/>
  <cp:lastModifiedBy>Jeremy Powell</cp:lastModifiedBy>
  <cp:revision>2</cp:revision>
  <cp:lastPrinted>2020-10-28T21:28:00Z</cp:lastPrinted>
  <dcterms:created xsi:type="dcterms:W3CDTF">2020-11-03T21:51:00Z</dcterms:created>
  <dcterms:modified xsi:type="dcterms:W3CDTF">2020-11-03T21:51:00Z</dcterms:modified>
</cp:coreProperties>
</file>