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2085" w14:textId="77777777" w:rsidR="000F48EC" w:rsidRPr="000F48EC" w:rsidRDefault="000F48EC" w:rsidP="0093671F">
      <w:pPr>
        <w:pStyle w:val="Title2"/>
      </w:pPr>
      <w:r w:rsidRPr="000F48EC">
        <w:t>NATIONAL INSTITUTE FOR HEALTH AND C</w:t>
      </w:r>
      <w:r w:rsidR="00CC63EB">
        <w:t>ARE</w:t>
      </w:r>
      <w:r w:rsidRPr="000F48EC">
        <w:t xml:space="preserve"> EXCELLENCE</w:t>
      </w:r>
    </w:p>
    <w:p w14:paraId="3327683B" w14:textId="730170AC" w:rsidR="000F48EC" w:rsidRPr="000F48EC" w:rsidRDefault="007A2801" w:rsidP="000069F9">
      <w:pPr>
        <w:pStyle w:val="Title2"/>
      </w:pPr>
      <w:r>
        <w:t>Appraisal consultation document</w:t>
      </w:r>
    </w:p>
    <w:p w14:paraId="7D617D73" w14:textId="77777777" w:rsidR="005E2C3B" w:rsidRPr="00FD35D9" w:rsidRDefault="005E2C3B" w:rsidP="005E2C3B">
      <w:pPr>
        <w:pStyle w:val="Title1"/>
      </w:pPr>
      <w:r w:rsidRPr="00FD35D9">
        <w:t>Dupilumab for treating severe asthma</w:t>
      </w:r>
      <w:r>
        <w:t xml:space="preserve"> with type 2 </w:t>
      </w:r>
      <w:proofErr w:type="gramStart"/>
      <w:r>
        <w:t>inflammation</w:t>
      </w:r>
      <w:proofErr w:type="gramEnd"/>
    </w:p>
    <w:p w14:paraId="03C9462D" w14:textId="77777777" w:rsidR="004921C3" w:rsidRDefault="00FB5140" w:rsidP="004921C3">
      <w:pPr>
        <w:pStyle w:val="NICEnormal"/>
      </w:pPr>
      <w:r>
        <w:rPr>
          <w:noProof/>
          <w:lang w:eastAsia="en-GB"/>
        </w:rPr>
        <mc:AlternateContent>
          <mc:Choice Requires="wps">
            <w:drawing>
              <wp:anchor distT="0" distB="0" distL="114300" distR="114300" simplePos="0" relativeHeight="251659264" behindDoc="0" locked="0" layoutInCell="1" allowOverlap="1" wp14:anchorId="25261988" wp14:editId="41AE2A7B">
                <wp:simplePos x="0" y="0"/>
                <wp:positionH relativeFrom="margin">
                  <wp:posOffset>19050</wp:posOffset>
                </wp:positionH>
                <wp:positionV relativeFrom="paragraph">
                  <wp:posOffset>202580</wp:posOffset>
                </wp:positionV>
                <wp:extent cx="5456717" cy="4797499"/>
                <wp:effectExtent l="19050" t="19050" r="10795" b="22225"/>
                <wp:wrapNone/>
                <wp:docPr id="7" name="Text Box 7" descr="Panel explaining the consultation process. "/>
                <wp:cNvGraphicFramePr/>
                <a:graphic xmlns:a="http://schemas.openxmlformats.org/drawingml/2006/main">
                  <a:graphicData uri="http://schemas.microsoft.com/office/word/2010/wordprocessingShape">
                    <wps:wsp>
                      <wps:cNvSpPr txBox="1"/>
                      <wps:spPr>
                        <a:xfrm>
                          <a:off x="0" y="0"/>
                          <a:ext cx="5456717" cy="4797499"/>
                        </a:xfrm>
                        <a:prstGeom prst="rect">
                          <a:avLst/>
                        </a:prstGeom>
                        <a:solidFill>
                          <a:schemeClr val="bg1"/>
                        </a:solidFill>
                        <a:ln w="38100">
                          <a:solidFill>
                            <a:srgbClr val="A2BDC1"/>
                          </a:solidFill>
                        </a:ln>
                      </wps:spPr>
                      <wps:txbx>
                        <w:txbxContent>
                          <w:p w14:paraId="36873936" w14:textId="4968FCE4" w:rsidR="005B6AE5" w:rsidRDefault="005B6AE5" w:rsidP="00FB5140">
                            <w:pPr>
                              <w:pStyle w:val="NICEnormalsinglespacing"/>
                            </w:pPr>
                            <w:r>
                              <w:t xml:space="preserve">The Department of Health and Social Care has asked the National Institute for Health and Care Excellence (NICE) to produce guidance on using dupilumab in the NHS in England. The appraisal committee has considered the evidence submitted by the company and the views of non-company consultees and commentators, clinical </w:t>
                            </w:r>
                            <w:proofErr w:type="gramStart"/>
                            <w:r>
                              <w:t>experts</w:t>
                            </w:r>
                            <w:proofErr w:type="gramEnd"/>
                            <w:r>
                              <w:t xml:space="preserve"> and patient experts. </w:t>
                            </w:r>
                          </w:p>
                          <w:p w14:paraId="7CAAAE18" w14:textId="4B0646D0" w:rsidR="005B6AE5" w:rsidRDefault="005B6AE5" w:rsidP="00FB5140">
                            <w:pPr>
                              <w:pStyle w:val="NICEnormalsinglespacing"/>
                            </w:pPr>
                            <w:r w:rsidRPr="00791280">
                              <w:rPr>
                                <w:rStyle w:val="NICEnormalChar"/>
                                <w:b/>
                                <w:bCs/>
                              </w:rPr>
                              <w:t>This document has been prepared for consultation with the consultees.</w:t>
                            </w:r>
                            <w:r>
                              <w:t xml:space="preserve"> It summarises the evidence and views that have been </w:t>
                            </w:r>
                            <w:proofErr w:type="gramStart"/>
                            <w:r>
                              <w:t>considered, and</w:t>
                            </w:r>
                            <w:proofErr w:type="gramEnd"/>
                            <w:r>
                              <w:t xml:space="preserve"> sets out the recommendations made by the committee. NICE invites comments from the consultees and commentators for this appraisal and the public. This document should be read along with the evidence (see the </w:t>
                            </w:r>
                            <w:hyperlink r:id="rId8" w:history="1">
                              <w:r>
                                <w:rPr>
                                  <w:rStyle w:val="Hyperlink"/>
                                </w:rPr>
                                <w:t>committee papers</w:t>
                              </w:r>
                            </w:hyperlink>
                            <w:r>
                              <w:t>).</w:t>
                            </w:r>
                          </w:p>
                          <w:p w14:paraId="3AE5DAFC" w14:textId="77777777" w:rsidR="005B6AE5" w:rsidRDefault="005B6AE5" w:rsidP="00FB5140">
                            <w:pPr>
                              <w:pStyle w:val="NICEnormalsinglespacing"/>
                            </w:pPr>
                            <w:r>
                              <w:t>The appraisal committee is interested in receiving comments on the following:</w:t>
                            </w:r>
                          </w:p>
                          <w:p w14:paraId="1F0ED096" w14:textId="77777777" w:rsidR="005B6AE5" w:rsidRDefault="005B6AE5" w:rsidP="00FB5140">
                            <w:pPr>
                              <w:pStyle w:val="Bulletleft1"/>
                              <w:spacing w:line="240" w:lineRule="auto"/>
                            </w:pPr>
                            <w:r>
                              <w:t xml:space="preserve">Has </w:t>
                            </w:r>
                            <w:proofErr w:type="gramStart"/>
                            <w:r>
                              <w:t>all of</w:t>
                            </w:r>
                            <w:proofErr w:type="gramEnd"/>
                            <w:r>
                              <w:t xml:space="preserve"> the relevant evidence been taken into account?</w:t>
                            </w:r>
                          </w:p>
                          <w:p w14:paraId="1664D892" w14:textId="77777777" w:rsidR="005B6AE5" w:rsidRDefault="005B6AE5" w:rsidP="00FB5140">
                            <w:pPr>
                              <w:pStyle w:val="Bulletleft1"/>
                              <w:spacing w:line="240" w:lineRule="auto"/>
                            </w:pPr>
                            <w:r>
                              <w:t>Are the summaries of clinical and cost effectiveness reasonable interpretations of the evidence?</w:t>
                            </w:r>
                          </w:p>
                          <w:p w14:paraId="35D516DB" w14:textId="77777777" w:rsidR="005B6AE5" w:rsidRDefault="005B6AE5" w:rsidP="00FB5140">
                            <w:pPr>
                              <w:pStyle w:val="Bulletleft1"/>
                              <w:spacing w:line="240" w:lineRule="auto"/>
                            </w:pPr>
                            <w:r>
                              <w:t>Are the recommendations sound and a suitable basis for guidance to the NHS?</w:t>
                            </w:r>
                          </w:p>
                          <w:p w14:paraId="4ADAA3C7" w14:textId="77777777" w:rsidR="005B6AE5" w:rsidRDefault="005B6AE5" w:rsidP="00FB5140">
                            <w:pPr>
                              <w:pStyle w:val="Bulletleft1"/>
                              <w:spacing w:line="240" w:lineRule="auto"/>
                            </w:pPr>
                            <w:r>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61988" id="_x0000_t202" coordsize="21600,21600" o:spt="202" path="m,l,21600r21600,l21600,xe">
                <v:stroke joinstyle="miter"/>
                <v:path gradientshapeok="t" o:connecttype="rect"/>
              </v:shapetype>
              <v:shape id="Text Box 7" o:spid="_x0000_s1026" type="#_x0000_t202" alt="Panel explaining the consultation process. " style="position:absolute;margin-left:1.5pt;margin-top:15.95pt;width:429.65pt;height:37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FWbwIAANgEAAAOAAAAZHJzL2Uyb0RvYy54bWysVE1vGjEQvVfqf7B8LwuUhICyRIQoVaUo&#10;iZREORuvF1byelzbsJv++j57F/LRnKpejOdjn2fem+H8oq012yvnKzI5Hw2GnCkjqajMJudPj9ff&#10;zjjzQZhCaDIq5y/K84vF1y/njZ2rMW1JF8oxgBg/b2zOtyHYeZZ5uVW18AOyyiBYkqtFgOk2WeFE&#10;A/RaZ+Ph8DRryBXWkVTew3vVBfki4ZelkuGuLL0KTOcctYV0unSu45ktzsV844TdVrIvQ/xDFbWo&#10;DB49Ql2JINjOVX9B1ZV05KkMA0l1RmVZSZV6QDej4YduHrbCqtQLyPH2SJP/f7Dydn/vWFXkfMqZ&#10;ETUkelRtYJfUMngK5SXYuhdGaaZaq9EnaGZhq5gk43c6iADpWS/BgEVGG+vnAH6wgA4toDAZB7+H&#10;MxLVlq6Ov6CAIQ5tXo56xAIknCeTk9PpCGVIxCbT2XQym0Wc7PVz63z4oahGAR7iOgiedBD7Gx+6&#10;1ENKfM2TrorrSutkxCFTK+3YXmA81ptUJMDfZWnDmpx/PxsNhwn5XdC7zfoIsBxfXq0+wQCiNqg6&#10;0tK1H2+hXbc9V2sqXkCVo248vZXXFdq5ET7cC4d5BDvYsXCHo9SEcqi/cbYl9/szf8zHmCDKWYP5&#10;zrn/tRNOcaZ/GgzQbDSZxIVIxuRkOobh3kbWbyNmV68IHI2wzVama8wP+nAtHdXPWMVlfBUhYSTe&#10;znk4XFeh2zqsslTLZUrCClgRbsyDlRE6ahLFemyfhbO9ogHDcEuHTRDzD8J2ufFLQ8tdoLJKqkeC&#10;O1Z73rE+aW76VY/7+dZOWa9/SIs/AAAA//8DAFBLAwQUAAYACAAAACEAnq8cl98AAAAIAQAADwAA&#10;AGRycy9kb3ducmV2LnhtbEyPwU7DMBBE70j8g7VI3KjTFlqTxqkQUk+caAH16CbbJCJep7bbJP16&#10;lhOcRqtZzbzJ1oNtxQV9aBxpmE4SEEiFKxuqNHzsNg8KRIiGStM6Qg0jBljntzeZSUvX0ztetrES&#10;HEIhNRrqGLtUylDUaE2YuA6JvaPz1kQ+fSVLb3oOt62cJclCWtMQN9Smw9cai+/t2Wr43Lx5b0/X&#10;nRz7a9w/fanTflRa398NLysQEYf49wy/+IwOOTMd3JnKIFoNc14SWabPINhWi9kcxEHDUi0fQeaZ&#10;/D8g/wEAAP//AwBQSwECLQAUAAYACAAAACEAtoM4kv4AAADhAQAAEwAAAAAAAAAAAAAAAAAAAAAA&#10;W0NvbnRlbnRfVHlwZXNdLnhtbFBLAQItABQABgAIAAAAIQA4/SH/1gAAAJQBAAALAAAAAAAAAAAA&#10;AAAAAC8BAABfcmVscy8ucmVsc1BLAQItABQABgAIAAAAIQB61rFWbwIAANgEAAAOAAAAAAAAAAAA&#10;AAAAAC4CAABkcnMvZTJvRG9jLnhtbFBLAQItABQABgAIAAAAIQCerxyX3wAAAAgBAAAPAAAAAAAA&#10;AAAAAAAAAMkEAABkcnMvZG93bnJldi54bWxQSwUGAAAAAAQABADzAAAA1QUAAAAA&#10;" fillcolor="white [3212]" strokecolor="#a2bdc1" strokeweight="3pt">
                <v:textbox>
                  <w:txbxContent>
                    <w:p w14:paraId="36873936" w14:textId="4968FCE4" w:rsidR="005B6AE5" w:rsidRDefault="005B6AE5" w:rsidP="00FB5140">
                      <w:pPr>
                        <w:pStyle w:val="NICEnormalsinglespacing"/>
                      </w:pPr>
                      <w:r>
                        <w:t xml:space="preserve">The Department of Health and Social Care has asked the National Institute for Health and Care Excellence (NICE) to produce guidance on using dupilumab in the NHS in England. The appraisal committee has considered the evidence submitted by the company and the views of non-company consultees and commentators, clinical </w:t>
                      </w:r>
                      <w:proofErr w:type="gramStart"/>
                      <w:r>
                        <w:t>experts</w:t>
                      </w:r>
                      <w:proofErr w:type="gramEnd"/>
                      <w:r>
                        <w:t xml:space="preserve"> and patient experts. </w:t>
                      </w:r>
                    </w:p>
                    <w:p w14:paraId="7CAAAE18" w14:textId="4B0646D0" w:rsidR="005B6AE5" w:rsidRDefault="005B6AE5" w:rsidP="00FB5140">
                      <w:pPr>
                        <w:pStyle w:val="NICEnormalsinglespacing"/>
                      </w:pPr>
                      <w:r w:rsidRPr="00791280">
                        <w:rPr>
                          <w:rStyle w:val="NICEnormalChar"/>
                          <w:b/>
                          <w:bCs/>
                        </w:rPr>
                        <w:t>This document has been prepared for consultation with the consultees.</w:t>
                      </w:r>
                      <w:r>
                        <w:t xml:space="preserve"> It summarises the evidence and views that have been </w:t>
                      </w:r>
                      <w:proofErr w:type="gramStart"/>
                      <w:r>
                        <w:t>considered, and</w:t>
                      </w:r>
                      <w:proofErr w:type="gramEnd"/>
                      <w:r>
                        <w:t xml:space="preserve"> sets out the recommendations made by the committee. NICE invites comments from the consultees and commentators for this appraisal and the public. This document should be read along with the evidence (see the </w:t>
                      </w:r>
                      <w:hyperlink r:id="rId9" w:history="1">
                        <w:r>
                          <w:rPr>
                            <w:rStyle w:val="Hyperlink"/>
                          </w:rPr>
                          <w:t>committee papers</w:t>
                        </w:r>
                      </w:hyperlink>
                      <w:r>
                        <w:t>).</w:t>
                      </w:r>
                    </w:p>
                    <w:p w14:paraId="3AE5DAFC" w14:textId="77777777" w:rsidR="005B6AE5" w:rsidRDefault="005B6AE5" w:rsidP="00FB5140">
                      <w:pPr>
                        <w:pStyle w:val="NICEnormalsinglespacing"/>
                      </w:pPr>
                      <w:r>
                        <w:t>The appraisal committee is interested in receiving comments on the following:</w:t>
                      </w:r>
                    </w:p>
                    <w:p w14:paraId="1F0ED096" w14:textId="77777777" w:rsidR="005B6AE5" w:rsidRDefault="005B6AE5" w:rsidP="00FB5140">
                      <w:pPr>
                        <w:pStyle w:val="Bulletleft1"/>
                        <w:spacing w:line="240" w:lineRule="auto"/>
                      </w:pPr>
                      <w:r>
                        <w:t xml:space="preserve">Has </w:t>
                      </w:r>
                      <w:proofErr w:type="gramStart"/>
                      <w:r>
                        <w:t>all of</w:t>
                      </w:r>
                      <w:proofErr w:type="gramEnd"/>
                      <w:r>
                        <w:t xml:space="preserve"> the relevant evidence been taken into account?</w:t>
                      </w:r>
                    </w:p>
                    <w:p w14:paraId="1664D892" w14:textId="77777777" w:rsidR="005B6AE5" w:rsidRDefault="005B6AE5" w:rsidP="00FB5140">
                      <w:pPr>
                        <w:pStyle w:val="Bulletleft1"/>
                        <w:spacing w:line="240" w:lineRule="auto"/>
                      </w:pPr>
                      <w:r>
                        <w:t>Are the summaries of clinical and cost effectiveness reasonable interpretations of the evidence?</w:t>
                      </w:r>
                    </w:p>
                    <w:p w14:paraId="35D516DB" w14:textId="77777777" w:rsidR="005B6AE5" w:rsidRDefault="005B6AE5" w:rsidP="00FB5140">
                      <w:pPr>
                        <w:pStyle w:val="Bulletleft1"/>
                        <w:spacing w:line="240" w:lineRule="auto"/>
                      </w:pPr>
                      <w:r>
                        <w:t>Are the recommendations sound and a suitable basis for guidance to the NHS?</w:t>
                      </w:r>
                    </w:p>
                    <w:p w14:paraId="4ADAA3C7" w14:textId="77777777" w:rsidR="005B6AE5" w:rsidRDefault="005B6AE5" w:rsidP="00FB5140">
                      <w:pPr>
                        <w:pStyle w:val="Bulletleft1"/>
                        <w:spacing w:line="240" w:lineRule="auto"/>
                      </w:pPr>
                      <w:r>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v:textbox>
                <w10:wrap anchorx="margin"/>
              </v:shape>
            </w:pict>
          </mc:Fallback>
        </mc:AlternateContent>
      </w:r>
    </w:p>
    <w:p w14:paraId="5B95D495" w14:textId="77777777" w:rsidR="004921C3" w:rsidRPr="004921C3" w:rsidRDefault="004921C3" w:rsidP="004921C3">
      <w:pPr>
        <w:pStyle w:val="NICEnormal"/>
      </w:pPr>
      <w:r>
        <w:br w:type="page"/>
      </w:r>
    </w:p>
    <w:p w14:paraId="1E0946BA" w14:textId="77777777" w:rsidR="007A2801" w:rsidRDefault="00FB5140" w:rsidP="00C76DDA">
      <w:pPr>
        <w:pStyle w:val="NICEnormal"/>
      </w:pPr>
      <w:r>
        <w:rPr>
          <w:noProof/>
          <w:lang w:eastAsia="en-GB"/>
        </w:rPr>
        <w:lastRenderedPageBreak/>
        <mc:AlternateContent>
          <mc:Choice Requires="wps">
            <w:drawing>
              <wp:anchor distT="0" distB="0" distL="114300" distR="114300" simplePos="0" relativeHeight="251661312" behindDoc="0" locked="0" layoutInCell="1" allowOverlap="1" wp14:anchorId="51A093BD" wp14:editId="18509872">
                <wp:simplePos x="0" y="0"/>
                <wp:positionH relativeFrom="margin">
                  <wp:posOffset>-55378</wp:posOffset>
                </wp:positionH>
                <wp:positionV relativeFrom="paragraph">
                  <wp:posOffset>242334</wp:posOffset>
                </wp:positionV>
                <wp:extent cx="5456717" cy="4723071"/>
                <wp:effectExtent l="19050" t="19050" r="10795" b="20955"/>
                <wp:wrapNone/>
                <wp:docPr id="1" name="Text Box 1" descr="Panel explaining the consultation process. "/>
                <wp:cNvGraphicFramePr/>
                <a:graphic xmlns:a="http://schemas.openxmlformats.org/drawingml/2006/main">
                  <a:graphicData uri="http://schemas.microsoft.com/office/word/2010/wordprocessingShape">
                    <wps:wsp>
                      <wps:cNvSpPr txBox="1"/>
                      <wps:spPr>
                        <a:xfrm>
                          <a:off x="0" y="0"/>
                          <a:ext cx="5456717" cy="4723071"/>
                        </a:xfrm>
                        <a:prstGeom prst="rect">
                          <a:avLst/>
                        </a:prstGeom>
                        <a:solidFill>
                          <a:schemeClr val="bg1"/>
                        </a:solidFill>
                        <a:ln w="38100">
                          <a:solidFill>
                            <a:srgbClr val="A2BDC1"/>
                          </a:solidFill>
                        </a:ln>
                      </wps:spPr>
                      <wps:txbx>
                        <w:txbxContent>
                          <w:p w14:paraId="1D0CD62A" w14:textId="77777777" w:rsidR="005B6AE5" w:rsidRPr="004921C3" w:rsidRDefault="005B6AE5" w:rsidP="00FB5140">
                            <w:pPr>
                              <w:pStyle w:val="NICEnormalsinglespacing"/>
                              <w:rPr>
                                <w:b/>
                                <w:bCs/>
                              </w:rPr>
                            </w:pPr>
                            <w:r w:rsidRPr="004921C3">
                              <w:rPr>
                                <w:b/>
                                <w:bCs/>
                              </w:rPr>
                              <w:t>Note that this document is not NICE's final guidance on this technology. The recommendations in section 1 may change after consultation.</w:t>
                            </w:r>
                          </w:p>
                          <w:p w14:paraId="1080BB63" w14:textId="77777777" w:rsidR="005B6AE5" w:rsidRDefault="005B6AE5" w:rsidP="00FB5140">
                            <w:pPr>
                              <w:pStyle w:val="NICEnormalsinglespacing"/>
                            </w:pPr>
                            <w:r>
                              <w:t>After consultation:</w:t>
                            </w:r>
                          </w:p>
                          <w:p w14:paraId="35A18C4C" w14:textId="77777777" w:rsidR="005B6AE5" w:rsidRDefault="005B6AE5" w:rsidP="00FB5140">
                            <w:pPr>
                              <w:pStyle w:val="Bulletleft1"/>
                              <w:spacing w:line="240" w:lineRule="auto"/>
                            </w:pPr>
                            <w:r>
                              <w:t xml:space="preserve">The appraisal committee will meet again to consider the evidence, this appraisal consultation </w:t>
                            </w:r>
                            <w:proofErr w:type="gramStart"/>
                            <w:r>
                              <w:t>document</w:t>
                            </w:r>
                            <w:proofErr w:type="gramEnd"/>
                            <w:r>
                              <w:t xml:space="preserve"> and comments from the consultees.</w:t>
                            </w:r>
                          </w:p>
                          <w:p w14:paraId="11901674" w14:textId="77777777" w:rsidR="005B6AE5" w:rsidRDefault="005B6AE5" w:rsidP="00FB5140">
                            <w:pPr>
                              <w:pStyle w:val="Bulletleft1"/>
                              <w:spacing w:line="240" w:lineRule="auto"/>
                            </w:pPr>
                            <w:r>
                              <w:t>At that meeting, the committee will also consider comments made by people who are not consultees.</w:t>
                            </w:r>
                          </w:p>
                          <w:p w14:paraId="5FBA279F" w14:textId="77777777" w:rsidR="005B6AE5" w:rsidRDefault="005B6AE5" w:rsidP="00FB5140">
                            <w:pPr>
                              <w:pStyle w:val="Bulletleft1"/>
                              <w:spacing w:line="240" w:lineRule="auto"/>
                            </w:pPr>
                            <w:r>
                              <w:t>After considering these comments, the committee will prepare the final appraisal document.</w:t>
                            </w:r>
                          </w:p>
                          <w:p w14:paraId="038EE38B" w14:textId="04DCC972" w:rsidR="005B6AE5" w:rsidRDefault="005B6AE5" w:rsidP="00FB5140">
                            <w:pPr>
                              <w:pStyle w:val="Bulletleft1last"/>
                              <w:spacing w:line="240" w:lineRule="auto"/>
                            </w:pPr>
                            <w:r>
                              <w:t xml:space="preserve">Subject to any appeal by consultees, the final appraisal document may be used as the basis for NICE's guidance on using dupilumab in the NHS in England. </w:t>
                            </w:r>
                          </w:p>
                          <w:p w14:paraId="1BBC0ABD" w14:textId="77777777" w:rsidR="005B6AE5" w:rsidRDefault="005B6AE5" w:rsidP="00FB5140">
                            <w:pPr>
                              <w:pStyle w:val="NICEnormalsinglespacing"/>
                            </w:pPr>
                            <w:r>
                              <w:t>For further details, see NICE's guide to the processes of technology appraisal.</w:t>
                            </w:r>
                          </w:p>
                          <w:p w14:paraId="17F4B3D4" w14:textId="77777777" w:rsidR="005B6AE5" w:rsidRDefault="005B6AE5" w:rsidP="00FB5140">
                            <w:pPr>
                              <w:pStyle w:val="NICEnormalsinglespacing"/>
                            </w:pPr>
                            <w:r>
                              <w:t>The key dates for this appraisal are:</w:t>
                            </w:r>
                          </w:p>
                          <w:p w14:paraId="21A38437" w14:textId="08B8A23F" w:rsidR="005B6AE5" w:rsidRDefault="005B6AE5" w:rsidP="00FB5140">
                            <w:pPr>
                              <w:pStyle w:val="NICEnormalsinglespacing"/>
                            </w:pPr>
                            <w:r>
                              <w:t xml:space="preserve">Closing date for comments: </w:t>
                            </w:r>
                            <w:r w:rsidR="00CD60E0">
                              <w:t xml:space="preserve">28 May </w:t>
                            </w:r>
                            <w:r w:rsidR="0063055A">
                              <w:t>2021</w:t>
                            </w:r>
                          </w:p>
                          <w:p w14:paraId="1913EE4D" w14:textId="5E8ED521" w:rsidR="005B6AE5" w:rsidRDefault="0063055A" w:rsidP="00FB5140">
                            <w:pPr>
                              <w:pStyle w:val="NICEnormalsinglespacing"/>
                            </w:pPr>
                            <w:r>
                              <w:t xml:space="preserve">Third </w:t>
                            </w:r>
                            <w:r w:rsidR="005B6AE5">
                              <w:t xml:space="preserve">appraisal committee meeting: </w:t>
                            </w:r>
                            <w:r w:rsidR="00F13217">
                              <w:t>9 September 2021</w:t>
                            </w:r>
                          </w:p>
                          <w:p w14:paraId="2CA9BBEB" w14:textId="319E8D84" w:rsidR="005B6AE5" w:rsidRDefault="005B6AE5" w:rsidP="00FB5140">
                            <w:pPr>
                              <w:pStyle w:val="Bulletleft1"/>
                              <w:numPr>
                                <w:ilvl w:val="0"/>
                                <w:numId w:val="0"/>
                              </w:numPr>
                              <w:spacing w:line="240" w:lineRule="auto"/>
                              <w:ind w:left="284" w:hanging="284"/>
                            </w:pPr>
                            <w:r>
                              <w:t xml:space="preserve">Details of membership of the appraisal committee are given in section </w:t>
                            </w:r>
                            <w:proofErr w:type="gramStart"/>
                            <w:r w:rsidR="00F13217">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093BD" id="_x0000_t202" coordsize="21600,21600" o:spt="202" path="m,l,21600r21600,l21600,xe">
                <v:stroke joinstyle="miter"/>
                <v:path gradientshapeok="t" o:connecttype="rect"/>
              </v:shapetype>
              <v:shape id="Text Box 1" o:spid="_x0000_s1027" type="#_x0000_t202" alt="Panel explaining the consultation process. " style="position:absolute;margin-left:-4.35pt;margin-top:19.1pt;width:429.65pt;height:371.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GRbwIAAN8EAAAOAAAAZHJzL2Uyb0RvYy54bWysVMtu2zAQvBfoPxC815IdJ06NyIHjIEWB&#10;oAmQFDnTFGUJoLgsSVtKv75DWnYezanoheY+NNyd2fXFZd9qtlPON2QKPh7lnCkjqWzMpuA/H2++&#10;nHPmgzCl0GRUwZ+V55eLz58uOjtXE6pJl8oxgBg/72zB6xDsPMu8rFUr/IisMghW5FoRYLpNVjrR&#10;Ab3V2STPz7KOXGkdSeU9vNf7IF8k/KpSMtxVlVeB6YKjtpBOl851PLPFhZhvnLB1I4cyxD9U0YrG&#10;4NEj1LUIgm1d8xdU20hHnqowktRmVFWNVKkHdDPO33XzUAurUi8gx9sjTf7/wcofu3vHmhLacWZE&#10;C4keVR/YFfUMnlJ5CbbuhVGaqd5q9AmaWagVk2T8VgcRID0bJBixyGhn/RzADxbQoQdURB/8Hs5I&#10;VF+5Nv6CAoY4tHk+6hELkHCeTk/PZuMZZxKx6Wxyks8STvbyuXU+fFPUogAPcR0ETzqI3a0PeBKp&#10;h5T4mifdlDeN1smIQ6ZW2rGdwHisNwfwN1nasK7gJ+fjPE/Ib4LebdZHgOXk6nr1AQZq0AalRFr2&#10;7cdb6Nf9QPxAzZrKZzDmaD+l3sqbBl3dCh/uhcNYgiSsWrjDUWlCVTTcOKvJ/f7IH/MxLYhy1mHM&#10;C+5/bYVTnOnvBnP0dTydxr1IxvR0NoHhXkfWryNm264IVGEyUF26xvygD9fKUfuEjVzGVxESRuLt&#10;gofDdRX2y4eNlmq5TEnYBCvCrXmwMkJHaaJmj/2TcHYQNmAmftBhIcT8nb773PiloeU2UNUk8SPP&#10;e1YH+rFFaSaGjY9r+tpOWS//S4s/AAAA//8DAFBLAwQUAAYACAAAACEAYTzwxd4AAAAJAQAADwAA&#10;AGRycy9kb3ducmV2LnhtbEyPMU/DMBSEdyT+g/WQ2FqboLZWiFMhpE5MtIA6uvFrEjV+Tm23Sfrr&#10;MROMpzvdfVesR9uxK/rQOlLwNBfAkCpnWqoVfO42MwksRE1Gd45QwYQB1uX9XaFz4wb6wOs21iyV&#10;UMi1gibGPuc8VA1aHeauR0re0XmrY5K+5sbrIZXbjmdCLLnVLaWFRvf41mB12l6sgq/Nu/f2fNvx&#10;abjF/eJbnveTVOrxYXx9ARZxjH9h+MVP6FAmpoO7kAmsUzCTq5RU8CwzYMmXC7EEdlCwkpkAXhb8&#10;/4PyBwAA//8DAFBLAQItABQABgAIAAAAIQC2gziS/gAAAOEBAAATAAAAAAAAAAAAAAAAAAAAAABb&#10;Q29udGVudF9UeXBlc10ueG1sUEsBAi0AFAAGAAgAAAAhADj9If/WAAAAlAEAAAsAAAAAAAAAAAAA&#10;AAAALwEAAF9yZWxzLy5yZWxzUEsBAi0AFAAGAAgAAAAhACWRgZFvAgAA3wQAAA4AAAAAAAAAAAAA&#10;AAAALgIAAGRycy9lMm9Eb2MueG1sUEsBAi0AFAAGAAgAAAAhAGE88MXeAAAACQEAAA8AAAAAAAAA&#10;AAAAAAAAyQQAAGRycy9kb3ducmV2LnhtbFBLBQYAAAAABAAEAPMAAADUBQAAAAA=&#10;" fillcolor="white [3212]" strokecolor="#a2bdc1" strokeweight="3pt">
                <v:textbox>
                  <w:txbxContent>
                    <w:p w14:paraId="1D0CD62A" w14:textId="77777777" w:rsidR="005B6AE5" w:rsidRPr="004921C3" w:rsidRDefault="005B6AE5" w:rsidP="00FB5140">
                      <w:pPr>
                        <w:pStyle w:val="NICEnormalsinglespacing"/>
                        <w:rPr>
                          <w:b/>
                          <w:bCs/>
                        </w:rPr>
                      </w:pPr>
                      <w:r w:rsidRPr="004921C3">
                        <w:rPr>
                          <w:b/>
                          <w:bCs/>
                        </w:rPr>
                        <w:t>Note that this document is not NICE's final guidance on this technology. The recommendations in section 1 may change after consultation.</w:t>
                      </w:r>
                    </w:p>
                    <w:p w14:paraId="1080BB63" w14:textId="77777777" w:rsidR="005B6AE5" w:rsidRDefault="005B6AE5" w:rsidP="00FB5140">
                      <w:pPr>
                        <w:pStyle w:val="NICEnormalsinglespacing"/>
                      </w:pPr>
                      <w:r>
                        <w:t>After consultation:</w:t>
                      </w:r>
                    </w:p>
                    <w:p w14:paraId="35A18C4C" w14:textId="77777777" w:rsidR="005B6AE5" w:rsidRDefault="005B6AE5" w:rsidP="00FB5140">
                      <w:pPr>
                        <w:pStyle w:val="Bulletleft1"/>
                        <w:spacing w:line="240" w:lineRule="auto"/>
                      </w:pPr>
                      <w:r>
                        <w:t xml:space="preserve">The appraisal committee will meet again to consider the evidence, this appraisal consultation </w:t>
                      </w:r>
                      <w:proofErr w:type="gramStart"/>
                      <w:r>
                        <w:t>document</w:t>
                      </w:r>
                      <w:proofErr w:type="gramEnd"/>
                      <w:r>
                        <w:t xml:space="preserve"> and comments from the consultees.</w:t>
                      </w:r>
                    </w:p>
                    <w:p w14:paraId="11901674" w14:textId="77777777" w:rsidR="005B6AE5" w:rsidRDefault="005B6AE5" w:rsidP="00FB5140">
                      <w:pPr>
                        <w:pStyle w:val="Bulletleft1"/>
                        <w:spacing w:line="240" w:lineRule="auto"/>
                      </w:pPr>
                      <w:r>
                        <w:t>At that meeting, the committee will also consider comments made by people who are not consultees.</w:t>
                      </w:r>
                    </w:p>
                    <w:p w14:paraId="5FBA279F" w14:textId="77777777" w:rsidR="005B6AE5" w:rsidRDefault="005B6AE5" w:rsidP="00FB5140">
                      <w:pPr>
                        <w:pStyle w:val="Bulletleft1"/>
                        <w:spacing w:line="240" w:lineRule="auto"/>
                      </w:pPr>
                      <w:r>
                        <w:t>After considering these comments, the committee will prepare the final appraisal document.</w:t>
                      </w:r>
                    </w:p>
                    <w:p w14:paraId="038EE38B" w14:textId="04DCC972" w:rsidR="005B6AE5" w:rsidRDefault="005B6AE5" w:rsidP="00FB5140">
                      <w:pPr>
                        <w:pStyle w:val="Bulletleft1last"/>
                        <w:spacing w:line="240" w:lineRule="auto"/>
                      </w:pPr>
                      <w:r>
                        <w:t xml:space="preserve">Subject to any appeal by consultees, the final appraisal document may be used as the basis for NICE's guidance on using dupilumab in the NHS in England. </w:t>
                      </w:r>
                    </w:p>
                    <w:p w14:paraId="1BBC0ABD" w14:textId="77777777" w:rsidR="005B6AE5" w:rsidRDefault="005B6AE5" w:rsidP="00FB5140">
                      <w:pPr>
                        <w:pStyle w:val="NICEnormalsinglespacing"/>
                      </w:pPr>
                      <w:r>
                        <w:t>For further details, see NICE's guide to the processes of technology appraisal.</w:t>
                      </w:r>
                    </w:p>
                    <w:p w14:paraId="17F4B3D4" w14:textId="77777777" w:rsidR="005B6AE5" w:rsidRDefault="005B6AE5" w:rsidP="00FB5140">
                      <w:pPr>
                        <w:pStyle w:val="NICEnormalsinglespacing"/>
                      </w:pPr>
                      <w:r>
                        <w:t>The key dates for this appraisal are:</w:t>
                      </w:r>
                    </w:p>
                    <w:p w14:paraId="21A38437" w14:textId="08B8A23F" w:rsidR="005B6AE5" w:rsidRDefault="005B6AE5" w:rsidP="00FB5140">
                      <w:pPr>
                        <w:pStyle w:val="NICEnormalsinglespacing"/>
                      </w:pPr>
                      <w:r>
                        <w:t xml:space="preserve">Closing date for comments: </w:t>
                      </w:r>
                      <w:r w:rsidR="00CD60E0">
                        <w:t xml:space="preserve">28 May </w:t>
                      </w:r>
                      <w:r w:rsidR="0063055A">
                        <w:t>2021</w:t>
                      </w:r>
                    </w:p>
                    <w:p w14:paraId="1913EE4D" w14:textId="5E8ED521" w:rsidR="005B6AE5" w:rsidRDefault="0063055A" w:rsidP="00FB5140">
                      <w:pPr>
                        <w:pStyle w:val="NICEnormalsinglespacing"/>
                      </w:pPr>
                      <w:r>
                        <w:t xml:space="preserve">Third </w:t>
                      </w:r>
                      <w:r w:rsidR="005B6AE5">
                        <w:t xml:space="preserve">appraisal committee meeting: </w:t>
                      </w:r>
                      <w:r w:rsidR="00F13217">
                        <w:t>9 September 2021</w:t>
                      </w:r>
                    </w:p>
                    <w:p w14:paraId="2CA9BBEB" w14:textId="319E8D84" w:rsidR="005B6AE5" w:rsidRDefault="005B6AE5" w:rsidP="00FB5140">
                      <w:pPr>
                        <w:pStyle w:val="Bulletleft1"/>
                        <w:numPr>
                          <w:ilvl w:val="0"/>
                          <w:numId w:val="0"/>
                        </w:numPr>
                        <w:spacing w:line="240" w:lineRule="auto"/>
                        <w:ind w:left="284" w:hanging="284"/>
                      </w:pPr>
                      <w:r>
                        <w:t xml:space="preserve">Details of membership of the appraisal committee are given in section </w:t>
                      </w:r>
                      <w:proofErr w:type="gramStart"/>
                      <w:r w:rsidR="00F13217">
                        <w:t>5</w:t>
                      </w:r>
                      <w:proofErr w:type="gramEnd"/>
                    </w:p>
                  </w:txbxContent>
                </v:textbox>
                <w10:wrap anchorx="margin"/>
              </v:shape>
            </w:pict>
          </mc:Fallback>
        </mc:AlternateContent>
      </w:r>
    </w:p>
    <w:p w14:paraId="64EB04F1" w14:textId="77777777" w:rsidR="007A2801" w:rsidRDefault="007A2801">
      <w:pPr>
        <w:rPr>
          <w:rFonts w:ascii="Arial" w:hAnsi="Arial"/>
        </w:rPr>
      </w:pPr>
      <w:r>
        <w:br w:type="page"/>
      </w:r>
    </w:p>
    <w:p w14:paraId="2729744F" w14:textId="77777777" w:rsidR="000F48EC" w:rsidRPr="000F48EC" w:rsidRDefault="00B379C5" w:rsidP="00F130AD">
      <w:pPr>
        <w:pStyle w:val="Numberedheading1"/>
      </w:pPr>
      <w:r>
        <w:lastRenderedPageBreak/>
        <w:t>Recommendations</w:t>
      </w:r>
    </w:p>
    <w:p w14:paraId="199873B3" w14:textId="77777777" w:rsidR="002F3C86" w:rsidRPr="00FD35D9" w:rsidRDefault="002F3C86" w:rsidP="002F3C86">
      <w:pPr>
        <w:pStyle w:val="Numberedlevel2text"/>
      </w:pPr>
      <w:r w:rsidRPr="00FD35D9">
        <w:t xml:space="preserve">Dupilumab as add-on </w:t>
      </w:r>
      <w:r>
        <w:t xml:space="preserve">maintenance </w:t>
      </w:r>
      <w:r w:rsidRPr="00FD35D9">
        <w:t xml:space="preserve">therapy is not recommended, within its marketing authorisation, for treating severe asthma with type 2 inflammation that is inadequately controlled in </w:t>
      </w:r>
      <w:r>
        <w:t>people</w:t>
      </w:r>
      <w:r w:rsidRPr="00FD35D9">
        <w:t xml:space="preserve"> aged 12 years and over</w:t>
      </w:r>
      <w:r>
        <w:t>,</w:t>
      </w:r>
      <w:r w:rsidRPr="00FD35D9">
        <w:t xml:space="preserve"> despite maintenance therapy with high-dose inhaled corticosteroids and another maintenance treatment.</w:t>
      </w:r>
    </w:p>
    <w:p w14:paraId="089B5D9E" w14:textId="77777777" w:rsidR="002F3C86" w:rsidRPr="00FD35D9" w:rsidRDefault="002F3C86" w:rsidP="002F3C86">
      <w:pPr>
        <w:pStyle w:val="Numberedlevel2text"/>
      </w:pPr>
      <w:r w:rsidRPr="00FD35D9">
        <w:t xml:space="preserve">This recommendation is not intended to affect treatment with dupilumab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 </w:t>
      </w:r>
    </w:p>
    <w:p w14:paraId="75B37ABD" w14:textId="77777777" w:rsidR="00C11F58" w:rsidRPr="008522C6" w:rsidRDefault="00C11F58" w:rsidP="008522C6">
      <w:pPr>
        <w:pStyle w:val="NICEnormal"/>
        <w:rPr>
          <w:b/>
        </w:rPr>
      </w:pPr>
      <w:r w:rsidRPr="008522C6">
        <w:rPr>
          <w:b/>
        </w:rPr>
        <w:t xml:space="preserve">Why the committee made these </w:t>
      </w:r>
      <w:proofErr w:type="gramStart"/>
      <w:r w:rsidRPr="008522C6">
        <w:rPr>
          <w:b/>
        </w:rPr>
        <w:t>recommendations</w:t>
      </w:r>
      <w:proofErr w:type="gramEnd"/>
    </w:p>
    <w:p w14:paraId="3A5E989B" w14:textId="3BA1546E" w:rsidR="002F3C86" w:rsidRDefault="002F3C86" w:rsidP="002F3C86">
      <w:pPr>
        <w:pStyle w:val="NICEnormal"/>
      </w:pPr>
      <w:r>
        <w:t xml:space="preserve">Severe asthma is usually treated with inhaled corticosteroids plus another drug, such as a long-acting beta-agonist. Oral corticosteroids may also be needed to prevent exacerbations (asthma attacks), but they cause long-term side effects. These treatments may not work well enough for severe asthma with type 2 inflammation, which can be difficult to control. Some people who have another type of severe asthma called eosinophilic asthma can have mepolizumab, </w:t>
      </w:r>
      <w:proofErr w:type="spellStart"/>
      <w:r>
        <w:t>reslizumab</w:t>
      </w:r>
      <w:proofErr w:type="spellEnd"/>
      <w:r>
        <w:t xml:space="preserve"> or </w:t>
      </w:r>
      <w:proofErr w:type="spellStart"/>
      <w:r>
        <w:t>benralizumab</w:t>
      </w:r>
      <w:proofErr w:type="spellEnd"/>
      <w:r>
        <w:t>. These drugs, like dupilumab, are biological agents but work in a different way.</w:t>
      </w:r>
    </w:p>
    <w:p w14:paraId="5A114999" w14:textId="77777777" w:rsidR="002F3C86" w:rsidRDefault="002F3C86" w:rsidP="002F3C86">
      <w:pPr>
        <w:pStyle w:val="NICEnormal"/>
      </w:pPr>
      <w:r>
        <w:t xml:space="preserve">Clinical trial results show that having dupilumab plus standard asthma treatment reduces exacerbations and the use of oral corticosteroids more than placebo in people with severe asthma with type 2 inflammation. There are no trials directly comparing dupilumab with mepolizumab, </w:t>
      </w:r>
      <w:proofErr w:type="spellStart"/>
      <w:r>
        <w:t>reslizumab</w:t>
      </w:r>
      <w:proofErr w:type="spellEnd"/>
      <w:r>
        <w:t xml:space="preserve"> or </w:t>
      </w:r>
      <w:proofErr w:type="spellStart"/>
      <w:r>
        <w:t>benralizumab</w:t>
      </w:r>
      <w:proofErr w:type="spellEnd"/>
      <w:r>
        <w:t>. Comparing these drugs indirectly suggests a reduction in asthma exacerbations with dupilumab but no difference in other asthma symptoms.</w:t>
      </w:r>
    </w:p>
    <w:p w14:paraId="0178A5B1" w14:textId="46D6B91A" w:rsidR="00B8464A" w:rsidRPr="00B8464A" w:rsidRDefault="002F3C86" w:rsidP="002F3C86">
      <w:pPr>
        <w:pStyle w:val="NICEnormal"/>
      </w:pPr>
      <w:r>
        <w:t xml:space="preserve">The company’s population of people with type 2 inflammation is not suitable for considering the cost effectiveness of dupilumab compared with standard care. This </w:t>
      </w:r>
      <w:r>
        <w:lastRenderedPageBreak/>
        <w:t xml:space="preserve">is because it combines people eligible for biologicals (mepolizumab, </w:t>
      </w:r>
      <w:proofErr w:type="spellStart"/>
      <w:r>
        <w:t>reslizumab</w:t>
      </w:r>
      <w:proofErr w:type="spellEnd"/>
      <w:r>
        <w:t xml:space="preserve"> or </w:t>
      </w:r>
      <w:proofErr w:type="spellStart"/>
      <w:r>
        <w:t>benralizumab</w:t>
      </w:r>
      <w:proofErr w:type="spellEnd"/>
      <w:r>
        <w:t xml:space="preserve">) with people not eligible for biologicals who can only be offered standard care. The cost-effectiveness estimates for dupilumab vary depending on whether people are eligible for mepolizumab, </w:t>
      </w:r>
      <w:proofErr w:type="spellStart"/>
      <w:r>
        <w:t>reslizumab</w:t>
      </w:r>
      <w:proofErr w:type="spellEnd"/>
      <w:r>
        <w:t xml:space="preserve"> or </w:t>
      </w:r>
      <w:proofErr w:type="spellStart"/>
      <w:r>
        <w:t>benralizumab</w:t>
      </w:r>
      <w:proofErr w:type="spellEnd"/>
      <w:r>
        <w:t>, and what their individual treatment options are. Regardless, the cost-effectiveness estimates for dupilumab are higher than what NICE usually considers a cost-effective use of NHS resources. Dupilumab cannot be recommended for treating inadequately controlled severe asthma with type 2 inflammation.</w:t>
      </w:r>
      <w:r>
        <w:rPr>
          <w:highlight w:val="cyan"/>
        </w:rPr>
        <w:t xml:space="preserve">  </w:t>
      </w:r>
    </w:p>
    <w:p w14:paraId="0C7922B0" w14:textId="11679E85" w:rsidR="00EA1CB1" w:rsidRDefault="00EA1CB1" w:rsidP="00EA1CB1">
      <w:pPr>
        <w:pStyle w:val="Numberedheading1"/>
        <w:keepLines/>
      </w:pPr>
      <w:r>
        <w:t xml:space="preserve">Information about </w:t>
      </w:r>
      <w:r w:rsidR="005E2C3B">
        <w:t>dupilumab</w:t>
      </w:r>
    </w:p>
    <w:p w14:paraId="1E3473F0" w14:textId="19D7AE0D" w:rsidR="00B82A82" w:rsidRDefault="00B82A82" w:rsidP="00B82A82">
      <w:pPr>
        <w:pStyle w:val="Heading2"/>
      </w:pPr>
      <w:r w:rsidRPr="00A76391">
        <w:t>Marketing authorisation indication</w:t>
      </w:r>
    </w:p>
    <w:p w14:paraId="542AD28D" w14:textId="77777777" w:rsidR="005E2C3B" w:rsidRPr="00FD35D9" w:rsidRDefault="005E2C3B" w:rsidP="005E2C3B">
      <w:pPr>
        <w:pStyle w:val="Numberedlevel2text"/>
        <w:numPr>
          <w:ilvl w:val="1"/>
          <w:numId w:val="1"/>
        </w:numPr>
        <w:rPr>
          <w:rStyle w:val="NICEnormalChar"/>
          <w:szCs w:val="28"/>
        </w:rPr>
      </w:pPr>
      <w:r w:rsidRPr="00FD35D9">
        <w:rPr>
          <w:rStyle w:val="NICEnormalChar"/>
          <w:szCs w:val="28"/>
        </w:rPr>
        <w:t xml:space="preserve">Dupilumab (Dupixent, Sanofi) has a marketing authorisation ‘in adults and adolescents 12 years and older as an add-on maintenance treatment for severe asthma with type 2 inflammation characterised by raised blood eosinophils </w:t>
      </w:r>
      <w:r w:rsidRPr="008A211A">
        <w:rPr>
          <w:rStyle w:val="NICEnormalChar"/>
          <w:szCs w:val="28"/>
        </w:rPr>
        <w:t>and/or</w:t>
      </w:r>
      <w:r w:rsidRPr="00FD35D9">
        <w:rPr>
          <w:rStyle w:val="NICEnormalChar"/>
          <w:szCs w:val="28"/>
        </w:rPr>
        <w:t xml:space="preserve"> raised </w:t>
      </w:r>
      <w:proofErr w:type="spellStart"/>
      <w:r w:rsidRPr="00FD35D9">
        <w:rPr>
          <w:rStyle w:val="NICEnormalChar"/>
          <w:szCs w:val="28"/>
        </w:rPr>
        <w:t>FeNO</w:t>
      </w:r>
      <w:proofErr w:type="spellEnd"/>
      <w:r w:rsidRPr="00FD35D9">
        <w:rPr>
          <w:rStyle w:val="NICEnormalChar"/>
          <w:szCs w:val="28"/>
        </w:rPr>
        <w:t xml:space="preserve"> [fractional exhaled nitric oxide]…who are inadequately controlled with high dose ICS [inhaled corticosteroid] plus another medicinal product for maintenance treatment’. The definition of type 2 inflammation is as in the </w:t>
      </w:r>
      <w:hyperlink r:id="rId10" w:history="1">
        <w:r w:rsidRPr="00FD35D9">
          <w:rPr>
            <w:rStyle w:val="Hyperlink"/>
            <w:lang w:val="en-GB"/>
          </w:rPr>
          <w:t>Global Initiative for Asthma</w:t>
        </w:r>
      </w:hyperlink>
      <w:r w:rsidRPr="00FD35D9">
        <w:rPr>
          <w:rStyle w:val="Hyperlink"/>
          <w:lang w:val="en-GB"/>
        </w:rPr>
        <w:t xml:space="preserve"> </w:t>
      </w:r>
      <w:r w:rsidRPr="00FD35D9">
        <w:rPr>
          <w:rStyle w:val="NICEnormalChar"/>
          <w:szCs w:val="28"/>
        </w:rPr>
        <w:t>guideline.</w:t>
      </w:r>
    </w:p>
    <w:p w14:paraId="2E512088" w14:textId="77777777" w:rsidR="00B82A82" w:rsidRDefault="00B82A82" w:rsidP="00B82A82">
      <w:pPr>
        <w:pStyle w:val="Heading2"/>
      </w:pPr>
      <w:r>
        <w:t>Dosage in the marketing authorisation</w:t>
      </w:r>
    </w:p>
    <w:p w14:paraId="7959C331" w14:textId="4007C214" w:rsidR="00B82A82" w:rsidRPr="00570524" w:rsidRDefault="00FE2CE3" w:rsidP="001A5561">
      <w:pPr>
        <w:pStyle w:val="Numberedlevel2text"/>
        <w:numPr>
          <w:ilvl w:val="1"/>
          <w:numId w:val="1"/>
        </w:numPr>
        <w:rPr>
          <w:rStyle w:val="Numberedlevel2textChar"/>
        </w:rPr>
      </w:pPr>
      <w:r w:rsidRPr="00570524">
        <w:t xml:space="preserve">The dosage schedule is </w:t>
      </w:r>
      <w:r w:rsidR="00570524" w:rsidRPr="00570524">
        <w:t xml:space="preserve">available in </w:t>
      </w:r>
      <w:r w:rsidR="00570524">
        <w:t xml:space="preserve">the </w:t>
      </w:r>
      <w:hyperlink r:id="rId11" w:history="1">
        <w:r w:rsidR="00570524" w:rsidRPr="005E2C3B">
          <w:rPr>
            <w:rStyle w:val="Hyperlink"/>
          </w:rPr>
          <w:t>summary of product characteristics</w:t>
        </w:r>
      </w:hyperlink>
      <w:r w:rsidR="005E2C3B">
        <w:rPr>
          <w:lang w:val="en-GB"/>
        </w:rPr>
        <w:t>.</w:t>
      </w:r>
    </w:p>
    <w:p w14:paraId="03A21B14" w14:textId="77777777" w:rsidR="00B82A82" w:rsidRDefault="00B82A82" w:rsidP="00B82A82">
      <w:pPr>
        <w:pStyle w:val="Heading2"/>
      </w:pPr>
      <w:r>
        <w:t>Price</w:t>
      </w:r>
    </w:p>
    <w:p w14:paraId="559147BF" w14:textId="3A38F69E" w:rsidR="005E2C3B" w:rsidRPr="00FD35D9" w:rsidRDefault="005E2C3B" w:rsidP="005E2C3B">
      <w:pPr>
        <w:pStyle w:val="Numberedlevel2text"/>
        <w:numPr>
          <w:ilvl w:val="1"/>
          <w:numId w:val="1"/>
        </w:numPr>
        <w:rPr>
          <w:lang w:val="en-GB"/>
        </w:rPr>
      </w:pPr>
      <w:r w:rsidRPr="00FD35D9">
        <w:rPr>
          <w:lang w:val="en-GB"/>
        </w:rPr>
        <w:t>The list price of dupilumab is £1</w:t>
      </w:r>
      <w:r>
        <w:rPr>
          <w:lang w:val="en-GB"/>
        </w:rPr>
        <w:t>,</w:t>
      </w:r>
      <w:r w:rsidRPr="00FD35D9">
        <w:rPr>
          <w:lang w:val="en-GB"/>
        </w:rPr>
        <w:t>264.89 for 2</w:t>
      </w:r>
      <w:r>
        <w:rPr>
          <w:lang w:val="en-GB"/>
        </w:rPr>
        <w:t> </w:t>
      </w:r>
      <w:r w:rsidRPr="00FD35D9">
        <w:rPr>
          <w:lang w:val="en-GB"/>
        </w:rPr>
        <w:t>prefilled syringes of either the 200 mg</w:t>
      </w:r>
      <w:r>
        <w:rPr>
          <w:lang w:val="en-GB"/>
        </w:rPr>
        <w:t xml:space="preserve"> per </w:t>
      </w:r>
      <w:r w:rsidRPr="00FD35D9">
        <w:rPr>
          <w:lang w:val="en-GB"/>
        </w:rPr>
        <w:t>1.44</w:t>
      </w:r>
      <w:r>
        <w:rPr>
          <w:lang w:val="en-GB"/>
        </w:rPr>
        <w:t> </w:t>
      </w:r>
      <w:r w:rsidRPr="00FD35D9">
        <w:rPr>
          <w:lang w:val="en-GB"/>
        </w:rPr>
        <w:t>ml or 300 mg</w:t>
      </w:r>
      <w:r>
        <w:rPr>
          <w:lang w:val="en-GB"/>
        </w:rPr>
        <w:t xml:space="preserve"> per </w:t>
      </w:r>
      <w:r w:rsidRPr="00FD35D9">
        <w:rPr>
          <w:lang w:val="en-GB"/>
        </w:rPr>
        <w:t>2 ml dose (</w:t>
      </w:r>
      <w:r>
        <w:rPr>
          <w:lang w:val="en-GB"/>
        </w:rPr>
        <w:t xml:space="preserve">excluding VAT; </w:t>
      </w:r>
      <w:r w:rsidRPr="00FD35D9">
        <w:rPr>
          <w:lang w:val="en-GB"/>
        </w:rPr>
        <w:t xml:space="preserve">British National Formulary online accessed </w:t>
      </w:r>
      <w:r w:rsidR="00B24D5B">
        <w:rPr>
          <w:lang w:val="en-GB"/>
        </w:rPr>
        <w:t>November</w:t>
      </w:r>
      <w:r w:rsidRPr="00FD35D9">
        <w:rPr>
          <w:lang w:val="en-GB"/>
        </w:rPr>
        <w:t xml:space="preserve"> 2020)</w:t>
      </w:r>
      <w:r>
        <w:rPr>
          <w:lang w:val="en-GB"/>
        </w:rPr>
        <w:t>.</w:t>
      </w:r>
    </w:p>
    <w:p w14:paraId="417A523D" w14:textId="77777777" w:rsidR="005E2C3B" w:rsidRPr="00FD35D9" w:rsidRDefault="005E2C3B" w:rsidP="005E2C3B">
      <w:pPr>
        <w:pStyle w:val="Numberedlevel2text"/>
        <w:numPr>
          <w:ilvl w:val="1"/>
          <w:numId w:val="1"/>
        </w:numPr>
      </w:pPr>
      <w:r w:rsidRPr="00FD35D9">
        <w:t>The company has a commercial arrangement. This makes dupilumab available to the NHS</w:t>
      </w:r>
      <w:r>
        <w:rPr>
          <w:lang w:val="en-GB"/>
        </w:rPr>
        <w:t xml:space="preserve"> for all indications</w:t>
      </w:r>
      <w:r w:rsidRPr="00FD35D9">
        <w:t xml:space="preserve"> with a discount and it would have also applied to this indication if the technology had been recommended. The size of the discount is commercial in confidence. It is the company’s </w:t>
      </w:r>
      <w:r w:rsidRPr="00FD35D9">
        <w:lastRenderedPageBreak/>
        <w:t>responsibility to let relevant NHS organisations know details of the discount.</w:t>
      </w:r>
    </w:p>
    <w:p w14:paraId="62C2BDE7" w14:textId="77777777" w:rsidR="00F130AD" w:rsidRDefault="00222BEA" w:rsidP="00F130AD">
      <w:pPr>
        <w:pStyle w:val="Numberedheading1"/>
      </w:pPr>
      <w:r w:rsidRPr="000F48EC">
        <w:t>Co</w:t>
      </w:r>
      <w:r>
        <w:t>mmittee discussion</w:t>
      </w:r>
    </w:p>
    <w:p w14:paraId="63FC32D0" w14:textId="2F78FCE0" w:rsidR="002B5772" w:rsidRPr="00C63D4E" w:rsidRDefault="00BC7D9E" w:rsidP="002B5772">
      <w:pPr>
        <w:pStyle w:val="NICEnormal"/>
      </w:pPr>
      <w:r w:rsidRPr="007D7F83">
        <w:t xml:space="preserve">The </w:t>
      </w:r>
      <w:r w:rsidR="00343B53" w:rsidRPr="009E6F9C">
        <w:t>a</w:t>
      </w:r>
      <w:r w:rsidRPr="009E6F9C">
        <w:t xml:space="preserve">ppraisal </w:t>
      </w:r>
      <w:r w:rsidR="00343B53" w:rsidRPr="009E6F9C">
        <w:t>c</w:t>
      </w:r>
      <w:r w:rsidRPr="009E6F9C">
        <w:t>ommittee</w:t>
      </w:r>
      <w:r w:rsidR="009E6F9C">
        <w:t xml:space="preserve"> (section 5)</w:t>
      </w:r>
      <w:r w:rsidRPr="007D7F83">
        <w:t xml:space="preserve"> considered evidence submitted by </w:t>
      </w:r>
      <w:r w:rsidR="00FB2CEE">
        <w:t>Sanofi Genzyme</w:t>
      </w:r>
      <w:r w:rsidR="002B5772">
        <w:t>,</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2B5772">
        <w:t xml:space="preserve">, </w:t>
      </w:r>
      <w:r w:rsidR="00E24CDE">
        <w:t>NICE’s</w:t>
      </w:r>
      <w:r w:rsidR="002B5772">
        <w:t xml:space="preserve"> technical </w:t>
      </w:r>
      <w:r w:rsidR="00E9265B">
        <w:t>report</w:t>
      </w:r>
      <w:r w:rsidR="000B1027">
        <w:t>, and responses from</w:t>
      </w:r>
      <w:r w:rsidR="00E9265B">
        <w:t xml:space="preserve"> stakeholders</w:t>
      </w:r>
      <w:r w:rsidRPr="007D7F83">
        <w:t>.</w:t>
      </w:r>
      <w:r w:rsidR="00C63D4E">
        <w:t xml:space="preserve"> </w:t>
      </w:r>
      <w:r w:rsidR="002B5772">
        <w:t xml:space="preserve">See the </w:t>
      </w:r>
      <w:hyperlink r:id="rId12" w:history="1">
        <w:r w:rsidR="002B5772">
          <w:rPr>
            <w:rStyle w:val="Hyperlink"/>
          </w:rPr>
          <w:t>committee papers</w:t>
        </w:r>
      </w:hyperlink>
      <w:r w:rsidR="002B5772">
        <w:t xml:space="preserve"> for full details of the evidence</w:t>
      </w:r>
      <w:r w:rsidR="002B5772" w:rsidRPr="000F2D8A">
        <w:t>.</w:t>
      </w:r>
    </w:p>
    <w:p w14:paraId="7D8FA96C" w14:textId="77777777" w:rsidR="00FA40AB" w:rsidRPr="00FD35D9" w:rsidRDefault="00FA40AB" w:rsidP="00FA40AB">
      <w:pPr>
        <w:keepNext/>
        <w:spacing w:before="240" w:after="60" w:line="360" w:lineRule="auto"/>
        <w:outlineLvl w:val="1"/>
        <w:rPr>
          <w:rFonts w:ascii="Arial" w:hAnsi="Arial" w:cs="Arial"/>
          <w:b/>
          <w:bCs/>
          <w:i/>
          <w:iCs/>
          <w:sz w:val="28"/>
          <w:szCs w:val="28"/>
        </w:rPr>
      </w:pPr>
      <w:r w:rsidRPr="00FD35D9">
        <w:rPr>
          <w:rFonts w:ascii="Arial" w:hAnsi="Arial" w:cs="Arial"/>
          <w:b/>
          <w:bCs/>
          <w:i/>
          <w:iCs/>
          <w:sz w:val="28"/>
          <w:szCs w:val="28"/>
        </w:rPr>
        <w:t>New treatment option</w:t>
      </w:r>
    </w:p>
    <w:p w14:paraId="0B639663" w14:textId="77777777" w:rsidR="00FA40AB" w:rsidRPr="00FD35D9" w:rsidRDefault="00FA40AB" w:rsidP="00FA40AB">
      <w:pPr>
        <w:keepNext/>
        <w:spacing w:before="240" w:after="60" w:line="360" w:lineRule="auto"/>
        <w:outlineLvl w:val="2"/>
        <w:rPr>
          <w:rFonts w:ascii="Arial" w:hAnsi="Arial" w:cs="Arial"/>
          <w:b/>
          <w:bCs/>
        </w:rPr>
      </w:pPr>
      <w:r>
        <w:rPr>
          <w:rFonts w:ascii="Arial" w:hAnsi="Arial" w:cs="Arial"/>
          <w:b/>
          <w:bCs/>
        </w:rPr>
        <w:t>A</w:t>
      </w:r>
      <w:r w:rsidRPr="00FD35D9">
        <w:rPr>
          <w:rFonts w:ascii="Arial" w:hAnsi="Arial" w:cs="Arial"/>
          <w:b/>
          <w:bCs/>
        </w:rPr>
        <w:t xml:space="preserve">n additional treatment option that </w:t>
      </w:r>
      <w:r w:rsidRPr="000623EC">
        <w:rPr>
          <w:rFonts w:ascii="Arial" w:hAnsi="Arial" w:cs="Arial"/>
          <w:b/>
          <w:bCs/>
        </w:rPr>
        <w:t>lower</w:t>
      </w:r>
      <w:r>
        <w:rPr>
          <w:rFonts w:ascii="Arial" w:hAnsi="Arial" w:cs="Arial"/>
          <w:b/>
          <w:bCs/>
        </w:rPr>
        <w:t>s</w:t>
      </w:r>
      <w:r w:rsidRPr="000623EC">
        <w:rPr>
          <w:rFonts w:ascii="Arial" w:hAnsi="Arial" w:cs="Arial"/>
          <w:b/>
          <w:bCs/>
        </w:rPr>
        <w:t xml:space="preserve"> the risk of exacerbations </w:t>
      </w:r>
      <w:r>
        <w:rPr>
          <w:rFonts w:ascii="Arial" w:hAnsi="Arial" w:cs="Arial"/>
          <w:b/>
          <w:bCs/>
        </w:rPr>
        <w:t xml:space="preserve">and </w:t>
      </w:r>
      <w:r w:rsidRPr="00FD35D9">
        <w:rPr>
          <w:rFonts w:ascii="Arial" w:hAnsi="Arial" w:cs="Arial"/>
          <w:b/>
          <w:bCs/>
        </w:rPr>
        <w:t>may reduce the need for oral corticosteroids</w:t>
      </w:r>
      <w:r>
        <w:rPr>
          <w:rFonts w:ascii="Arial" w:hAnsi="Arial" w:cs="Arial"/>
          <w:b/>
          <w:bCs/>
        </w:rPr>
        <w:t xml:space="preserve"> would be welcome</w:t>
      </w:r>
    </w:p>
    <w:p w14:paraId="068D1B13" w14:textId="77777777" w:rsidR="00FA40AB" w:rsidRPr="00FD35D9" w:rsidRDefault="00FA40AB" w:rsidP="00FA40AB">
      <w:pPr>
        <w:pStyle w:val="Numberedlevel2text"/>
        <w:numPr>
          <w:ilvl w:val="1"/>
          <w:numId w:val="1"/>
        </w:numPr>
        <w:rPr>
          <w:lang w:val="en-GB"/>
        </w:rPr>
      </w:pPr>
      <w:r>
        <w:rPr>
          <w:lang w:val="en-GB"/>
        </w:rPr>
        <w:t>S</w:t>
      </w:r>
      <w:r w:rsidRPr="00FD35D9">
        <w:rPr>
          <w:lang w:val="en-GB"/>
        </w:rPr>
        <w:t xml:space="preserve">evere asthma is a distressing and socially isolating condition. </w:t>
      </w:r>
      <w:r>
        <w:rPr>
          <w:lang w:val="en-GB"/>
        </w:rPr>
        <w:t>T</w:t>
      </w:r>
      <w:r w:rsidRPr="00FD35D9">
        <w:rPr>
          <w:lang w:val="en-GB"/>
        </w:rPr>
        <w:t>he patient expert</w:t>
      </w:r>
      <w:r>
        <w:rPr>
          <w:lang w:val="en-GB"/>
        </w:rPr>
        <w:t xml:space="preserve"> explained</w:t>
      </w:r>
      <w:r w:rsidRPr="00FD35D9">
        <w:rPr>
          <w:lang w:val="en-GB"/>
        </w:rPr>
        <w:t xml:space="preserve"> that exacerbations can happen without warning, be life threatening, cause fear and result in hospitalisation. People are often unable to work</w:t>
      </w:r>
      <w:r>
        <w:rPr>
          <w:lang w:val="en-GB"/>
        </w:rPr>
        <w:t xml:space="preserve"> or</w:t>
      </w:r>
      <w:r w:rsidRPr="00FD35D9">
        <w:rPr>
          <w:lang w:val="en-GB"/>
        </w:rPr>
        <w:t xml:space="preserve"> start a </w:t>
      </w:r>
      <w:proofErr w:type="gramStart"/>
      <w:r w:rsidRPr="00FD35D9">
        <w:rPr>
          <w:lang w:val="en-GB"/>
        </w:rPr>
        <w:t>family</w:t>
      </w:r>
      <w:r>
        <w:rPr>
          <w:lang w:val="en-GB"/>
        </w:rPr>
        <w:t>,</w:t>
      </w:r>
      <w:r w:rsidRPr="00FD35D9">
        <w:rPr>
          <w:lang w:val="en-GB"/>
        </w:rPr>
        <w:t xml:space="preserve"> and</w:t>
      </w:r>
      <w:proofErr w:type="gramEnd"/>
      <w:r w:rsidRPr="00FD35D9">
        <w:rPr>
          <w:lang w:val="en-GB"/>
        </w:rPr>
        <w:t xml:space="preserve"> may need help with day-to-day activities because of the</w:t>
      </w:r>
      <w:r>
        <w:rPr>
          <w:lang w:val="en-GB"/>
        </w:rPr>
        <w:t>ir</w:t>
      </w:r>
      <w:r w:rsidRPr="00FD35D9">
        <w:rPr>
          <w:lang w:val="en-GB"/>
        </w:rPr>
        <w:t xml:space="preserve"> symptoms. </w:t>
      </w:r>
      <w:r>
        <w:rPr>
          <w:lang w:val="en-GB"/>
        </w:rPr>
        <w:t>The</w:t>
      </w:r>
      <w:r w:rsidRPr="00FD35D9">
        <w:rPr>
          <w:lang w:val="en-GB"/>
        </w:rPr>
        <w:t xml:space="preserve"> clinical expert </w:t>
      </w:r>
      <w:r>
        <w:rPr>
          <w:lang w:val="en-GB"/>
        </w:rPr>
        <w:t>explained that, i</w:t>
      </w:r>
      <w:r w:rsidRPr="00080F76">
        <w:rPr>
          <w:lang w:val="en-GB"/>
        </w:rPr>
        <w:t>n addition to optimised inhaled treatment</w:t>
      </w:r>
      <w:r>
        <w:rPr>
          <w:lang w:val="en-GB"/>
        </w:rPr>
        <w:t>,</w:t>
      </w:r>
      <w:r w:rsidRPr="00FD35D9">
        <w:rPr>
          <w:lang w:val="en-GB"/>
        </w:rPr>
        <w:t xml:space="preserve"> standard treatment for severe asthma is oral systemic corticosteroids or, if the patient has eosinophilic asthma </w:t>
      </w:r>
      <w:r>
        <w:rPr>
          <w:lang w:val="en-GB"/>
        </w:rPr>
        <w:t xml:space="preserve">and </w:t>
      </w:r>
      <w:r w:rsidRPr="00FD35D9">
        <w:rPr>
          <w:lang w:val="en-GB"/>
        </w:rPr>
        <w:t>depending on the blood eosinophil count, NICE recommended interleukin</w:t>
      </w:r>
      <w:r w:rsidRPr="00FD35D9">
        <w:rPr>
          <w:lang w:val="en-GB"/>
        </w:rPr>
        <w:noBreakHyphen/>
        <w:t xml:space="preserve">5 inhibitors </w:t>
      </w:r>
      <w:r>
        <w:rPr>
          <w:lang w:val="en-GB"/>
        </w:rPr>
        <w:t>biological</w:t>
      </w:r>
      <w:r w:rsidRPr="00FD35D9">
        <w:rPr>
          <w:lang w:val="en-GB"/>
        </w:rPr>
        <w:t xml:space="preserve">s </w:t>
      </w:r>
      <w:hyperlink r:id="rId13" w:history="1">
        <w:proofErr w:type="spellStart"/>
        <w:r w:rsidRPr="00FD35D9">
          <w:rPr>
            <w:color w:val="0000FF"/>
            <w:u w:val="single"/>
            <w:lang w:val="en-GB"/>
          </w:rPr>
          <w:t>benralizumab</w:t>
        </w:r>
        <w:proofErr w:type="spellEnd"/>
      </w:hyperlink>
      <w:r w:rsidRPr="00FD35D9">
        <w:rPr>
          <w:lang w:val="en-GB"/>
        </w:rPr>
        <w:t xml:space="preserve">, </w:t>
      </w:r>
      <w:hyperlink r:id="rId14" w:history="1">
        <w:r w:rsidRPr="00FD35D9">
          <w:rPr>
            <w:color w:val="0000FF"/>
            <w:u w:val="single"/>
            <w:lang w:val="en-GB"/>
          </w:rPr>
          <w:t>mepolizumab</w:t>
        </w:r>
      </w:hyperlink>
      <w:r w:rsidRPr="00FD35D9">
        <w:rPr>
          <w:lang w:val="en-GB"/>
        </w:rPr>
        <w:t xml:space="preserve"> and </w:t>
      </w:r>
      <w:hyperlink r:id="rId15" w:history="1">
        <w:proofErr w:type="spellStart"/>
        <w:r w:rsidRPr="00FD35D9">
          <w:rPr>
            <w:rStyle w:val="Hyperlink"/>
            <w:lang w:val="en-GB"/>
          </w:rPr>
          <w:t>reslizumab</w:t>
        </w:r>
        <w:proofErr w:type="spellEnd"/>
      </w:hyperlink>
      <w:r w:rsidRPr="00FD35D9">
        <w:rPr>
          <w:lang w:val="en-GB"/>
        </w:rPr>
        <w:t xml:space="preserve">. </w:t>
      </w:r>
      <w:r>
        <w:rPr>
          <w:lang w:val="en-GB"/>
        </w:rPr>
        <w:t>D</w:t>
      </w:r>
      <w:r w:rsidRPr="00FD35D9">
        <w:rPr>
          <w:lang w:val="en-GB"/>
        </w:rPr>
        <w:t>upilumab is the only licensed treatment for severe asthma with type</w:t>
      </w:r>
      <w:r>
        <w:rPr>
          <w:lang w:val="en-GB"/>
        </w:rPr>
        <w:t> </w:t>
      </w:r>
      <w:r w:rsidRPr="00FD35D9">
        <w:rPr>
          <w:lang w:val="en-GB"/>
        </w:rPr>
        <w:t xml:space="preserve">2 inflammation. </w:t>
      </w:r>
      <w:r>
        <w:rPr>
          <w:lang w:val="en-GB"/>
        </w:rPr>
        <w:t>A</w:t>
      </w:r>
      <w:r w:rsidRPr="00FD35D9">
        <w:rPr>
          <w:lang w:val="en-GB"/>
        </w:rPr>
        <w:t>lthough a</w:t>
      </w:r>
      <w:r>
        <w:rPr>
          <w:lang w:val="en-GB"/>
        </w:rPr>
        <w:t>sthma</w:t>
      </w:r>
      <w:r w:rsidRPr="00FD35D9">
        <w:rPr>
          <w:lang w:val="en-GB"/>
        </w:rPr>
        <w:t xml:space="preserve"> can respond to systemic corticosteroids, the treatment </w:t>
      </w:r>
      <w:r>
        <w:rPr>
          <w:lang w:val="en-GB"/>
        </w:rPr>
        <w:t>can be</w:t>
      </w:r>
      <w:r w:rsidRPr="00FD35D9">
        <w:rPr>
          <w:lang w:val="en-GB"/>
        </w:rPr>
        <w:t xml:space="preserve"> associated with long-term complications (such as diabetes mellitus, weight gain, bone loss, </w:t>
      </w:r>
      <w:proofErr w:type="gramStart"/>
      <w:r w:rsidRPr="00FD35D9">
        <w:rPr>
          <w:lang w:val="en-GB"/>
        </w:rPr>
        <w:t>immunosuppression</w:t>
      </w:r>
      <w:proofErr w:type="gramEnd"/>
      <w:r w:rsidRPr="00FD35D9">
        <w:rPr>
          <w:lang w:val="en-GB"/>
        </w:rPr>
        <w:t xml:space="preserve"> and </w:t>
      </w:r>
      <w:r>
        <w:rPr>
          <w:lang w:val="en-GB"/>
        </w:rPr>
        <w:t xml:space="preserve">a </w:t>
      </w:r>
      <w:r w:rsidRPr="00FD35D9">
        <w:rPr>
          <w:lang w:val="en-GB"/>
        </w:rPr>
        <w:t xml:space="preserve">negative </w:t>
      </w:r>
      <w:r>
        <w:rPr>
          <w:lang w:val="en-GB"/>
        </w:rPr>
        <w:t>effect</w:t>
      </w:r>
      <w:r w:rsidRPr="00FD35D9">
        <w:rPr>
          <w:lang w:val="en-GB"/>
        </w:rPr>
        <w:t xml:space="preserve"> on mental health). The patient expert explained that patients would welcome treatment options that replace the need for corticosteroids. The clinical expert explained that </w:t>
      </w:r>
      <w:r>
        <w:rPr>
          <w:lang w:val="en-GB"/>
        </w:rPr>
        <w:t xml:space="preserve">a </w:t>
      </w:r>
      <w:r w:rsidRPr="00FD35D9">
        <w:rPr>
          <w:lang w:val="en-GB"/>
        </w:rPr>
        <w:t>blood eosinophil count and fractional exhaled nitric oxide (</w:t>
      </w:r>
      <w:proofErr w:type="spellStart"/>
      <w:r w:rsidRPr="00FD35D9">
        <w:rPr>
          <w:lang w:val="en-GB"/>
        </w:rPr>
        <w:t>FeNO</w:t>
      </w:r>
      <w:proofErr w:type="spellEnd"/>
      <w:r w:rsidRPr="00FD35D9">
        <w:rPr>
          <w:lang w:val="en-GB"/>
        </w:rPr>
        <w:t xml:space="preserve">) are used to help define subtypes of severe asthma and help predict </w:t>
      </w:r>
      <w:r>
        <w:rPr>
          <w:lang w:val="en-GB"/>
        </w:rPr>
        <w:t xml:space="preserve">the </w:t>
      </w:r>
      <w:r w:rsidRPr="00FD35D9">
        <w:rPr>
          <w:lang w:val="en-GB"/>
        </w:rPr>
        <w:t xml:space="preserve">people with severe asthma </w:t>
      </w:r>
      <w:r>
        <w:rPr>
          <w:lang w:val="en-GB"/>
        </w:rPr>
        <w:t xml:space="preserve">who are </w:t>
      </w:r>
      <w:r w:rsidRPr="00FD35D9">
        <w:rPr>
          <w:lang w:val="en-GB"/>
        </w:rPr>
        <w:t xml:space="preserve">at highest risk of </w:t>
      </w:r>
      <w:r>
        <w:rPr>
          <w:lang w:val="en-GB"/>
        </w:rPr>
        <w:t xml:space="preserve">a </w:t>
      </w:r>
      <w:r w:rsidRPr="00FD35D9">
        <w:rPr>
          <w:lang w:val="en-GB"/>
        </w:rPr>
        <w:t>future exacerbation.</w:t>
      </w:r>
      <w:r>
        <w:rPr>
          <w:lang w:val="en-GB"/>
        </w:rPr>
        <w:t xml:space="preserve"> In people with severe asthma with type 2 inflammation, their condition does not </w:t>
      </w:r>
      <w:r>
        <w:rPr>
          <w:lang w:val="en-GB"/>
        </w:rPr>
        <w:lastRenderedPageBreak/>
        <w:t xml:space="preserve">respond to </w:t>
      </w:r>
      <w:r w:rsidRPr="00FD35D9">
        <w:rPr>
          <w:lang w:val="en-GB"/>
        </w:rPr>
        <w:t>interleukin</w:t>
      </w:r>
      <w:r w:rsidRPr="00FD35D9">
        <w:rPr>
          <w:lang w:val="en-GB"/>
        </w:rPr>
        <w:noBreakHyphen/>
        <w:t xml:space="preserve">5 inhibitors but </w:t>
      </w:r>
      <w:r>
        <w:rPr>
          <w:lang w:val="en-GB"/>
        </w:rPr>
        <w:t>can respond</w:t>
      </w:r>
      <w:r w:rsidRPr="00FD35D9">
        <w:rPr>
          <w:lang w:val="en-GB"/>
        </w:rPr>
        <w:t xml:space="preserve"> to interleukin</w:t>
      </w:r>
      <w:r w:rsidRPr="00FD35D9">
        <w:rPr>
          <w:lang w:val="en-GB"/>
        </w:rPr>
        <w:noBreakHyphen/>
        <w:t xml:space="preserve">13 inhibitors such as dupilumab. The committee concluded that there </w:t>
      </w:r>
      <w:r>
        <w:rPr>
          <w:lang w:val="en-GB"/>
        </w:rPr>
        <w:t>i</w:t>
      </w:r>
      <w:r w:rsidRPr="00FD35D9">
        <w:rPr>
          <w:lang w:val="en-GB"/>
        </w:rPr>
        <w:t>s a need for new treatments with a different mode of action for people with severe asthma with type</w:t>
      </w:r>
      <w:r>
        <w:rPr>
          <w:lang w:val="en-GB"/>
        </w:rPr>
        <w:t> </w:t>
      </w:r>
      <w:r w:rsidRPr="00FD35D9">
        <w:rPr>
          <w:lang w:val="en-GB"/>
        </w:rPr>
        <w:t>2 inflammation who</w:t>
      </w:r>
      <w:r>
        <w:rPr>
          <w:lang w:val="en-GB"/>
        </w:rPr>
        <w:t>se asthma does</w:t>
      </w:r>
      <w:r w:rsidRPr="00FD35D9">
        <w:rPr>
          <w:lang w:val="en-GB"/>
        </w:rPr>
        <w:t xml:space="preserve"> not respond with current standard care</w:t>
      </w:r>
      <w:r>
        <w:rPr>
          <w:lang w:val="en-GB"/>
        </w:rPr>
        <w:t>,</w:t>
      </w:r>
      <w:r w:rsidRPr="00FD35D9">
        <w:rPr>
          <w:lang w:val="en-GB"/>
        </w:rPr>
        <w:t xml:space="preserve"> and </w:t>
      </w:r>
      <w:r>
        <w:rPr>
          <w:lang w:val="en-GB"/>
        </w:rPr>
        <w:t>for</w:t>
      </w:r>
      <w:r w:rsidRPr="00FD35D9">
        <w:rPr>
          <w:lang w:val="en-GB"/>
        </w:rPr>
        <w:t xml:space="preserve"> people not eligible for current NICE recommended </w:t>
      </w:r>
      <w:r>
        <w:rPr>
          <w:lang w:val="en-GB"/>
        </w:rPr>
        <w:t>biologicals</w:t>
      </w:r>
      <w:r w:rsidRPr="00FD35D9">
        <w:rPr>
          <w:lang w:val="en-GB"/>
        </w:rPr>
        <w:t>.</w:t>
      </w:r>
    </w:p>
    <w:p w14:paraId="6E5469D6" w14:textId="77777777" w:rsidR="00FA40AB" w:rsidRPr="00FD35D9" w:rsidRDefault="00FA40AB" w:rsidP="00FA40AB">
      <w:pPr>
        <w:keepNext/>
        <w:spacing w:before="240" w:after="60" w:line="360" w:lineRule="auto"/>
        <w:outlineLvl w:val="1"/>
        <w:rPr>
          <w:rFonts w:ascii="Arial" w:hAnsi="Arial" w:cs="Arial"/>
          <w:b/>
          <w:bCs/>
          <w:i/>
          <w:iCs/>
          <w:sz w:val="28"/>
          <w:szCs w:val="28"/>
        </w:rPr>
      </w:pPr>
      <w:r w:rsidRPr="00FD35D9">
        <w:rPr>
          <w:rFonts w:ascii="Arial" w:hAnsi="Arial" w:cs="Arial"/>
          <w:b/>
          <w:bCs/>
          <w:i/>
          <w:iCs/>
          <w:sz w:val="28"/>
          <w:szCs w:val="28"/>
        </w:rPr>
        <w:t>Clinical management</w:t>
      </w:r>
    </w:p>
    <w:p w14:paraId="376D30F3" w14:textId="77777777" w:rsidR="00FA40AB" w:rsidRPr="00FD35D9" w:rsidRDefault="00FA40AB" w:rsidP="00FA40AB">
      <w:pPr>
        <w:keepNext/>
        <w:spacing w:before="240" w:after="60" w:line="360" w:lineRule="auto"/>
        <w:outlineLvl w:val="2"/>
        <w:rPr>
          <w:rFonts w:ascii="Arial" w:hAnsi="Arial" w:cs="Arial"/>
          <w:b/>
          <w:bCs/>
        </w:rPr>
      </w:pPr>
      <w:r>
        <w:rPr>
          <w:rFonts w:ascii="Arial" w:hAnsi="Arial" w:cs="Arial"/>
          <w:b/>
          <w:bCs/>
        </w:rPr>
        <w:t>Severe asthma with t</w:t>
      </w:r>
      <w:r w:rsidRPr="00FD35D9">
        <w:rPr>
          <w:rFonts w:ascii="Arial" w:hAnsi="Arial" w:cs="Arial"/>
          <w:b/>
          <w:bCs/>
        </w:rPr>
        <w:t>ype</w:t>
      </w:r>
      <w:r>
        <w:rPr>
          <w:rFonts w:ascii="Arial" w:hAnsi="Arial" w:cs="Arial"/>
          <w:b/>
          <w:bCs/>
        </w:rPr>
        <w:t> </w:t>
      </w:r>
      <w:r w:rsidRPr="00FD35D9">
        <w:rPr>
          <w:rFonts w:ascii="Arial" w:hAnsi="Arial" w:cs="Arial"/>
          <w:b/>
          <w:bCs/>
        </w:rPr>
        <w:t>2 inflammation</w:t>
      </w:r>
      <w:r>
        <w:rPr>
          <w:rFonts w:ascii="Arial" w:hAnsi="Arial" w:cs="Arial"/>
          <w:b/>
          <w:bCs/>
        </w:rPr>
        <w:t xml:space="preserve"> is a subtype of asthma</w:t>
      </w:r>
    </w:p>
    <w:p w14:paraId="72FBBE01" w14:textId="77777777" w:rsidR="00FA40AB" w:rsidRDefault="00FA40AB" w:rsidP="00FA40AB">
      <w:pPr>
        <w:pStyle w:val="Numberedlevel2text"/>
        <w:numPr>
          <w:ilvl w:val="1"/>
          <w:numId w:val="1"/>
        </w:numPr>
        <w:rPr>
          <w:lang w:val="en-GB"/>
        </w:rPr>
      </w:pPr>
      <w:r>
        <w:rPr>
          <w:lang w:val="en-GB"/>
        </w:rPr>
        <w:t>Severe asthma with type 2 inflammation is</w:t>
      </w:r>
      <w:r w:rsidRPr="00FD35D9">
        <w:rPr>
          <w:lang w:val="en-GB"/>
        </w:rPr>
        <w:t xml:space="preserve"> associated with allergy, higher risk of exacerbations, hospitalisation, dependency on oral corticosteroids and increased risk of dying. The </w:t>
      </w:r>
      <w:hyperlink r:id="rId16" w:history="1">
        <w:r>
          <w:rPr>
            <w:color w:val="0000FF"/>
            <w:u w:val="single"/>
            <w:lang w:val="en-GB"/>
          </w:rPr>
          <w:t>Global Initiative for Asthma (GINA) guideline on difficult to treat severe asthma</w:t>
        </w:r>
      </w:hyperlink>
      <w:r w:rsidRPr="00FD35D9">
        <w:rPr>
          <w:lang w:val="en-GB"/>
        </w:rPr>
        <w:t xml:space="preserve"> (2019) lists 5</w:t>
      </w:r>
      <w:r>
        <w:rPr>
          <w:lang w:val="en-GB"/>
        </w:rPr>
        <w:t> </w:t>
      </w:r>
      <w:r w:rsidRPr="00FD35D9">
        <w:rPr>
          <w:lang w:val="en-GB"/>
        </w:rPr>
        <w:t xml:space="preserve">criteria in </w:t>
      </w:r>
      <w:r w:rsidRPr="00163A6C">
        <w:t>its</w:t>
      </w:r>
      <w:r w:rsidRPr="00FD35D9">
        <w:rPr>
          <w:lang w:val="en-GB"/>
        </w:rPr>
        <w:t xml:space="preserve"> definition of severe asthma with type</w:t>
      </w:r>
      <w:r>
        <w:rPr>
          <w:lang w:val="en-GB"/>
        </w:rPr>
        <w:t> </w:t>
      </w:r>
      <w:r w:rsidRPr="00FD35D9">
        <w:rPr>
          <w:lang w:val="en-GB"/>
        </w:rPr>
        <w:t xml:space="preserve">2 inflammation </w:t>
      </w:r>
      <w:r>
        <w:rPr>
          <w:lang w:val="en-GB"/>
        </w:rPr>
        <w:t>that</w:t>
      </w:r>
      <w:r w:rsidRPr="00FD35D9">
        <w:rPr>
          <w:lang w:val="en-GB"/>
        </w:rPr>
        <w:t xml:space="preserve"> are prognostics markers</w:t>
      </w:r>
      <w:r>
        <w:rPr>
          <w:lang w:val="en-GB"/>
        </w:rPr>
        <w:t>:</w:t>
      </w:r>
    </w:p>
    <w:p w14:paraId="3EB52380" w14:textId="77777777" w:rsidR="00FA40AB" w:rsidRDefault="00FA40AB" w:rsidP="00FA40AB">
      <w:pPr>
        <w:pStyle w:val="Bulletindent1"/>
      </w:pPr>
      <w:r>
        <w:t xml:space="preserve">a </w:t>
      </w:r>
      <w:r w:rsidRPr="00163A6C">
        <w:t xml:space="preserve">blood eosinophil </w:t>
      </w:r>
      <w:r>
        <w:t xml:space="preserve">count </w:t>
      </w:r>
      <w:r w:rsidRPr="00163A6C">
        <w:t xml:space="preserve">of 150 cells per </w:t>
      </w:r>
      <w:r w:rsidRPr="005729E1">
        <w:t>microlitre or more</w:t>
      </w:r>
    </w:p>
    <w:p w14:paraId="461FB825" w14:textId="77777777" w:rsidR="00FA40AB" w:rsidRDefault="00FA40AB" w:rsidP="00FA40AB">
      <w:pPr>
        <w:pStyle w:val="Bulletindent1"/>
      </w:pPr>
      <w:proofErr w:type="spellStart"/>
      <w:r w:rsidRPr="00163A6C">
        <w:t>FeNO</w:t>
      </w:r>
      <w:proofErr w:type="spellEnd"/>
      <w:r w:rsidRPr="00163A6C">
        <w:t xml:space="preserve"> of 20 parts per billion or more</w:t>
      </w:r>
    </w:p>
    <w:p w14:paraId="49E84AB1" w14:textId="77777777" w:rsidR="00FA40AB" w:rsidRDefault="00FA40AB" w:rsidP="00FA40AB">
      <w:pPr>
        <w:pStyle w:val="Bulletindent1"/>
      </w:pPr>
      <w:r w:rsidRPr="00163A6C">
        <w:t>sputum eosinophil</w:t>
      </w:r>
      <w:r>
        <w:t>s</w:t>
      </w:r>
      <w:r w:rsidRPr="00163A6C">
        <w:t xml:space="preserve"> of 2% or more</w:t>
      </w:r>
    </w:p>
    <w:p w14:paraId="6F864DAD" w14:textId="77777777" w:rsidR="00FA40AB" w:rsidRDefault="00FA40AB" w:rsidP="00FA40AB">
      <w:pPr>
        <w:pStyle w:val="Bulletindent1"/>
      </w:pPr>
      <w:r w:rsidRPr="00163A6C">
        <w:t>asthma that is clinically allergen driven</w:t>
      </w:r>
    </w:p>
    <w:p w14:paraId="0E5EDCD6" w14:textId="77777777" w:rsidR="00FA40AB" w:rsidRPr="00D160AD" w:rsidRDefault="00FA40AB" w:rsidP="00FA40AB">
      <w:pPr>
        <w:pStyle w:val="Bulletindent1last"/>
        <w:tabs>
          <w:tab w:val="clear" w:pos="1418"/>
        </w:tabs>
        <w:ind w:left="1134" w:firstLine="0"/>
      </w:pPr>
      <w:r w:rsidRPr="000C1709">
        <w:t>the need for maintenance oral corticosteroids.</w:t>
      </w:r>
      <w:r>
        <w:br/>
      </w:r>
      <w:r>
        <w:br/>
      </w:r>
      <w:r w:rsidRPr="000C1709">
        <w:t>GINA suggests that 1</w:t>
      </w:r>
      <w:r>
        <w:t> </w:t>
      </w:r>
      <w:r w:rsidRPr="000C1709">
        <w:t xml:space="preserve">or more criterion can be used to make a diagnosis. </w:t>
      </w:r>
      <w:r w:rsidRPr="00D160AD">
        <w:t xml:space="preserve">The clinical expert explained that raised blood eosinophils and </w:t>
      </w:r>
      <w:proofErr w:type="spellStart"/>
      <w:r w:rsidRPr="00D160AD">
        <w:t>FeNO</w:t>
      </w:r>
      <w:proofErr w:type="spellEnd"/>
      <w:r w:rsidRPr="00D160AD">
        <w:t xml:space="preserve"> are risk predictors for future exacerbations</w:t>
      </w:r>
      <w:r>
        <w:t>. T</w:t>
      </w:r>
      <w:r w:rsidRPr="000C1709">
        <w:t>hat is, the higher these biomarkers, the more likely you are to have an exacerbation.</w:t>
      </w:r>
      <w:r w:rsidRPr="00D160AD">
        <w:t xml:space="preserve"> The committee </w:t>
      </w:r>
      <w:r>
        <w:t>concluded that</w:t>
      </w:r>
      <w:r w:rsidRPr="00D160AD">
        <w:t xml:space="preserve"> this subtype of severe asthma</w:t>
      </w:r>
      <w:r>
        <w:t xml:space="preserve"> exists</w:t>
      </w:r>
      <w:r w:rsidRPr="00D160AD">
        <w:t>.</w:t>
      </w:r>
    </w:p>
    <w:p w14:paraId="684AC24D" w14:textId="77777777" w:rsidR="00FA40AB" w:rsidRPr="00FD35D9" w:rsidRDefault="00FA40AB" w:rsidP="00FA40AB">
      <w:pPr>
        <w:keepNext/>
        <w:spacing w:before="240" w:after="60" w:line="360" w:lineRule="auto"/>
        <w:outlineLvl w:val="2"/>
        <w:rPr>
          <w:rFonts w:ascii="Arial" w:hAnsi="Arial" w:cs="Arial"/>
          <w:b/>
          <w:bCs/>
        </w:rPr>
      </w:pPr>
      <w:r>
        <w:rPr>
          <w:rFonts w:ascii="Arial" w:hAnsi="Arial" w:cs="Arial"/>
          <w:b/>
          <w:bCs/>
        </w:rPr>
        <w:t>B</w:t>
      </w:r>
      <w:r w:rsidRPr="005729E1">
        <w:rPr>
          <w:rFonts w:ascii="Arial" w:hAnsi="Arial" w:cs="Arial"/>
          <w:b/>
          <w:bCs/>
        </w:rPr>
        <w:t xml:space="preserve">lood eosinophil count and </w:t>
      </w:r>
      <w:proofErr w:type="spellStart"/>
      <w:r w:rsidRPr="005729E1">
        <w:rPr>
          <w:rFonts w:ascii="Arial" w:hAnsi="Arial" w:cs="Arial"/>
          <w:b/>
          <w:bCs/>
        </w:rPr>
        <w:t>FeNO</w:t>
      </w:r>
      <w:proofErr w:type="spellEnd"/>
      <w:r w:rsidRPr="005729E1">
        <w:rPr>
          <w:rFonts w:ascii="Arial" w:hAnsi="Arial" w:cs="Arial"/>
          <w:b/>
          <w:bCs/>
        </w:rPr>
        <w:t xml:space="preserve"> </w:t>
      </w:r>
      <w:r>
        <w:rPr>
          <w:rFonts w:ascii="Arial" w:hAnsi="Arial" w:cs="Arial"/>
          <w:b/>
          <w:bCs/>
        </w:rPr>
        <w:t>are</w:t>
      </w:r>
      <w:r w:rsidRPr="005729E1">
        <w:rPr>
          <w:rFonts w:ascii="Arial" w:hAnsi="Arial" w:cs="Arial"/>
          <w:b/>
          <w:bCs/>
        </w:rPr>
        <w:t xml:space="preserve"> common biomarkers for </w:t>
      </w:r>
      <w:r>
        <w:rPr>
          <w:rFonts w:ascii="Arial" w:hAnsi="Arial" w:cs="Arial"/>
          <w:b/>
          <w:bCs/>
        </w:rPr>
        <w:t>d</w:t>
      </w:r>
      <w:r w:rsidRPr="002B6F43">
        <w:rPr>
          <w:rFonts w:ascii="Arial" w:hAnsi="Arial" w:cs="Arial"/>
          <w:b/>
          <w:bCs/>
        </w:rPr>
        <w:t>iagnosis</w:t>
      </w:r>
    </w:p>
    <w:p w14:paraId="170CE588" w14:textId="77777777" w:rsidR="00FA40AB" w:rsidRPr="004922E7" w:rsidRDefault="00FA40AB" w:rsidP="00FA40AB">
      <w:pPr>
        <w:pStyle w:val="Numberedlevel2text"/>
        <w:numPr>
          <w:ilvl w:val="1"/>
          <w:numId w:val="1"/>
        </w:numPr>
        <w:rPr>
          <w:lang w:val="en-GB"/>
        </w:rPr>
      </w:pPr>
      <w:r>
        <w:t xml:space="preserve">The clinical expert explained that blood eosinophil counts and </w:t>
      </w:r>
      <w:proofErr w:type="spellStart"/>
      <w:r>
        <w:t>FeNO</w:t>
      </w:r>
      <w:proofErr w:type="spellEnd"/>
      <w:r>
        <w:t xml:space="preserve"> levels are routinely measured in </w:t>
      </w:r>
      <w:r>
        <w:rPr>
          <w:lang w:val="en-GB"/>
        </w:rPr>
        <w:t>clinical practice. They also explained that, wh</w:t>
      </w:r>
      <w:r w:rsidRPr="00FD35D9">
        <w:rPr>
          <w:lang w:val="en-GB"/>
        </w:rPr>
        <w:t>il</w:t>
      </w:r>
      <w:r>
        <w:rPr>
          <w:lang w:val="en-GB"/>
        </w:rPr>
        <w:t>e</w:t>
      </w:r>
      <w:r w:rsidRPr="00FD35D9">
        <w:rPr>
          <w:lang w:val="en-GB"/>
        </w:rPr>
        <w:t xml:space="preserve"> blood eosinophils</w:t>
      </w:r>
      <w:r>
        <w:t xml:space="preserve"> counts</w:t>
      </w:r>
      <w:r w:rsidRPr="00FD35D9">
        <w:rPr>
          <w:lang w:val="en-GB"/>
        </w:rPr>
        <w:t xml:space="preserve"> </w:t>
      </w:r>
      <w:r>
        <w:t xml:space="preserve">are raised in </w:t>
      </w:r>
      <w:r>
        <w:rPr>
          <w:lang w:val="en-GB"/>
        </w:rPr>
        <w:t>both eosinophilic asth</w:t>
      </w:r>
      <w:r w:rsidRPr="004922E7">
        <w:rPr>
          <w:lang w:val="en-GB"/>
        </w:rPr>
        <w:t xml:space="preserve">ma and </w:t>
      </w:r>
      <w:r>
        <w:lastRenderedPageBreak/>
        <w:t>asthma</w:t>
      </w:r>
      <w:r>
        <w:rPr>
          <w:lang w:val="en-GB"/>
        </w:rPr>
        <w:t xml:space="preserve"> with type 2 inflammation</w:t>
      </w:r>
      <w:r w:rsidRPr="004922E7">
        <w:rPr>
          <w:lang w:val="en-GB"/>
        </w:rPr>
        <w:t xml:space="preserve">, raised </w:t>
      </w:r>
      <w:proofErr w:type="spellStart"/>
      <w:r w:rsidRPr="004922E7">
        <w:rPr>
          <w:lang w:val="en-GB"/>
        </w:rPr>
        <w:t>FeNO</w:t>
      </w:r>
      <w:proofErr w:type="spellEnd"/>
      <w:r w:rsidRPr="004922E7">
        <w:rPr>
          <w:lang w:val="en-GB"/>
        </w:rPr>
        <w:t xml:space="preserve"> is more specific to </w:t>
      </w:r>
      <w:r>
        <w:t>type</w:t>
      </w:r>
      <w:r>
        <w:rPr>
          <w:lang w:val="en-GB"/>
        </w:rPr>
        <w:t> </w:t>
      </w:r>
      <w:r>
        <w:t xml:space="preserve">2 </w:t>
      </w:r>
      <w:r w:rsidRPr="004922E7">
        <w:rPr>
          <w:lang w:val="en-GB"/>
        </w:rPr>
        <w:t xml:space="preserve">inflammation. The committee noted the response of stakeholders during technical engagement that </w:t>
      </w:r>
      <w:r w:rsidRPr="006A0EAA">
        <w:rPr>
          <w:lang w:val="en-GB"/>
        </w:rPr>
        <w:t xml:space="preserve">a blood eosinophil count of </w:t>
      </w:r>
      <w:r w:rsidRPr="00081D64">
        <w:rPr>
          <w:lang w:val="en-GB"/>
        </w:rPr>
        <w:t>150</w:t>
      </w:r>
      <w:r w:rsidRPr="00262B29">
        <w:rPr>
          <w:lang w:val="en-GB"/>
        </w:rPr>
        <w:t> </w:t>
      </w:r>
      <w:r w:rsidRPr="00B15014">
        <w:rPr>
          <w:lang w:val="en-GB"/>
        </w:rPr>
        <w:t>cells per microlitre or more</w:t>
      </w:r>
      <w:r w:rsidRPr="004922E7">
        <w:rPr>
          <w:lang w:val="en-GB"/>
        </w:rPr>
        <w:t xml:space="preserve">, </w:t>
      </w:r>
      <w:proofErr w:type="spellStart"/>
      <w:r w:rsidRPr="004922E7">
        <w:rPr>
          <w:lang w:val="en-GB"/>
        </w:rPr>
        <w:t>FeNO</w:t>
      </w:r>
      <w:proofErr w:type="spellEnd"/>
      <w:r w:rsidRPr="004922E7">
        <w:rPr>
          <w:lang w:val="en-GB"/>
        </w:rPr>
        <w:t xml:space="preserve"> of 20 parts per billion or more, or both, could be used for identifying people with type 2 inflammation.</w:t>
      </w:r>
      <w:r>
        <w:t xml:space="preserve"> </w:t>
      </w:r>
      <w:proofErr w:type="spellStart"/>
      <w:r>
        <w:rPr>
          <w:lang w:val="en-GB"/>
        </w:rPr>
        <w:t>T</w:t>
      </w:r>
      <w:r>
        <w:t>he</w:t>
      </w:r>
      <w:proofErr w:type="spellEnd"/>
      <w:r>
        <w:t xml:space="preserve"> committee </w:t>
      </w:r>
      <w:r>
        <w:rPr>
          <w:lang w:val="en-GB"/>
        </w:rPr>
        <w:t>acknowledged</w:t>
      </w:r>
      <w:r>
        <w:t xml:space="preserve"> the complexity of diagnosing asthma subtypes</w:t>
      </w:r>
      <w:r>
        <w:rPr>
          <w:lang w:val="en-GB"/>
        </w:rPr>
        <w:t>,</w:t>
      </w:r>
      <w:r>
        <w:t xml:space="preserve"> and the potential for overlap</w:t>
      </w:r>
      <w:r>
        <w:rPr>
          <w:lang w:val="en-GB"/>
        </w:rPr>
        <w:t xml:space="preserve"> or misclassification</w:t>
      </w:r>
      <w:r>
        <w:t xml:space="preserve"> between the</w:t>
      </w:r>
      <w:r>
        <w:rPr>
          <w:lang w:val="en-GB"/>
        </w:rPr>
        <w:t>m, despite</w:t>
      </w:r>
      <w:r>
        <w:t xml:space="preserve"> the use of blood eosinophil counts and </w:t>
      </w:r>
      <w:proofErr w:type="spellStart"/>
      <w:r>
        <w:t>FeNO</w:t>
      </w:r>
      <w:proofErr w:type="spellEnd"/>
      <w:r>
        <w:t xml:space="preserve"> levels</w:t>
      </w:r>
      <w:r>
        <w:rPr>
          <w:lang w:val="en-GB"/>
        </w:rPr>
        <w:t>.</w:t>
      </w:r>
    </w:p>
    <w:p w14:paraId="64CE58E9" w14:textId="77777777" w:rsidR="00FA40AB" w:rsidRPr="00FD35D9" w:rsidRDefault="00FA40AB" w:rsidP="00FA40AB">
      <w:pPr>
        <w:keepNext/>
        <w:spacing w:before="240" w:after="60" w:line="360" w:lineRule="auto"/>
        <w:outlineLvl w:val="2"/>
        <w:rPr>
          <w:rFonts w:ascii="Arial" w:hAnsi="Arial" w:cs="Arial"/>
          <w:b/>
          <w:bCs/>
        </w:rPr>
      </w:pPr>
      <w:r>
        <w:rPr>
          <w:rFonts w:ascii="Arial" w:hAnsi="Arial" w:cs="Arial"/>
          <w:b/>
          <w:bCs/>
        </w:rPr>
        <w:t>D</w:t>
      </w:r>
      <w:r w:rsidRPr="000C1709">
        <w:rPr>
          <w:rFonts w:ascii="Arial" w:hAnsi="Arial" w:cs="Arial"/>
          <w:b/>
          <w:bCs/>
        </w:rPr>
        <w:t>upilumab as add-on treatment is an option for managing uncontrolled severe asthma with type</w:t>
      </w:r>
      <w:r>
        <w:rPr>
          <w:rFonts w:ascii="Arial" w:hAnsi="Arial" w:cs="Arial"/>
          <w:b/>
          <w:bCs/>
        </w:rPr>
        <w:t> </w:t>
      </w:r>
      <w:r w:rsidRPr="000C1709">
        <w:rPr>
          <w:rFonts w:ascii="Arial" w:hAnsi="Arial" w:cs="Arial"/>
          <w:b/>
          <w:bCs/>
        </w:rPr>
        <w:t>2 inflammation</w:t>
      </w:r>
    </w:p>
    <w:p w14:paraId="5B35DFEC" w14:textId="77777777" w:rsidR="00FA40AB" w:rsidRPr="00FD35D9" w:rsidRDefault="00FA40AB" w:rsidP="00FA40AB">
      <w:pPr>
        <w:pStyle w:val="Numberedlevel2text"/>
        <w:numPr>
          <w:ilvl w:val="1"/>
          <w:numId w:val="1"/>
        </w:numPr>
        <w:rPr>
          <w:lang w:val="en-GB"/>
        </w:rPr>
      </w:pPr>
      <w:r w:rsidRPr="00FD35D9">
        <w:rPr>
          <w:lang w:val="en-GB"/>
        </w:rPr>
        <w:t xml:space="preserve">The clinical expert explained that treatment for asthma in clinical practice follows the </w:t>
      </w:r>
      <w:hyperlink r:id="rId17" w:history="1">
        <w:r>
          <w:rPr>
            <w:rStyle w:val="Hyperlink"/>
            <w:lang w:val="en-GB"/>
          </w:rPr>
          <w:t>NICE guideline on diagnosis, monitoring and chronic asthma management</w:t>
        </w:r>
      </w:hyperlink>
      <w:r w:rsidRPr="00FD35D9">
        <w:rPr>
          <w:lang w:val="en-GB"/>
        </w:rPr>
        <w:t xml:space="preserve"> and the GINA 2019 guideline (which includes the use of </w:t>
      </w:r>
      <w:r>
        <w:rPr>
          <w:lang w:val="en-GB"/>
        </w:rPr>
        <w:t>biological</w:t>
      </w:r>
      <w:r w:rsidRPr="00FD35D9">
        <w:rPr>
          <w:lang w:val="en-GB"/>
        </w:rPr>
        <w:t>s). If the asthma is still uncontrolled despite optimised inhaled therapy</w:t>
      </w:r>
      <w:r w:rsidRPr="00AD66DA">
        <w:t xml:space="preserve"> </w:t>
      </w:r>
      <w:r>
        <w:rPr>
          <w:lang w:val="en-GB"/>
        </w:rPr>
        <w:t>that</w:t>
      </w:r>
      <w:r w:rsidRPr="00AD66DA">
        <w:rPr>
          <w:lang w:val="en-GB"/>
        </w:rPr>
        <w:t xml:space="preserve"> includes corticosteroids</w:t>
      </w:r>
      <w:r w:rsidRPr="00FD35D9">
        <w:rPr>
          <w:lang w:val="en-GB"/>
        </w:rPr>
        <w:t>, then low</w:t>
      </w:r>
      <w:r>
        <w:rPr>
          <w:lang w:val="en-GB"/>
        </w:rPr>
        <w:t>-</w:t>
      </w:r>
      <w:r w:rsidRPr="00FD35D9">
        <w:rPr>
          <w:lang w:val="en-GB"/>
        </w:rPr>
        <w:t xml:space="preserve">dose oral corticosteroids or </w:t>
      </w:r>
      <w:r>
        <w:rPr>
          <w:lang w:val="en-GB"/>
        </w:rPr>
        <w:t>biological</w:t>
      </w:r>
      <w:r w:rsidRPr="00FD35D9">
        <w:rPr>
          <w:lang w:val="en-GB"/>
        </w:rPr>
        <w:t xml:space="preserve">s are added. The clinical and patient experts explained that </w:t>
      </w:r>
      <w:r>
        <w:rPr>
          <w:lang w:val="en-GB"/>
        </w:rPr>
        <w:t>biological</w:t>
      </w:r>
      <w:r w:rsidRPr="00FD35D9">
        <w:rPr>
          <w:lang w:val="en-GB"/>
        </w:rPr>
        <w:t xml:space="preserve">s are preferred over oral corticosteroids </w:t>
      </w:r>
      <w:r>
        <w:rPr>
          <w:lang w:val="en-GB"/>
        </w:rPr>
        <w:t>because they have</w:t>
      </w:r>
      <w:r w:rsidRPr="00FD35D9">
        <w:rPr>
          <w:lang w:val="en-GB"/>
        </w:rPr>
        <w:t xml:space="preserve"> </w:t>
      </w:r>
      <w:r>
        <w:rPr>
          <w:lang w:val="en-GB"/>
        </w:rPr>
        <w:t>fewer</w:t>
      </w:r>
      <w:r w:rsidRPr="00FD35D9">
        <w:rPr>
          <w:lang w:val="en-GB"/>
        </w:rPr>
        <w:t xml:space="preserve"> debilitating side effects. The choice of </w:t>
      </w:r>
      <w:r>
        <w:rPr>
          <w:lang w:val="en-GB"/>
        </w:rPr>
        <w:t>biological</w:t>
      </w:r>
      <w:r w:rsidRPr="00FD35D9">
        <w:rPr>
          <w:lang w:val="en-GB"/>
        </w:rPr>
        <w:t xml:space="preserve"> depends on the subtype of asthma. For severe eosinophilic asthma, according to NICE technology appraisal</w:t>
      </w:r>
      <w:r>
        <w:rPr>
          <w:lang w:val="en-GB"/>
        </w:rPr>
        <w:t xml:space="preserve"> guidance</w:t>
      </w:r>
      <w:r w:rsidRPr="00FD35D9">
        <w:rPr>
          <w:lang w:val="en-GB"/>
        </w:rPr>
        <w:t xml:space="preserve"> for </w:t>
      </w:r>
      <w:hyperlink r:id="rId18" w:history="1">
        <w:proofErr w:type="spellStart"/>
        <w:r w:rsidRPr="00FD35D9">
          <w:rPr>
            <w:color w:val="0000FF"/>
            <w:u w:val="single"/>
            <w:lang w:val="en-GB"/>
          </w:rPr>
          <w:t>benralizumab</w:t>
        </w:r>
        <w:proofErr w:type="spellEnd"/>
      </w:hyperlink>
      <w:r w:rsidRPr="00FD35D9">
        <w:rPr>
          <w:lang w:val="en-GB"/>
        </w:rPr>
        <w:t xml:space="preserve">, </w:t>
      </w:r>
      <w:hyperlink r:id="rId19" w:history="1">
        <w:r w:rsidRPr="00FD35D9">
          <w:rPr>
            <w:color w:val="0000FF"/>
            <w:u w:val="single"/>
            <w:lang w:val="en-GB"/>
          </w:rPr>
          <w:t>mepolizumab</w:t>
        </w:r>
      </w:hyperlink>
      <w:r w:rsidRPr="00FD35D9">
        <w:rPr>
          <w:lang w:val="en-GB"/>
        </w:rPr>
        <w:t xml:space="preserve"> and </w:t>
      </w:r>
      <w:hyperlink r:id="rId20" w:history="1">
        <w:proofErr w:type="spellStart"/>
        <w:r w:rsidRPr="00FD35D9">
          <w:rPr>
            <w:color w:val="0000FF"/>
            <w:u w:val="single"/>
            <w:lang w:val="en-GB"/>
          </w:rPr>
          <w:t>reslizumab</w:t>
        </w:r>
        <w:proofErr w:type="spellEnd"/>
      </w:hyperlink>
      <w:r>
        <w:rPr>
          <w:color w:val="0000FF"/>
          <w:u w:val="single"/>
          <w:lang w:val="en-GB"/>
        </w:rPr>
        <w:t>,</w:t>
      </w:r>
      <w:r w:rsidRPr="00FD35D9">
        <w:rPr>
          <w:lang w:val="en-GB"/>
        </w:rPr>
        <w:t xml:space="preserve"> the treatment of choice depends on the blood eosinophil count (300</w:t>
      </w:r>
      <w:r>
        <w:rPr>
          <w:lang w:val="en-GB"/>
        </w:rPr>
        <w:t> </w:t>
      </w:r>
      <w:r w:rsidRPr="00FD35D9">
        <w:rPr>
          <w:lang w:val="en-GB"/>
        </w:rPr>
        <w:t>cell</w:t>
      </w:r>
      <w:r>
        <w:rPr>
          <w:lang w:val="en-GB"/>
        </w:rPr>
        <w:t>s</w:t>
      </w:r>
      <w:r w:rsidRPr="00FD35D9">
        <w:rPr>
          <w:lang w:val="en-GB"/>
        </w:rPr>
        <w:t xml:space="preserve"> per microlitre or more</w:t>
      </w:r>
      <w:r>
        <w:rPr>
          <w:lang w:val="en-GB"/>
        </w:rPr>
        <w:t>,</w:t>
      </w:r>
      <w:r w:rsidRPr="00FD35D9">
        <w:rPr>
          <w:lang w:val="en-GB"/>
        </w:rPr>
        <w:t xml:space="preserve"> or 400</w:t>
      </w:r>
      <w:r>
        <w:rPr>
          <w:lang w:val="en-GB"/>
        </w:rPr>
        <w:t> </w:t>
      </w:r>
      <w:r w:rsidRPr="00FD35D9">
        <w:rPr>
          <w:lang w:val="en-GB"/>
        </w:rPr>
        <w:t>cells per microlitre or more) and the number of exacerbations (3</w:t>
      </w:r>
      <w:r>
        <w:rPr>
          <w:lang w:val="en-GB"/>
        </w:rPr>
        <w:t> </w:t>
      </w:r>
      <w:r w:rsidRPr="00FD35D9">
        <w:rPr>
          <w:lang w:val="en-GB"/>
        </w:rPr>
        <w:t>or</w:t>
      </w:r>
      <w:r>
        <w:rPr>
          <w:lang w:val="en-GB"/>
        </w:rPr>
        <w:t> </w:t>
      </w:r>
      <w:r w:rsidRPr="00FD35D9">
        <w:rPr>
          <w:lang w:val="en-GB"/>
        </w:rPr>
        <w:t>4</w:t>
      </w:r>
      <w:r>
        <w:rPr>
          <w:lang w:val="en-GB"/>
        </w:rPr>
        <w:t>,</w:t>
      </w:r>
      <w:r w:rsidRPr="00FD35D9">
        <w:rPr>
          <w:lang w:val="en-GB"/>
        </w:rPr>
        <w:t xml:space="preserve"> or more) or the use of systemic corticosteroids. </w:t>
      </w:r>
      <w:hyperlink r:id="rId21" w:history="1">
        <w:r w:rsidRPr="00FD35D9">
          <w:rPr>
            <w:rStyle w:val="Hyperlink"/>
            <w:lang w:val="en-GB"/>
          </w:rPr>
          <w:t>Omalizumab</w:t>
        </w:r>
      </w:hyperlink>
      <w:r w:rsidRPr="00FD35D9">
        <w:rPr>
          <w:lang w:val="en-GB"/>
        </w:rPr>
        <w:t xml:space="preserve"> is another </w:t>
      </w:r>
      <w:r>
        <w:rPr>
          <w:lang w:val="en-GB"/>
        </w:rPr>
        <w:t>biological</w:t>
      </w:r>
      <w:r w:rsidRPr="00FD35D9">
        <w:rPr>
          <w:lang w:val="en-GB"/>
        </w:rPr>
        <w:t xml:space="preserve"> used for treating severe persistent allergic asthma</w:t>
      </w:r>
      <w:r>
        <w:rPr>
          <w:lang w:val="en-GB"/>
        </w:rPr>
        <w:t xml:space="preserve">. However, it is not used for eosinophilic asthma </w:t>
      </w:r>
      <w:r w:rsidRPr="00FD35D9">
        <w:rPr>
          <w:lang w:val="en-GB"/>
        </w:rPr>
        <w:t>(see section</w:t>
      </w:r>
      <w:r>
        <w:rPr>
          <w:lang w:val="en-GB"/>
        </w:rPr>
        <w:t> </w:t>
      </w:r>
      <w:r w:rsidRPr="00FD35D9">
        <w:rPr>
          <w:lang w:val="en-GB"/>
        </w:rPr>
        <w:t>3.6).</w:t>
      </w:r>
      <w:r w:rsidRPr="00FD35D9" w:rsidDel="00892787">
        <w:rPr>
          <w:lang w:val="en-GB"/>
        </w:rPr>
        <w:t xml:space="preserve"> </w:t>
      </w:r>
      <w:r w:rsidRPr="00FD35D9">
        <w:rPr>
          <w:lang w:val="en-GB"/>
        </w:rPr>
        <w:t xml:space="preserve">There are currently no NICE recommended </w:t>
      </w:r>
      <w:r>
        <w:rPr>
          <w:lang w:val="en-GB"/>
        </w:rPr>
        <w:t>biological</w:t>
      </w:r>
      <w:r w:rsidRPr="00FD35D9">
        <w:rPr>
          <w:lang w:val="en-GB"/>
        </w:rPr>
        <w:t>s for treating severe asthma with type</w:t>
      </w:r>
      <w:r>
        <w:rPr>
          <w:lang w:val="en-GB"/>
        </w:rPr>
        <w:t> </w:t>
      </w:r>
      <w:r w:rsidRPr="00FD35D9">
        <w:rPr>
          <w:lang w:val="en-GB"/>
        </w:rPr>
        <w:t xml:space="preserve">2 inflammation. The committee </w:t>
      </w:r>
      <w:r>
        <w:rPr>
          <w:lang w:val="en-GB"/>
        </w:rPr>
        <w:t>concluded</w:t>
      </w:r>
      <w:r w:rsidRPr="00FD35D9">
        <w:rPr>
          <w:lang w:val="en-GB"/>
        </w:rPr>
        <w:t xml:space="preserve"> that </w:t>
      </w:r>
      <w:bookmarkStart w:id="0" w:name="_Hlk33023968"/>
      <w:r w:rsidRPr="00FD35D9">
        <w:rPr>
          <w:lang w:val="en-GB"/>
        </w:rPr>
        <w:t>dupilumab as add-on treatment is an option for managing uncontrolled severe asthma with type</w:t>
      </w:r>
      <w:r>
        <w:rPr>
          <w:lang w:val="en-GB"/>
        </w:rPr>
        <w:t> </w:t>
      </w:r>
      <w:r w:rsidRPr="00FD35D9">
        <w:rPr>
          <w:lang w:val="en-GB"/>
        </w:rPr>
        <w:t>2 inflammation</w:t>
      </w:r>
      <w:bookmarkEnd w:id="0"/>
      <w:r w:rsidRPr="00FD35D9">
        <w:rPr>
          <w:lang w:val="en-GB"/>
        </w:rPr>
        <w:t>.</w:t>
      </w:r>
    </w:p>
    <w:p w14:paraId="3CDC558C" w14:textId="77777777" w:rsidR="00FA40AB" w:rsidRDefault="00FA40AB" w:rsidP="00FA40AB">
      <w:pPr>
        <w:keepNext/>
        <w:spacing w:before="240" w:after="60" w:line="360" w:lineRule="auto"/>
        <w:outlineLvl w:val="1"/>
        <w:rPr>
          <w:rFonts w:ascii="Arial" w:hAnsi="Arial" w:cs="Arial"/>
          <w:b/>
          <w:bCs/>
          <w:i/>
          <w:iCs/>
          <w:sz w:val="28"/>
          <w:szCs w:val="28"/>
        </w:rPr>
      </w:pPr>
      <w:r w:rsidRPr="00FD35D9">
        <w:rPr>
          <w:rFonts w:ascii="Arial" w:hAnsi="Arial" w:cs="Arial"/>
          <w:b/>
          <w:bCs/>
          <w:i/>
          <w:iCs/>
          <w:sz w:val="28"/>
          <w:szCs w:val="28"/>
        </w:rPr>
        <w:lastRenderedPageBreak/>
        <w:t>Populations</w:t>
      </w:r>
    </w:p>
    <w:p w14:paraId="6BCABC84" w14:textId="77777777" w:rsidR="00FA40AB" w:rsidRPr="00FD35D9" w:rsidRDefault="00FA40AB" w:rsidP="00FA40AB">
      <w:pPr>
        <w:pStyle w:val="Heading3"/>
        <w:rPr>
          <w:i/>
          <w:iCs/>
          <w:sz w:val="28"/>
          <w:szCs w:val="28"/>
        </w:rPr>
      </w:pPr>
      <w:r>
        <w:t>I</w:t>
      </w:r>
      <w:r w:rsidRPr="00FD35D9">
        <w:t xml:space="preserve">t </w:t>
      </w:r>
      <w:r>
        <w:t>is</w:t>
      </w:r>
      <w:r w:rsidRPr="00FD35D9">
        <w:t xml:space="preserve"> challenging to define </w:t>
      </w:r>
      <w:r>
        <w:t>which</w:t>
      </w:r>
      <w:r w:rsidRPr="00FD35D9">
        <w:t xml:space="preserve"> populations </w:t>
      </w:r>
      <w:r>
        <w:t>should be used for decision making</w:t>
      </w:r>
    </w:p>
    <w:p w14:paraId="5BAEF9EE" w14:textId="305F93A4" w:rsidR="00FA40AB" w:rsidRPr="00FD35D9" w:rsidRDefault="00FA40AB" w:rsidP="00FA40AB">
      <w:pPr>
        <w:pStyle w:val="Numberedlevel2text"/>
        <w:numPr>
          <w:ilvl w:val="1"/>
          <w:numId w:val="1"/>
        </w:numPr>
        <w:rPr>
          <w:lang w:val="en-GB"/>
        </w:rPr>
      </w:pPr>
      <w:r w:rsidRPr="00FD35D9">
        <w:rPr>
          <w:lang w:val="en-GB"/>
        </w:rPr>
        <w:t>The</w:t>
      </w:r>
      <w:r>
        <w:rPr>
          <w:lang w:val="en-GB"/>
        </w:rPr>
        <w:t>re a</w:t>
      </w:r>
      <w:r w:rsidRPr="00FD35D9">
        <w:rPr>
          <w:lang w:val="en-GB"/>
        </w:rPr>
        <w:t xml:space="preserve">re </w:t>
      </w:r>
      <w:r>
        <w:rPr>
          <w:lang w:val="en-GB"/>
        </w:rPr>
        <w:t>several</w:t>
      </w:r>
      <w:r w:rsidRPr="00FD35D9">
        <w:rPr>
          <w:lang w:val="en-GB"/>
        </w:rPr>
        <w:t xml:space="preserve"> subgroups to consider when deciding which population </w:t>
      </w:r>
      <w:r>
        <w:rPr>
          <w:lang w:val="en-GB"/>
        </w:rPr>
        <w:t>to use</w:t>
      </w:r>
      <w:r w:rsidRPr="00FD35D9">
        <w:rPr>
          <w:lang w:val="en-GB"/>
        </w:rPr>
        <w:t xml:space="preserve"> for decision making. </w:t>
      </w:r>
      <w:r w:rsidR="00352B32">
        <w:rPr>
          <w:lang w:val="en-GB"/>
        </w:rPr>
        <w:t xml:space="preserve">At </w:t>
      </w:r>
      <w:r w:rsidR="00A4742D">
        <w:rPr>
          <w:lang w:val="en-GB"/>
        </w:rPr>
        <w:t xml:space="preserve">the </w:t>
      </w:r>
      <w:r w:rsidR="00352B32">
        <w:rPr>
          <w:lang w:val="en-GB"/>
        </w:rPr>
        <w:t>first appraisal committee meeting, t</w:t>
      </w:r>
      <w:r w:rsidRPr="00FD35D9">
        <w:rPr>
          <w:lang w:val="en-GB"/>
        </w:rPr>
        <w:t>he committee considered whether the population would need to have a raised eosinophil count</w:t>
      </w:r>
      <w:r>
        <w:rPr>
          <w:lang w:val="en-GB"/>
        </w:rPr>
        <w:t>,</w:t>
      </w:r>
      <w:r w:rsidRPr="00FD35D9">
        <w:rPr>
          <w:lang w:val="en-GB"/>
        </w:rPr>
        <w:t xml:space="preserve"> raised </w:t>
      </w:r>
      <w:proofErr w:type="spellStart"/>
      <w:r w:rsidRPr="00FD35D9">
        <w:rPr>
          <w:lang w:val="en-GB"/>
        </w:rPr>
        <w:t>FeNO</w:t>
      </w:r>
      <w:proofErr w:type="spellEnd"/>
      <w:r w:rsidRPr="00FD35D9">
        <w:rPr>
          <w:lang w:val="en-GB"/>
        </w:rPr>
        <w:t xml:space="preserve"> or both based on the ‘and/or’ wording in the marketing authorisation and GINA recommendations for these biomarkers.</w:t>
      </w:r>
      <w:r>
        <w:rPr>
          <w:lang w:val="en-GB"/>
        </w:rPr>
        <w:t xml:space="preserve"> </w:t>
      </w:r>
      <w:r w:rsidRPr="00FD35D9">
        <w:rPr>
          <w:lang w:val="en-GB"/>
        </w:rPr>
        <w:t xml:space="preserve">The committee also </w:t>
      </w:r>
      <w:r>
        <w:rPr>
          <w:lang w:val="en-GB"/>
        </w:rPr>
        <w:t>acknowledged</w:t>
      </w:r>
      <w:r w:rsidRPr="00FD35D9">
        <w:rPr>
          <w:lang w:val="en-GB"/>
        </w:rPr>
        <w:t xml:space="preserve"> that there </w:t>
      </w:r>
      <w:r>
        <w:rPr>
          <w:lang w:val="en-GB"/>
        </w:rPr>
        <w:t>a</w:t>
      </w:r>
      <w:r w:rsidRPr="00FD35D9">
        <w:rPr>
          <w:lang w:val="en-GB"/>
        </w:rPr>
        <w:t>re subgroups on or off maintenance oral corticosteroids</w:t>
      </w:r>
      <w:r>
        <w:rPr>
          <w:lang w:val="en-GB"/>
        </w:rPr>
        <w:t>,</w:t>
      </w:r>
      <w:r w:rsidRPr="00FD35D9">
        <w:rPr>
          <w:lang w:val="en-GB"/>
        </w:rPr>
        <w:t xml:space="preserve"> or both (mixed proportions on and off oral corticosteroids)</w:t>
      </w:r>
      <w:r>
        <w:rPr>
          <w:lang w:val="en-GB"/>
        </w:rPr>
        <w:t>,</w:t>
      </w:r>
      <w:r w:rsidRPr="00FD35D9">
        <w:rPr>
          <w:lang w:val="en-GB"/>
        </w:rPr>
        <w:t xml:space="preserve"> and populations eligible or not eligible for </w:t>
      </w:r>
      <w:r>
        <w:rPr>
          <w:lang w:val="en-GB"/>
        </w:rPr>
        <w:t>biological</w:t>
      </w:r>
      <w:r w:rsidRPr="00FD35D9">
        <w:rPr>
          <w:lang w:val="en-GB"/>
        </w:rPr>
        <w:t xml:space="preserve">s. In addition, </w:t>
      </w:r>
      <w:r>
        <w:rPr>
          <w:lang w:val="en-GB"/>
        </w:rPr>
        <w:t>it</w:t>
      </w:r>
      <w:r w:rsidRPr="00FD35D9">
        <w:rPr>
          <w:lang w:val="en-GB"/>
        </w:rPr>
        <w:t xml:space="preserve"> acknowledged the overlap between the populations in the marketing authorisation, </w:t>
      </w:r>
      <w:proofErr w:type="gramStart"/>
      <w:r w:rsidRPr="00FD35D9">
        <w:rPr>
          <w:lang w:val="en-GB"/>
        </w:rPr>
        <w:t>trials</w:t>
      </w:r>
      <w:proofErr w:type="gramEnd"/>
      <w:r w:rsidRPr="00FD35D9">
        <w:rPr>
          <w:lang w:val="en-GB"/>
        </w:rPr>
        <w:t xml:space="preserve"> and company decision problem</w:t>
      </w:r>
      <w:r w:rsidR="00352B32">
        <w:rPr>
          <w:lang w:val="en-GB"/>
        </w:rPr>
        <w:t xml:space="preserve"> at </w:t>
      </w:r>
      <w:r w:rsidR="00A4742D">
        <w:rPr>
          <w:lang w:val="en-GB"/>
        </w:rPr>
        <w:t xml:space="preserve">the </w:t>
      </w:r>
      <w:r w:rsidR="00352B32">
        <w:rPr>
          <w:lang w:val="en-GB"/>
        </w:rPr>
        <w:t>first appraisal committee meeting</w:t>
      </w:r>
      <w:r w:rsidRPr="00FD35D9">
        <w:rPr>
          <w:lang w:val="en-GB"/>
        </w:rPr>
        <w:t>:</w:t>
      </w:r>
    </w:p>
    <w:p w14:paraId="62B7018A" w14:textId="77777777" w:rsidR="00FA40AB" w:rsidRPr="00FD35D9" w:rsidRDefault="00FA40AB" w:rsidP="00FA40AB">
      <w:pPr>
        <w:pStyle w:val="Bulletindent1"/>
      </w:pPr>
      <w:r>
        <w:t xml:space="preserve">The </w:t>
      </w:r>
      <w:r w:rsidRPr="00FD35D9">
        <w:t xml:space="preserve">marketing authorisation population </w:t>
      </w:r>
      <w:r>
        <w:t>is</w:t>
      </w:r>
      <w:r w:rsidRPr="00FD35D9">
        <w:t xml:space="preserve"> broad</w:t>
      </w:r>
      <w:r>
        <w:t>,</w:t>
      </w:r>
      <w:r w:rsidRPr="00FD35D9">
        <w:t xml:space="preserve"> consisting of people with uncontrolled severe asthma with type</w:t>
      </w:r>
      <w:r>
        <w:t> </w:t>
      </w:r>
      <w:r w:rsidRPr="00FD35D9">
        <w:t>2 inflammation on high</w:t>
      </w:r>
      <w:r>
        <w:t>-</w:t>
      </w:r>
      <w:r w:rsidRPr="00FD35D9">
        <w:t xml:space="preserve">dose </w:t>
      </w:r>
      <w:r>
        <w:t>i</w:t>
      </w:r>
      <w:r w:rsidRPr="00FD35D9">
        <w:t>nhaled corticosteroids plus 1</w:t>
      </w:r>
      <w:r>
        <w:t> </w:t>
      </w:r>
      <w:r w:rsidRPr="00FD35D9">
        <w:t xml:space="preserve">maintenance treatment and with </w:t>
      </w:r>
      <w:r>
        <w:t xml:space="preserve">a blood </w:t>
      </w:r>
      <w:r w:rsidRPr="00FD35D9">
        <w:t xml:space="preserve">eosinophil count and </w:t>
      </w:r>
      <w:proofErr w:type="spellStart"/>
      <w:r w:rsidRPr="00FD35D9">
        <w:t>FeNO</w:t>
      </w:r>
      <w:proofErr w:type="spellEnd"/>
      <w:r w:rsidRPr="00FD35D9">
        <w:t xml:space="preserve"> as described by GINA</w:t>
      </w:r>
      <w:r>
        <w:t>.</w:t>
      </w:r>
    </w:p>
    <w:p w14:paraId="21C3026C" w14:textId="77777777" w:rsidR="00FA40AB" w:rsidRPr="00FD35D9" w:rsidRDefault="00FA40AB" w:rsidP="00FA40AB">
      <w:pPr>
        <w:pStyle w:val="Bulletindent1"/>
      </w:pPr>
      <w:r>
        <w:t>The c</w:t>
      </w:r>
      <w:r w:rsidRPr="00FD35D9">
        <w:t>linical trial</w:t>
      </w:r>
      <w:r>
        <w:t>s</w:t>
      </w:r>
      <w:r w:rsidRPr="00FD35D9">
        <w:t xml:space="preserve"> (DRI12544, QUEST and VENTURE) recruited people with 1</w:t>
      </w:r>
      <w:r>
        <w:t> </w:t>
      </w:r>
      <w:r w:rsidRPr="00FD35D9">
        <w:t xml:space="preserve">or more exacerbation in the previous year and no restrictions on blood eosinophils and </w:t>
      </w:r>
      <w:proofErr w:type="spellStart"/>
      <w:r w:rsidRPr="00FD35D9">
        <w:t>FeNO</w:t>
      </w:r>
      <w:proofErr w:type="spellEnd"/>
      <w:r>
        <w:t>.</w:t>
      </w:r>
    </w:p>
    <w:p w14:paraId="5140A34E" w14:textId="392E469C" w:rsidR="00FA40AB" w:rsidRDefault="00FA40AB" w:rsidP="00B272C7">
      <w:pPr>
        <w:pStyle w:val="Numberedlevel2text"/>
        <w:ind w:left="1440" w:hanging="1440"/>
      </w:pPr>
      <w:r>
        <w:t xml:space="preserve">The </w:t>
      </w:r>
      <w:r w:rsidRPr="00FD35D9">
        <w:t xml:space="preserve">company’s </w:t>
      </w:r>
      <w:r w:rsidR="008A2C65">
        <w:t xml:space="preserve">updated </w:t>
      </w:r>
      <w:r w:rsidRPr="00FD35D9">
        <w:t>decision problem (base</w:t>
      </w:r>
      <w:r>
        <w:t xml:space="preserve"> </w:t>
      </w:r>
      <w:r w:rsidRPr="00FD35D9">
        <w:t>case)</w:t>
      </w:r>
      <w:r w:rsidR="009E6F9C">
        <w:rPr>
          <w:lang w:val="en-GB"/>
        </w:rPr>
        <w:t xml:space="preserve"> </w:t>
      </w:r>
      <w:r w:rsidRPr="00FD35D9">
        <w:t>was in a subpopulation of people</w:t>
      </w:r>
      <w:r w:rsidR="00206800">
        <w:t xml:space="preserve"> </w:t>
      </w:r>
      <w:r w:rsidR="00EF0CEE">
        <w:rPr>
          <w:lang w:val="en-US"/>
        </w:rPr>
        <w:t xml:space="preserve">who are </w:t>
      </w:r>
      <w:r w:rsidR="00E66276">
        <w:rPr>
          <w:lang w:val="en-US"/>
        </w:rPr>
        <w:t xml:space="preserve">not </w:t>
      </w:r>
      <w:r w:rsidR="00EF0CEE">
        <w:rPr>
          <w:lang w:val="en-US"/>
        </w:rPr>
        <w:t>eligible for biological</w:t>
      </w:r>
      <w:r w:rsidR="00E66276">
        <w:rPr>
          <w:lang w:val="en-US"/>
        </w:rPr>
        <w:t>s</w:t>
      </w:r>
      <w:r w:rsidR="00EF0CEE">
        <w:rPr>
          <w:lang w:val="en-US"/>
        </w:rPr>
        <w:t xml:space="preserve"> </w:t>
      </w:r>
      <w:r w:rsidR="009E6F9C">
        <w:rPr>
          <w:lang w:val="en-US"/>
        </w:rPr>
        <w:t>or who did not respond to biological</w:t>
      </w:r>
      <w:r w:rsidR="00E66276">
        <w:rPr>
          <w:lang w:val="en-US"/>
        </w:rPr>
        <w:t xml:space="preserve"> therapy</w:t>
      </w:r>
      <w:r w:rsidR="009E6F9C">
        <w:rPr>
          <w:lang w:val="en-US"/>
        </w:rPr>
        <w:t>,</w:t>
      </w:r>
      <w:r w:rsidRPr="00FD35D9">
        <w:t xml:space="preserve">based on </w:t>
      </w:r>
      <w:r>
        <w:t xml:space="preserve">a </w:t>
      </w:r>
      <w:proofErr w:type="spellStart"/>
      <w:r w:rsidRPr="00FD35D9">
        <w:t>posthoc</w:t>
      </w:r>
      <w:proofErr w:type="spellEnd"/>
      <w:r w:rsidRPr="00FD35D9">
        <w:t xml:space="preserve"> analysis of the QUEST data</w:t>
      </w:r>
      <w:r w:rsidR="00CD05CA">
        <w:rPr>
          <w:lang w:val="en-GB"/>
        </w:rPr>
        <w:t xml:space="preserve">. They were </w:t>
      </w:r>
      <w:r w:rsidR="00C566F6">
        <w:rPr>
          <w:lang w:val="en-GB"/>
        </w:rPr>
        <w:t xml:space="preserve">people aged 12 and older, with blood eosinophils counts of </w:t>
      </w:r>
      <w:r w:rsidR="00C566F6" w:rsidRPr="00163A6C">
        <w:t xml:space="preserve">150 cells per </w:t>
      </w:r>
      <w:r w:rsidR="00C566F6" w:rsidRPr="005729E1">
        <w:t>microlitre or more</w:t>
      </w:r>
      <w:r w:rsidR="00C566F6">
        <w:rPr>
          <w:lang w:val="en-GB"/>
        </w:rPr>
        <w:t xml:space="preserve"> and a fractional exhaled nitric oxide of 25 or more, who have had at least 4 exacerbations in the previous 12 months and who are </w:t>
      </w:r>
      <w:r w:rsidR="00E66276">
        <w:rPr>
          <w:lang w:val="en-GB"/>
        </w:rPr>
        <w:t xml:space="preserve">not </w:t>
      </w:r>
      <w:r w:rsidR="00C566F6">
        <w:rPr>
          <w:lang w:val="en-GB"/>
        </w:rPr>
        <w:t>eligible for biologicals or did not respond to</w:t>
      </w:r>
      <w:r w:rsidR="00E66276">
        <w:rPr>
          <w:lang w:val="en-GB"/>
        </w:rPr>
        <w:t xml:space="preserve"> </w:t>
      </w:r>
      <w:r w:rsidR="00C566F6">
        <w:rPr>
          <w:lang w:val="en-GB"/>
        </w:rPr>
        <w:t>biological therapy</w:t>
      </w:r>
      <w:r w:rsidR="00CD05CA">
        <w:rPr>
          <w:lang w:val="en-GB"/>
        </w:rPr>
        <w:t xml:space="preserve"> and will be referred to as the updated population hereafter. </w:t>
      </w:r>
      <w:r w:rsidR="00C566F6">
        <w:rPr>
          <w:lang w:val="en-GB"/>
        </w:rPr>
        <w:t xml:space="preserve">The company considered that this narrower population represented people with highest unmet need </w:t>
      </w:r>
      <w:r w:rsidR="00C566F6">
        <w:rPr>
          <w:lang w:val="en-GB"/>
        </w:rPr>
        <w:lastRenderedPageBreak/>
        <w:t>and can be split in</w:t>
      </w:r>
      <w:r w:rsidR="00E857B4">
        <w:rPr>
          <w:lang w:val="en-GB"/>
        </w:rPr>
        <w:t>to</w:t>
      </w:r>
      <w:r w:rsidR="00C566F6">
        <w:rPr>
          <w:lang w:val="en-GB"/>
        </w:rPr>
        <w:t xml:space="preserve"> 3 subgroups: adolescents who are aged 12 to 17, adults who are </w:t>
      </w:r>
      <w:r w:rsidR="00E66276">
        <w:rPr>
          <w:lang w:val="en-GB"/>
        </w:rPr>
        <w:t xml:space="preserve">not </w:t>
      </w:r>
      <w:r w:rsidR="00C566F6">
        <w:rPr>
          <w:lang w:val="en-GB"/>
        </w:rPr>
        <w:t xml:space="preserve">eligible </w:t>
      </w:r>
      <w:r w:rsidR="00E66276">
        <w:rPr>
          <w:lang w:val="en-GB"/>
        </w:rPr>
        <w:t>for</w:t>
      </w:r>
      <w:r w:rsidR="00C566F6">
        <w:rPr>
          <w:lang w:val="en-GB"/>
        </w:rPr>
        <w:t xml:space="preserve"> biological</w:t>
      </w:r>
      <w:r w:rsidR="00E66276">
        <w:rPr>
          <w:lang w:val="en-GB"/>
        </w:rPr>
        <w:t>s</w:t>
      </w:r>
      <w:r w:rsidR="00C566F6">
        <w:rPr>
          <w:lang w:val="en-GB"/>
        </w:rPr>
        <w:t xml:space="preserve"> (blood eosinophil count 150 to 299) and adults who previously received biologic</w:t>
      </w:r>
      <w:r w:rsidR="005B6AE5">
        <w:rPr>
          <w:lang w:val="en-GB"/>
        </w:rPr>
        <w:t>al</w:t>
      </w:r>
      <w:r w:rsidR="00E66276">
        <w:rPr>
          <w:lang w:val="en-GB"/>
        </w:rPr>
        <w:t>s</w:t>
      </w:r>
      <w:r w:rsidR="00C566F6">
        <w:rPr>
          <w:lang w:val="en-GB"/>
        </w:rPr>
        <w:t xml:space="preserve"> but did not respond (blood eosinophil count of 300 and more). The committee noted that the comparator for the updated population is standard care and other biologicals</w:t>
      </w:r>
      <w:r w:rsidR="00EF0CEE">
        <w:rPr>
          <w:lang w:val="en-GB"/>
        </w:rPr>
        <w:t xml:space="preserve"> were only recommended in</w:t>
      </w:r>
      <w:r w:rsidR="00C566F6">
        <w:rPr>
          <w:lang w:val="en-GB"/>
        </w:rPr>
        <w:t xml:space="preserve"> </w:t>
      </w:r>
      <w:r w:rsidR="00EF0CEE">
        <w:rPr>
          <w:lang w:val="en-GB"/>
        </w:rPr>
        <w:t xml:space="preserve">adults </w:t>
      </w:r>
      <w:r w:rsidR="009E6F9C">
        <w:rPr>
          <w:lang w:val="en-GB"/>
        </w:rPr>
        <w:t xml:space="preserve">in </w:t>
      </w:r>
      <w:r w:rsidR="00EF0CEE">
        <w:rPr>
          <w:lang w:val="en-GB"/>
        </w:rPr>
        <w:t>NICE guidance</w:t>
      </w:r>
      <w:r w:rsidR="00C566F6">
        <w:rPr>
          <w:lang w:val="en-GB"/>
        </w:rPr>
        <w:t>. The committee concluded that the updated population was suitable for decision making.</w:t>
      </w:r>
    </w:p>
    <w:p w14:paraId="37C5B869" w14:textId="77777777" w:rsidR="00FA40AB" w:rsidRDefault="00FA40AB" w:rsidP="00FA40AB">
      <w:pPr>
        <w:pStyle w:val="Heading2"/>
      </w:pPr>
      <w:r w:rsidRPr="00FD35D9">
        <w:t>Comparators</w:t>
      </w:r>
    </w:p>
    <w:p w14:paraId="37405C27" w14:textId="71CAD768" w:rsidR="00FA40AB" w:rsidRPr="00D160AD" w:rsidRDefault="006B65DB" w:rsidP="00FA40AB">
      <w:pPr>
        <w:pStyle w:val="Heading3"/>
      </w:pPr>
      <w:r>
        <w:t xml:space="preserve">Standard care is the appropriate comparator in the </w:t>
      </w:r>
      <w:r w:rsidR="00DA1D8A">
        <w:t xml:space="preserve">updated </w:t>
      </w:r>
      <w:r>
        <w:t>population</w:t>
      </w:r>
    </w:p>
    <w:p w14:paraId="3B1C0D00" w14:textId="77777777" w:rsidR="00FA40AB" w:rsidRPr="00FD35D9" w:rsidRDefault="00FA40AB" w:rsidP="00FA40AB">
      <w:pPr>
        <w:pStyle w:val="Numberedlevel2text"/>
        <w:numPr>
          <w:ilvl w:val="1"/>
          <w:numId w:val="1"/>
        </w:numPr>
        <w:rPr>
          <w:lang w:val="en-GB"/>
        </w:rPr>
      </w:pPr>
      <w:r w:rsidRPr="00FD35D9">
        <w:rPr>
          <w:lang w:val="en-GB"/>
        </w:rPr>
        <w:t xml:space="preserve">The </w:t>
      </w:r>
      <w:r>
        <w:rPr>
          <w:lang w:val="en-GB"/>
        </w:rPr>
        <w:t xml:space="preserve">clinical trial </w:t>
      </w:r>
      <w:r w:rsidRPr="00FD35D9">
        <w:rPr>
          <w:lang w:val="en-GB"/>
        </w:rPr>
        <w:t xml:space="preserve">populations included people with differing severity of asthma (defined by eosinophil level and the number of exacerbations in the previous year). </w:t>
      </w:r>
      <w:r>
        <w:rPr>
          <w:lang w:val="en-GB"/>
        </w:rPr>
        <w:t>These populations</w:t>
      </w:r>
      <w:r w:rsidRPr="00FD35D9">
        <w:rPr>
          <w:lang w:val="en-GB"/>
        </w:rPr>
        <w:t xml:space="preserve"> therefore included people who would be offered different treatment options in the NHS:</w:t>
      </w:r>
    </w:p>
    <w:p w14:paraId="3E2B81C1" w14:textId="77777777" w:rsidR="00FA40AB" w:rsidRPr="00FD35D9" w:rsidRDefault="00FA40AB" w:rsidP="00FA40AB">
      <w:pPr>
        <w:pStyle w:val="Bulletindent1"/>
      </w:pPr>
      <w:r>
        <w:t>P</w:t>
      </w:r>
      <w:r w:rsidRPr="00FD35D9">
        <w:t>eople with a blood eosinophil count of 300</w:t>
      </w:r>
      <w:r>
        <w:t> </w:t>
      </w:r>
      <w:r w:rsidRPr="00FD35D9">
        <w:t>cells per microlitre or more, who have had at least 4</w:t>
      </w:r>
      <w:r>
        <w:t> </w:t>
      </w:r>
      <w:r w:rsidRPr="00FD35D9">
        <w:t>exacerbations in the previous 12</w:t>
      </w:r>
      <w:r>
        <w:t> </w:t>
      </w:r>
      <w:r w:rsidRPr="00FD35D9">
        <w:t xml:space="preserve">months or who are taking oral corticosteroids, can have mepolizumab or </w:t>
      </w:r>
      <w:proofErr w:type="spellStart"/>
      <w:r w:rsidRPr="00FD35D9">
        <w:t>benralizumab</w:t>
      </w:r>
      <w:proofErr w:type="spellEnd"/>
      <w:r>
        <w:t>.</w:t>
      </w:r>
    </w:p>
    <w:p w14:paraId="261DB144" w14:textId="77777777" w:rsidR="00FA40AB" w:rsidRPr="00FD35D9" w:rsidRDefault="00FA40AB" w:rsidP="00FA40AB">
      <w:pPr>
        <w:pStyle w:val="Bulletindent1"/>
      </w:pPr>
      <w:r>
        <w:t>P</w:t>
      </w:r>
      <w:r w:rsidRPr="00FD35D9">
        <w:t>eople with a blood eosinophil count of 400</w:t>
      </w:r>
      <w:r>
        <w:t> </w:t>
      </w:r>
      <w:r w:rsidRPr="00FD35D9">
        <w:t>cells per microlitre or more, who have had at least 3</w:t>
      </w:r>
      <w:r>
        <w:t> </w:t>
      </w:r>
      <w:r w:rsidRPr="00FD35D9">
        <w:t>exacerbations in the previous 12</w:t>
      </w:r>
      <w:r>
        <w:t> </w:t>
      </w:r>
      <w:r w:rsidRPr="00FD35D9">
        <w:t xml:space="preserve">months, can have </w:t>
      </w:r>
      <w:proofErr w:type="spellStart"/>
      <w:r w:rsidRPr="00FD35D9">
        <w:t>reslizumab</w:t>
      </w:r>
      <w:proofErr w:type="spellEnd"/>
      <w:r w:rsidRPr="00FD35D9">
        <w:t xml:space="preserve"> or </w:t>
      </w:r>
      <w:proofErr w:type="spellStart"/>
      <w:r w:rsidRPr="00FD35D9">
        <w:t>benralizumab</w:t>
      </w:r>
      <w:proofErr w:type="spellEnd"/>
      <w:r>
        <w:t>.</w:t>
      </w:r>
    </w:p>
    <w:p w14:paraId="5C26439C" w14:textId="77777777" w:rsidR="00FA40AB" w:rsidRPr="00FD35D9" w:rsidRDefault="00FA40AB" w:rsidP="00FA40AB">
      <w:pPr>
        <w:pStyle w:val="Bulletindent1"/>
      </w:pPr>
      <w:r>
        <w:t>P</w:t>
      </w:r>
      <w:r w:rsidRPr="00FD35D9">
        <w:t xml:space="preserve">eople not eligible for </w:t>
      </w:r>
      <w:r>
        <w:t>biological</w:t>
      </w:r>
      <w:r w:rsidRPr="00FD35D9">
        <w:t xml:space="preserve">s </w:t>
      </w:r>
      <w:r>
        <w:t>(defined below) are</w:t>
      </w:r>
      <w:r w:rsidRPr="00FD35D9">
        <w:t xml:space="preserve"> offered standard care:</w:t>
      </w:r>
    </w:p>
    <w:p w14:paraId="42FCA392" w14:textId="170A443C" w:rsidR="00FA40AB" w:rsidRPr="00FD35D9" w:rsidRDefault="00FA40AB" w:rsidP="00FA40AB">
      <w:pPr>
        <w:pStyle w:val="Bulletindent2"/>
      </w:pPr>
      <w:r>
        <w:t xml:space="preserve">a </w:t>
      </w:r>
      <w:r w:rsidRPr="00FD35D9">
        <w:t>blood eosinophil count of between 150</w:t>
      </w:r>
      <w:r>
        <w:t> and</w:t>
      </w:r>
      <w:r w:rsidRPr="00FD35D9">
        <w:t xml:space="preserve"> 299</w:t>
      </w:r>
      <w:r>
        <w:t> </w:t>
      </w:r>
      <w:proofErr w:type="spellStart"/>
      <w:r w:rsidRPr="00FD35D9">
        <w:t>cells</w:t>
      </w:r>
      <w:proofErr w:type="spellEnd"/>
      <w:r w:rsidRPr="00FD35D9">
        <w:t xml:space="preserve"> per microlitre and 4</w:t>
      </w:r>
      <w:r>
        <w:t> </w:t>
      </w:r>
      <w:r w:rsidRPr="00FD35D9">
        <w:t>or more exacerbations</w:t>
      </w:r>
      <w:r w:rsidR="00303268">
        <w:t xml:space="preserve"> (not eligible for mepolizumab or </w:t>
      </w:r>
      <w:proofErr w:type="spellStart"/>
      <w:r w:rsidR="00303268">
        <w:t>benralizumab</w:t>
      </w:r>
      <w:proofErr w:type="spellEnd"/>
      <w:r w:rsidR="00303268">
        <w:t>)</w:t>
      </w:r>
    </w:p>
    <w:p w14:paraId="711BE117" w14:textId="30A5B3DA" w:rsidR="00FA40AB" w:rsidRPr="00FD35D9" w:rsidRDefault="00FA40AB" w:rsidP="00FA40AB">
      <w:pPr>
        <w:pStyle w:val="Bulletindent2"/>
      </w:pPr>
      <w:r>
        <w:t xml:space="preserve">a </w:t>
      </w:r>
      <w:r w:rsidRPr="00FD35D9">
        <w:t>blood eosinophil count of between 150</w:t>
      </w:r>
      <w:r>
        <w:t> and</w:t>
      </w:r>
      <w:r w:rsidRPr="00FD35D9">
        <w:t xml:space="preserve"> 399</w:t>
      </w:r>
      <w:r>
        <w:t> </w:t>
      </w:r>
      <w:proofErr w:type="spellStart"/>
      <w:r w:rsidRPr="00FD35D9">
        <w:t>cells</w:t>
      </w:r>
      <w:proofErr w:type="spellEnd"/>
      <w:r w:rsidRPr="00FD35D9">
        <w:t xml:space="preserve"> per microlitre and 3</w:t>
      </w:r>
      <w:r>
        <w:t> </w:t>
      </w:r>
      <w:r w:rsidRPr="00FD35D9">
        <w:t>or more exacerbations</w:t>
      </w:r>
      <w:r w:rsidR="00303268">
        <w:t xml:space="preserve"> (not eligible for </w:t>
      </w:r>
      <w:proofErr w:type="spellStart"/>
      <w:r w:rsidR="00303268">
        <w:t>re</w:t>
      </w:r>
      <w:r w:rsidR="00187522">
        <w:t>s</w:t>
      </w:r>
      <w:r w:rsidR="00EF67F6">
        <w:t>li</w:t>
      </w:r>
      <w:r w:rsidR="00187522">
        <w:t>z</w:t>
      </w:r>
      <w:r w:rsidR="00303268">
        <w:t>umab</w:t>
      </w:r>
      <w:proofErr w:type="spellEnd"/>
      <w:r w:rsidR="00303268">
        <w:t xml:space="preserve"> or </w:t>
      </w:r>
      <w:proofErr w:type="spellStart"/>
      <w:r w:rsidR="00303268">
        <w:t>benralizumab</w:t>
      </w:r>
      <w:proofErr w:type="spellEnd"/>
      <w:r w:rsidR="00303268">
        <w:t>)</w:t>
      </w:r>
    </w:p>
    <w:p w14:paraId="69F89641" w14:textId="5FF185F7" w:rsidR="00C566F6" w:rsidRDefault="00FA40AB" w:rsidP="001650B3">
      <w:pPr>
        <w:pStyle w:val="Bulletindent2"/>
      </w:pPr>
      <w:r>
        <w:lastRenderedPageBreak/>
        <w:t xml:space="preserve">a </w:t>
      </w:r>
      <w:r w:rsidRPr="00FD35D9">
        <w:t>blood eosinophil count of less than 150</w:t>
      </w:r>
      <w:r>
        <w:t> </w:t>
      </w:r>
      <w:r w:rsidRPr="00FD35D9">
        <w:t xml:space="preserve">cells per microlitre and </w:t>
      </w:r>
      <w:proofErr w:type="spellStart"/>
      <w:r w:rsidRPr="00FD35D9">
        <w:t>FeNO</w:t>
      </w:r>
      <w:proofErr w:type="spellEnd"/>
      <w:r w:rsidRPr="00FD35D9">
        <w:t xml:space="preserve"> of 25</w:t>
      </w:r>
      <w:r>
        <w:t> </w:t>
      </w:r>
      <w:r w:rsidRPr="00FD35D9">
        <w:t>parts per billion or more</w:t>
      </w:r>
      <w:r w:rsidR="00303268">
        <w:t xml:space="preserve"> (not eligible for any other biological)</w:t>
      </w:r>
    </w:p>
    <w:p w14:paraId="2162832B" w14:textId="1C6802C8" w:rsidR="001650B3" w:rsidRDefault="006A537E" w:rsidP="00692D86">
      <w:pPr>
        <w:pStyle w:val="Bulletindent2"/>
        <w:numPr>
          <w:ilvl w:val="0"/>
          <w:numId w:val="4"/>
        </w:numPr>
      </w:pPr>
      <w:r>
        <w:t xml:space="preserve">People </w:t>
      </w:r>
      <w:r w:rsidR="00C566F6">
        <w:t>who did not respond to biological</w:t>
      </w:r>
      <w:r w:rsidR="00E66276">
        <w:t xml:space="preserve"> therapy</w:t>
      </w:r>
      <w:r>
        <w:t xml:space="preserve"> are offered standard care</w:t>
      </w:r>
      <w:r w:rsidR="00FA40AB">
        <w:br/>
      </w:r>
      <w:r w:rsidR="00D34CF9">
        <w:t xml:space="preserve">The committee </w:t>
      </w:r>
      <w:r w:rsidR="00006312">
        <w:t xml:space="preserve">concluded that </w:t>
      </w:r>
      <w:r w:rsidR="00FE235F">
        <w:t xml:space="preserve">standard care was an appropriate comparator </w:t>
      </w:r>
      <w:r w:rsidR="00DA1D8A">
        <w:t>in the company’s updated population, that is</w:t>
      </w:r>
      <w:r w:rsidR="00FE235F">
        <w:t xml:space="preserve"> people not eligible </w:t>
      </w:r>
      <w:r w:rsidR="00EF0CEE">
        <w:t>for</w:t>
      </w:r>
      <w:r w:rsidR="00FE235F">
        <w:t xml:space="preserve"> biologic</w:t>
      </w:r>
      <w:r w:rsidR="002135E1">
        <w:t>al</w:t>
      </w:r>
      <w:r w:rsidR="00FE235F">
        <w:t>s</w:t>
      </w:r>
      <w:r w:rsidR="00FE235F" w:rsidRPr="00FE235F">
        <w:rPr>
          <w:rStyle w:val="CommentReference"/>
          <w:rFonts w:cs="Arial"/>
          <w:sz w:val="24"/>
          <w:szCs w:val="24"/>
        </w:rPr>
        <w:t xml:space="preserve"> o</w:t>
      </w:r>
      <w:r w:rsidR="00FE235F" w:rsidRPr="00FE235F">
        <w:rPr>
          <w:rFonts w:cs="Arial"/>
        </w:rPr>
        <w:t>r</w:t>
      </w:r>
      <w:r w:rsidR="00FE235F">
        <w:t xml:space="preserve"> those who did not respond to biologic</w:t>
      </w:r>
      <w:r w:rsidR="002135E1">
        <w:t>al</w:t>
      </w:r>
      <w:r w:rsidR="00FE235F">
        <w:t xml:space="preserve"> therapy</w:t>
      </w:r>
      <w:r w:rsidR="00DA1D8A">
        <w:t>.</w:t>
      </w:r>
      <w:r w:rsidR="00006312">
        <w:t xml:space="preserve"> </w:t>
      </w:r>
    </w:p>
    <w:p w14:paraId="249AEC2D" w14:textId="77777777" w:rsidR="00FA40AB" w:rsidRPr="00FD35D9" w:rsidRDefault="00FA40AB" w:rsidP="00FA40AB">
      <w:pPr>
        <w:keepNext/>
        <w:spacing w:before="240" w:after="60" w:line="360" w:lineRule="auto"/>
        <w:outlineLvl w:val="1"/>
        <w:rPr>
          <w:rFonts w:ascii="Arial" w:hAnsi="Arial" w:cs="Arial"/>
          <w:b/>
          <w:bCs/>
          <w:i/>
          <w:iCs/>
          <w:sz w:val="28"/>
          <w:szCs w:val="28"/>
        </w:rPr>
      </w:pPr>
      <w:r w:rsidRPr="00FD35D9">
        <w:rPr>
          <w:rFonts w:ascii="Arial" w:hAnsi="Arial" w:cs="Arial"/>
          <w:b/>
          <w:bCs/>
          <w:i/>
          <w:iCs/>
          <w:sz w:val="28"/>
          <w:szCs w:val="28"/>
        </w:rPr>
        <w:t>Clinical evidence</w:t>
      </w:r>
    </w:p>
    <w:p w14:paraId="66634F50" w14:textId="77777777" w:rsidR="00FA40AB" w:rsidRPr="00FD35D9" w:rsidRDefault="00FA40AB" w:rsidP="00FA40AB">
      <w:pPr>
        <w:keepNext/>
        <w:spacing w:before="240" w:after="60" w:line="360" w:lineRule="auto"/>
        <w:outlineLvl w:val="2"/>
        <w:rPr>
          <w:rFonts w:ascii="Arial" w:hAnsi="Arial" w:cs="Arial"/>
          <w:b/>
          <w:bCs/>
        </w:rPr>
      </w:pPr>
      <w:r w:rsidRPr="00FD35D9">
        <w:rPr>
          <w:rFonts w:ascii="Arial" w:hAnsi="Arial" w:cs="Arial"/>
          <w:b/>
          <w:bCs/>
        </w:rPr>
        <w:t>The evidence on clinical effectiveness is relevant to NHS</w:t>
      </w:r>
      <w:r>
        <w:rPr>
          <w:rFonts w:ascii="Arial" w:hAnsi="Arial" w:cs="Arial"/>
          <w:b/>
          <w:bCs/>
        </w:rPr>
        <w:t xml:space="preserve"> </w:t>
      </w:r>
      <w:r w:rsidRPr="00FD35D9">
        <w:rPr>
          <w:rFonts w:ascii="Arial" w:hAnsi="Arial" w:cs="Arial"/>
          <w:b/>
          <w:bCs/>
        </w:rPr>
        <w:t>clinical practice</w:t>
      </w:r>
    </w:p>
    <w:p w14:paraId="0AE6AF85" w14:textId="77777777" w:rsidR="00FA40AB" w:rsidRPr="00FD35D9" w:rsidRDefault="00FA40AB" w:rsidP="00FA40AB">
      <w:pPr>
        <w:pStyle w:val="Numberedlevel2text"/>
        <w:numPr>
          <w:ilvl w:val="1"/>
          <w:numId w:val="1"/>
        </w:numPr>
        <w:rPr>
          <w:lang w:val="en-GB"/>
        </w:rPr>
      </w:pPr>
      <w:r w:rsidRPr="00FD35D9">
        <w:rPr>
          <w:lang w:val="en-GB"/>
        </w:rPr>
        <w:t>The company’s clinical evidence c</w:t>
      </w:r>
      <w:r>
        <w:rPr>
          <w:lang w:val="en-GB"/>
        </w:rPr>
        <w:t>ame</w:t>
      </w:r>
      <w:r w:rsidRPr="00FD35D9">
        <w:rPr>
          <w:lang w:val="en-GB"/>
        </w:rPr>
        <w:t xml:space="preserve"> from 3 randomised-controlled trials, DRI12544, QUEST and VENTURE. These compared dupilumab with placebo in people aged 12</w:t>
      </w:r>
      <w:r>
        <w:rPr>
          <w:lang w:val="en-GB"/>
        </w:rPr>
        <w:t> </w:t>
      </w:r>
      <w:r w:rsidRPr="00FD35D9">
        <w:rPr>
          <w:lang w:val="en-GB"/>
        </w:rPr>
        <w:t>years and over (except DRI12544,</w:t>
      </w:r>
      <w:r>
        <w:rPr>
          <w:lang w:val="en-GB"/>
        </w:rPr>
        <w:t xml:space="preserve"> which only included people aged</w:t>
      </w:r>
      <w:r w:rsidRPr="00FD35D9">
        <w:rPr>
          <w:lang w:val="en-GB"/>
        </w:rPr>
        <w:t xml:space="preserve"> 18</w:t>
      </w:r>
      <w:r>
        <w:rPr>
          <w:lang w:val="en-GB"/>
        </w:rPr>
        <w:t> </w:t>
      </w:r>
      <w:r w:rsidRPr="00FD35D9">
        <w:rPr>
          <w:lang w:val="en-GB"/>
        </w:rPr>
        <w:t>years or over) with persistent asthma who had 1</w:t>
      </w:r>
      <w:r>
        <w:rPr>
          <w:lang w:val="en-GB"/>
        </w:rPr>
        <w:t> </w:t>
      </w:r>
      <w:r w:rsidRPr="00FD35D9">
        <w:rPr>
          <w:lang w:val="en-GB"/>
        </w:rPr>
        <w:t>or more exacerbations in the previous year</w:t>
      </w:r>
      <w:r>
        <w:rPr>
          <w:lang w:val="en-GB"/>
        </w:rPr>
        <w:t>. None of the trials had</w:t>
      </w:r>
      <w:r w:rsidRPr="00FD35D9">
        <w:rPr>
          <w:lang w:val="en-GB"/>
        </w:rPr>
        <w:t xml:space="preserve"> restriction</w:t>
      </w:r>
      <w:r>
        <w:rPr>
          <w:lang w:val="en-GB"/>
        </w:rPr>
        <w:t>s</w:t>
      </w:r>
      <w:r w:rsidRPr="00FD35D9">
        <w:rPr>
          <w:lang w:val="en-GB"/>
        </w:rPr>
        <w:t xml:space="preserve"> on blood eosinophils or </w:t>
      </w:r>
      <w:proofErr w:type="spellStart"/>
      <w:r>
        <w:rPr>
          <w:lang w:val="en-GB"/>
        </w:rPr>
        <w:t>FeNO</w:t>
      </w:r>
      <w:proofErr w:type="spellEnd"/>
      <w:r w:rsidRPr="00FD35D9">
        <w:rPr>
          <w:lang w:val="en-GB"/>
        </w:rPr>
        <w:t>. DRI12544 and QUEST included people with moderate</w:t>
      </w:r>
      <w:r>
        <w:rPr>
          <w:lang w:val="en-GB"/>
        </w:rPr>
        <w:t>-</w:t>
      </w:r>
      <w:r w:rsidRPr="00FD35D9">
        <w:rPr>
          <w:lang w:val="en-GB"/>
        </w:rPr>
        <w:t>to</w:t>
      </w:r>
      <w:r>
        <w:rPr>
          <w:lang w:val="en-GB"/>
        </w:rPr>
        <w:t>-</w:t>
      </w:r>
      <w:r w:rsidRPr="00FD35D9">
        <w:rPr>
          <w:lang w:val="en-GB"/>
        </w:rPr>
        <w:t xml:space="preserve">severe asthma not on maintenance oral corticosteroids. VENTURE included people with severe </w:t>
      </w:r>
      <w:r>
        <w:rPr>
          <w:lang w:val="en-GB"/>
        </w:rPr>
        <w:t>cortico</w:t>
      </w:r>
      <w:r w:rsidRPr="00FD35D9">
        <w:rPr>
          <w:lang w:val="en-GB"/>
        </w:rPr>
        <w:t>steroid-dependent asthma (on maintenance corticosteroids). The 3</w:t>
      </w:r>
      <w:r>
        <w:rPr>
          <w:lang w:val="en-GB"/>
        </w:rPr>
        <w:t> </w:t>
      </w:r>
      <w:r w:rsidRPr="00FD35D9">
        <w:rPr>
          <w:lang w:val="en-GB"/>
        </w:rPr>
        <w:t xml:space="preserve">trials were conducted globally, and QUEST was the only trial that included </w:t>
      </w:r>
      <w:r>
        <w:rPr>
          <w:lang w:val="en-GB"/>
        </w:rPr>
        <w:t>people</w:t>
      </w:r>
      <w:r w:rsidRPr="00FD35D9">
        <w:rPr>
          <w:lang w:val="en-GB"/>
        </w:rPr>
        <w:t xml:space="preserve"> from the UK. </w:t>
      </w:r>
      <w:r>
        <w:rPr>
          <w:lang w:val="en-GB"/>
        </w:rPr>
        <w:t>T</w:t>
      </w:r>
      <w:r w:rsidRPr="00FD35D9">
        <w:rPr>
          <w:lang w:val="en-GB"/>
        </w:rPr>
        <w:t xml:space="preserve">he </w:t>
      </w:r>
      <w:r>
        <w:rPr>
          <w:lang w:val="en-GB"/>
        </w:rPr>
        <w:t xml:space="preserve">trial </w:t>
      </w:r>
      <w:r w:rsidRPr="00FD35D9">
        <w:rPr>
          <w:lang w:val="en-GB"/>
        </w:rPr>
        <w:t>population</w:t>
      </w:r>
      <w:r>
        <w:rPr>
          <w:lang w:val="en-GB"/>
        </w:rPr>
        <w:t>s were</w:t>
      </w:r>
      <w:r w:rsidRPr="00FD35D9">
        <w:rPr>
          <w:lang w:val="en-GB"/>
        </w:rPr>
        <w:t xml:space="preserve"> based on use of moderate</w:t>
      </w:r>
      <w:r>
        <w:rPr>
          <w:lang w:val="en-GB"/>
        </w:rPr>
        <w:t>-</w:t>
      </w:r>
      <w:r w:rsidRPr="00FD35D9">
        <w:rPr>
          <w:lang w:val="en-GB"/>
        </w:rPr>
        <w:t>to</w:t>
      </w:r>
      <w:r>
        <w:rPr>
          <w:lang w:val="en-GB"/>
        </w:rPr>
        <w:t>-</w:t>
      </w:r>
      <w:r w:rsidRPr="00FD35D9">
        <w:rPr>
          <w:lang w:val="en-GB"/>
        </w:rPr>
        <w:t>high dose</w:t>
      </w:r>
      <w:r>
        <w:rPr>
          <w:lang w:val="en-GB"/>
        </w:rPr>
        <w:t>s of</w:t>
      </w:r>
      <w:r w:rsidRPr="00FD35D9">
        <w:rPr>
          <w:lang w:val="en-GB"/>
        </w:rPr>
        <w:t xml:space="preserve"> inhaled corticosteroids. Th</w:t>
      </w:r>
      <w:r>
        <w:rPr>
          <w:lang w:val="en-GB"/>
        </w:rPr>
        <w:t>is was because they included people from</w:t>
      </w:r>
      <w:r w:rsidRPr="00FD35D9">
        <w:rPr>
          <w:lang w:val="en-GB"/>
        </w:rPr>
        <w:t xml:space="preserve"> countries like </w:t>
      </w:r>
      <w:r>
        <w:rPr>
          <w:lang w:val="en-GB"/>
        </w:rPr>
        <w:t>the US</w:t>
      </w:r>
      <w:r w:rsidRPr="00FD35D9">
        <w:rPr>
          <w:lang w:val="en-GB"/>
        </w:rPr>
        <w:t xml:space="preserve"> and Japan</w:t>
      </w:r>
      <w:r>
        <w:rPr>
          <w:lang w:val="en-GB"/>
        </w:rPr>
        <w:t>, where the clinical expert stated that there is reluctance</w:t>
      </w:r>
      <w:r w:rsidRPr="00FD35D9">
        <w:rPr>
          <w:lang w:val="en-GB"/>
        </w:rPr>
        <w:t xml:space="preserve"> to use high</w:t>
      </w:r>
      <w:r>
        <w:rPr>
          <w:lang w:val="en-GB"/>
        </w:rPr>
        <w:t>-</w:t>
      </w:r>
      <w:r w:rsidRPr="00FD35D9">
        <w:rPr>
          <w:lang w:val="en-GB"/>
        </w:rPr>
        <w:t>dose inhaled corticosteroids</w:t>
      </w:r>
      <w:r>
        <w:rPr>
          <w:lang w:val="en-GB"/>
        </w:rPr>
        <w:t>.</w:t>
      </w:r>
      <w:r w:rsidRPr="00FD35D9">
        <w:rPr>
          <w:lang w:val="en-GB"/>
        </w:rPr>
        <w:t xml:space="preserve"> The committee concluded that there were some caveats</w:t>
      </w:r>
      <w:r>
        <w:rPr>
          <w:lang w:val="en-GB"/>
        </w:rPr>
        <w:t>,</w:t>
      </w:r>
      <w:r w:rsidRPr="00FD35D9">
        <w:rPr>
          <w:lang w:val="en-GB"/>
        </w:rPr>
        <w:t xml:space="preserve"> but that </w:t>
      </w:r>
      <w:r>
        <w:rPr>
          <w:lang w:val="en-GB"/>
        </w:rPr>
        <w:t>all</w:t>
      </w:r>
      <w:r w:rsidRPr="00FD35D9">
        <w:rPr>
          <w:lang w:val="en-GB"/>
        </w:rPr>
        <w:t xml:space="preserve"> 3</w:t>
      </w:r>
      <w:r>
        <w:rPr>
          <w:lang w:val="en-GB"/>
        </w:rPr>
        <w:t> </w:t>
      </w:r>
      <w:r w:rsidRPr="00FD35D9">
        <w:rPr>
          <w:lang w:val="en-GB"/>
        </w:rPr>
        <w:t>trials included were relevant to NHS clinical practice.</w:t>
      </w:r>
    </w:p>
    <w:p w14:paraId="4EE833AB" w14:textId="42A13E64" w:rsidR="00FA40AB" w:rsidRPr="00FD35D9" w:rsidRDefault="00FA40AB" w:rsidP="00FA40AB">
      <w:pPr>
        <w:keepNext/>
        <w:spacing w:before="240" w:after="60" w:line="360" w:lineRule="auto"/>
        <w:outlineLvl w:val="2"/>
        <w:rPr>
          <w:rFonts w:ascii="Arial" w:hAnsi="Arial" w:cs="Arial"/>
          <w:b/>
          <w:bCs/>
        </w:rPr>
      </w:pPr>
      <w:bookmarkStart w:id="1" w:name="_Hlk33026178"/>
      <w:r w:rsidRPr="00FD35D9">
        <w:rPr>
          <w:rFonts w:ascii="Arial" w:hAnsi="Arial" w:cs="Arial"/>
          <w:b/>
          <w:bCs/>
        </w:rPr>
        <w:lastRenderedPageBreak/>
        <w:t>Dupilumab is more clinically effective than standard care in the clinical trial populations</w:t>
      </w:r>
      <w:bookmarkEnd w:id="1"/>
      <w:r>
        <w:rPr>
          <w:rFonts w:ascii="Arial" w:hAnsi="Arial" w:cs="Arial"/>
          <w:b/>
          <w:bCs/>
        </w:rPr>
        <w:t xml:space="preserve"> </w:t>
      </w:r>
    </w:p>
    <w:p w14:paraId="3D13035C" w14:textId="77777777" w:rsidR="00FA40AB" w:rsidRDefault="00FA40AB" w:rsidP="00FA40AB">
      <w:pPr>
        <w:pStyle w:val="Numberedlevel2text"/>
        <w:numPr>
          <w:ilvl w:val="1"/>
          <w:numId w:val="1"/>
        </w:numPr>
        <w:rPr>
          <w:lang w:val="en-GB"/>
        </w:rPr>
      </w:pPr>
      <w:r w:rsidRPr="00FD35D9">
        <w:rPr>
          <w:lang w:val="en-GB"/>
        </w:rPr>
        <w:t>All primary outcomes were reported for the intention</w:t>
      </w:r>
      <w:r>
        <w:rPr>
          <w:lang w:val="en-GB"/>
        </w:rPr>
        <w:t>-</w:t>
      </w:r>
      <w:r w:rsidRPr="00FD35D9">
        <w:rPr>
          <w:lang w:val="en-GB"/>
        </w:rPr>
        <w:t>to</w:t>
      </w:r>
      <w:r>
        <w:rPr>
          <w:lang w:val="en-GB"/>
        </w:rPr>
        <w:t>-</w:t>
      </w:r>
      <w:r w:rsidRPr="00FD35D9">
        <w:rPr>
          <w:lang w:val="en-GB"/>
        </w:rPr>
        <w:t>treat population in all 3</w:t>
      </w:r>
      <w:r>
        <w:rPr>
          <w:lang w:val="en-GB"/>
        </w:rPr>
        <w:t> </w:t>
      </w:r>
      <w:r w:rsidRPr="00FD35D9">
        <w:rPr>
          <w:lang w:val="en-GB"/>
        </w:rPr>
        <w:t>trials. In QUEST</w:t>
      </w:r>
      <w:r>
        <w:rPr>
          <w:lang w:val="en-GB"/>
        </w:rPr>
        <w:t>,</w:t>
      </w:r>
      <w:r w:rsidRPr="00FD35D9">
        <w:rPr>
          <w:lang w:val="en-GB"/>
        </w:rPr>
        <w:t xml:space="preserve"> the first coprimary outcome was annualised rate of severe exacerbations. </w:t>
      </w:r>
      <w:r>
        <w:rPr>
          <w:lang w:val="en-GB"/>
        </w:rPr>
        <w:t>Th</w:t>
      </w:r>
      <w:r w:rsidRPr="00FD35D9">
        <w:rPr>
          <w:lang w:val="en-GB"/>
        </w:rPr>
        <w:t xml:space="preserve">ere was a 47.7% (95% </w:t>
      </w:r>
      <w:r>
        <w:rPr>
          <w:lang w:val="en-GB"/>
        </w:rPr>
        <w:t>confidence interval [</w:t>
      </w:r>
      <w:r w:rsidRPr="00FD35D9">
        <w:rPr>
          <w:lang w:val="en-GB"/>
        </w:rPr>
        <w:t>CI</w:t>
      </w:r>
      <w:r>
        <w:rPr>
          <w:lang w:val="en-GB"/>
        </w:rPr>
        <w:t>]</w:t>
      </w:r>
      <w:r w:rsidRPr="00FD35D9">
        <w:rPr>
          <w:lang w:val="en-GB"/>
        </w:rPr>
        <w:t xml:space="preserve"> 33.8%</w:t>
      </w:r>
      <w:r>
        <w:rPr>
          <w:lang w:val="en-GB"/>
        </w:rPr>
        <w:t> </w:t>
      </w:r>
      <w:r w:rsidRPr="00FD35D9">
        <w:rPr>
          <w:lang w:val="en-GB"/>
        </w:rPr>
        <w:t>to</w:t>
      </w:r>
      <w:r>
        <w:rPr>
          <w:lang w:val="en-GB"/>
        </w:rPr>
        <w:t> </w:t>
      </w:r>
      <w:r w:rsidRPr="00FD35D9">
        <w:rPr>
          <w:lang w:val="en-GB"/>
        </w:rPr>
        <w:t xml:space="preserve">58.7%, p&lt;0.0001) lower rate of severe exacerbations in </w:t>
      </w:r>
      <w:r>
        <w:rPr>
          <w:lang w:val="en-GB"/>
        </w:rPr>
        <w:t xml:space="preserve">the </w:t>
      </w:r>
      <w:r w:rsidRPr="00FD35D9">
        <w:rPr>
          <w:lang w:val="en-GB"/>
        </w:rPr>
        <w:t>dupilumab group compared with placebo. Change from baseline in the forced expiratory volume in 1</w:t>
      </w:r>
      <w:r>
        <w:rPr>
          <w:lang w:val="en-GB"/>
        </w:rPr>
        <w:t> </w:t>
      </w:r>
      <w:r w:rsidRPr="00FD35D9">
        <w:rPr>
          <w:lang w:val="en-GB"/>
        </w:rPr>
        <w:t>second (FEV1) at 12</w:t>
      </w:r>
      <w:r>
        <w:rPr>
          <w:lang w:val="en-GB"/>
        </w:rPr>
        <w:t> </w:t>
      </w:r>
      <w:r w:rsidRPr="00FD35D9">
        <w:rPr>
          <w:lang w:val="en-GB"/>
        </w:rPr>
        <w:t xml:space="preserve">weeks was the second coprimary outcomes in QUEST and the primary outcome in DRI12544. </w:t>
      </w:r>
      <w:r>
        <w:rPr>
          <w:lang w:val="en-GB"/>
        </w:rPr>
        <w:t>T</w:t>
      </w:r>
      <w:r w:rsidRPr="00FD35D9">
        <w:rPr>
          <w:lang w:val="en-GB"/>
        </w:rPr>
        <w:t>here was an increase in FEV1 at 12</w:t>
      </w:r>
      <w:r>
        <w:rPr>
          <w:lang w:val="en-GB"/>
        </w:rPr>
        <w:t> </w:t>
      </w:r>
      <w:r w:rsidRPr="00FD35D9">
        <w:rPr>
          <w:lang w:val="en-GB"/>
        </w:rPr>
        <w:t>weeks when dupilumab was compared with placebo in DRI12544 (least squares [LS] mean difference 0.14</w:t>
      </w:r>
      <w:r>
        <w:rPr>
          <w:lang w:val="en-GB"/>
        </w:rPr>
        <w:t> litre,</w:t>
      </w:r>
      <w:r w:rsidRPr="00FD35D9">
        <w:rPr>
          <w:lang w:val="en-GB"/>
        </w:rPr>
        <w:t xml:space="preserve"> 95%</w:t>
      </w:r>
      <w:r>
        <w:rPr>
          <w:lang w:val="en-GB"/>
        </w:rPr>
        <w:t> </w:t>
      </w:r>
      <w:r w:rsidRPr="00FD35D9">
        <w:rPr>
          <w:lang w:val="en-GB"/>
        </w:rPr>
        <w:t>CI 0.08</w:t>
      </w:r>
      <w:r>
        <w:rPr>
          <w:lang w:val="en-GB"/>
        </w:rPr>
        <w:t> to </w:t>
      </w:r>
      <w:r w:rsidRPr="00FD35D9">
        <w:rPr>
          <w:lang w:val="en-GB"/>
        </w:rPr>
        <w:t>0.19, p&lt;0.0001) and QUEST (LS mean difference 0.20</w:t>
      </w:r>
      <w:r>
        <w:rPr>
          <w:lang w:val="en-GB"/>
        </w:rPr>
        <w:t xml:space="preserve"> litre, </w:t>
      </w:r>
      <w:r w:rsidRPr="00FD35D9">
        <w:rPr>
          <w:lang w:val="en-GB"/>
        </w:rPr>
        <w:t>95%</w:t>
      </w:r>
      <w:r>
        <w:rPr>
          <w:lang w:val="en-GB"/>
        </w:rPr>
        <w:t> </w:t>
      </w:r>
      <w:r w:rsidRPr="00FD35D9">
        <w:rPr>
          <w:lang w:val="en-GB"/>
        </w:rPr>
        <w:t>CI 0.11</w:t>
      </w:r>
      <w:r>
        <w:rPr>
          <w:lang w:val="en-GB"/>
        </w:rPr>
        <w:t> to </w:t>
      </w:r>
      <w:r w:rsidRPr="00FD35D9">
        <w:rPr>
          <w:lang w:val="en-GB"/>
        </w:rPr>
        <w:t>0.28, p&lt;0.0001)</w:t>
      </w:r>
      <w:r>
        <w:rPr>
          <w:lang w:val="en-GB"/>
        </w:rPr>
        <w:t>.</w:t>
      </w:r>
      <w:r w:rsidRPr="00FD35D9">
        <w:rPr>
          <w:lang w:val="en-GB"/>
        </w:rPr>
        <w:t xml:space="preserve"> In VENTURE</w:t>
      </w:r>
      <w:r>
        <w:rPr>
          <w:lang w:val="en-GB"/>
        </w:rPr>
        <w:t>,</w:t>
      </w:r>
      <w:r w:rsidRPr="00FD35D9">
        <w:rPr>
          <w:lang w:val="en-GB"/>
        </w:rPr>
        <w:t xml:space="preserve"> the primary outcome was the percentage reduction in oral</w:t>
      </w:r>
      <w:r>
        <w:rPr>
          <w:lang w:val="en-GB"/>
        </w:rPr>
        <w:t xml:space="preserve"> </w:t>
      </w:r>
      <w:r w:rsidRPr="00FD35D9">
        <w:rPr>
          <w:lang w:val="en-GB"/>
        </w:rPr>
        <w:t xml:space="preserve">corticosteroid dose from baseline. </w:t>
      </w:r>
      <w:r>
        <w:rPr>
          <w:lang w:val="en-GB"/>
        </w:rPr>
        <w:t>T</w:t>
      </w:r>
      <w:r w:rsidRPr="00FD35D9">
        <w:rPr>
          <w:lang w:val="en-GB"/>
        </w:rPr>
        <w:t>here was a greater reduction in oral corticosteroid use with dupilumab compared with placebo (LS mean difference 28</w:t>
      </w:r>
      <w:r>
        <w:rPr>
          <w:lang w:val="en-GB"/>
        </w:rPr>
        <w:t> </w:t>
      </w:r>
      <w:r w:rsidRPr="00FD35D9">
        <w:rPr>
          <w:lang w:val="en-GB"/>
        </w:rPr>
        <w:t>mg</w:t>
      </w:r>
      <w:r>
        <w:rPr>
          <w:lang w:val="en-GB"/>
        </w:rPr>
        <w:t>,</w:t>
      </w:r>
      <w:r w:rsidRPr="00FD35D9">
        <w:rPr>
          <w:lang w:val="en-GB"/>
        </w:rPr>
        <w:t xml:space="preserve"> 95%</w:t>
      </w:r>
      <w:r>
        <w:rPr>
          <w:lang w:val="en-GB"/>
        </w:rPr>
        <w:t> </w:t>
      </w:r>
      <w:r w:rsidRPr="00FD35D9">
        <w:rPr>
          <w:lang w:val="en-GB"/>
        </w:rPr>
        <w:t>CI 1</w:t>
      </w:r>
      <w:r>
        <w:rPr>
          <w:lang w:val="en-GB"/>
        </w:rPr>
        <w:t>6 </w:t>
      </w:r>
      <w:r w:rsidRPr="00FD35D9">
        <w:rPr>
          <w:lang w:val="en-GB"/>
        </w:rPr>
        <w:t>to</w:t>
      </w:r>
      <w:r>
        <w:rPr>
          <w:lang w:val="en-GB"/>
        </w:rPr>
        <w:t> </w:t>
      </w:r>
      <w:r w:rsidRPr="00FD35D9">
        <w:rPr>
          <w:lang w:val="en-GB"/>
        </w:rPr>
        <w:t>4</w:t>
      </w:r>
      <w:r>
        <w:rPr>
          <w:lang w:val="en-GB"/>
        </w:rPr>
        <w:t>1</w:t>
      </w:r>
      <w:r w:rsidRPr="00FD35D9">
        <w:rPr>
          <w:lang w:val="en-GB"/>
        </w:rPr>
        <w:t>, p&lt;0.0001) at 24</w:t>
      </w:r>
      <w:r>
        <w:rPr>
          <w:lang w:val="en-GB"/>
        </w:rPr>
        <w:t> </w:t>
      </w:r>
      <w:r w:rsidRPr="00FD35D9">
        <w:rPr>
          <w:lang w:val="en-GB"/>
        </w:rPr>
        <w:t xml:space="preserve">weeks. </w:t>
      </w:r>
      <w:r>
        <w:rPr>
          <w:lang w:val="en-GB"/>
        </w:rPr>
        <w:t>T</w:t>
      </w:r>
      <w:r w:rsidRPr="00FD35D9">
        <w:rPr>
          <w:lang w:val="en-GB"/>
        </w:rPr>
        <w:t xml:space="preserve">he proportion of </w:t>
      </w:r>
      <w:r>
        <w:rPr>
          <w:lang w:val="en-GB"/>
        </w:rPr>
        <w:t>people</w:t>
      </w:r>
      <w:r w:rsidRPr="00FD35D9">
        <w:rPr>
          <w:lang w:val="en-GB"/>
        </w:rPr>
        <w:t xml:space="preserve"> with treatment-related adverse events was similar within each trial between </w:t>
      </w:r>
      <w:r>
        <w:rPr>
          <w:lang w:val="en-GB"/>
        </w:rPr>
        <w:t>those having</w:t>
      </w:r>
      <w:r w:rsidRPr="00FD35D9">
        <w:rPr>
          <w:lang w:val="en-GB"/>
        </w:rPr>
        <w:t xml:space="preserve"> dupilumab and placebo.</w:t>
      </w:r>
      <w:r w:rsidRPr="0015211C">
        <w:rPr>
          <w:lang w:val="en-GB"/>
        </w:rPr>
        <w:t xml:space="preserve"> </w:t>
      </w:r>
      <w:r w:rsidRPr="00FD35D9">
        <w:rPr>
          <w:lang w:val="en-GB"/>
        </w:rPr>
        <w:t>In DRI12544 and QUEST</w:t>
      </w:r>
      <w:r>
        <w:rPr>
          <w:lang w:val="en-GB"/>
        </w:rPr>
        <w:t xml:space="preserve">, </w:t>
      </w:r>
      <w:r w:rsidRPr="00FD35D9">
        <w:rPr>
          <w:lang w:val="en-GB"/>
        </w:rPr>
        <w:t xml:space="preserve">the proportion of </w:t>
      </w:r>
      <w:r>
        <w:rPr>
          <w:lang w:val="en-GB"/>
        </w:rPr>
        <w:t>people</w:t>
      </w:r>
      <w:r w:rsidRPr="00FD35D9">
        <w:rPr>
          <w:lang w:val="en-GB"/>
        </w:rPr>
        <w:t xml:space="preserve"> with any treatment-related adverse events ranged from 74.7% to 84.1%</w:t>
      </w:r>
      <w:r>
        <w:rPr>
          <w:lang w:val="en-GB"/>
        </w:rPr>
        <w:t>. I</w:t>
      </w:r>
      <w:r w:rsidRPr="00FD35D9">
        <w:rPr>
          <w:lang w:val="en-GB"/>
        </w:rPr>
        <w:t>n VENTURE</w:t>
      </w:r>
      <w:r>
        <w:rPr>
          <w:lang w:val="en-GB"/>
        </w:rPr>
        <w:t>,</w:t>
      </w:r>
      <w:r w:rsidRPr="00FD35D9">
        <w:rPr>
          <w:lang w:val="en-GB"/>
        </w:rPr>
        <w:t xml:space="preserve"> a smaller proportion experienced any treatment-related adverse events (64.5% and 62.1% in the placebo and dupilumab arms respectively).</w:t>
      </w:r>
      <w:r>
        <w:rPr>
          <w:lang w:val="en-GB"/>
        </w:rPr>
        <w:t xml:space="preserve"> The committee concluded that d</w:t>
      </w:r>
      <w:r w:rsidRPr="0033322E">
        <w:rPr>
          <w:lang w:val="en-GB"/>
        </w:rPr>
        <w:t xml:space="preserve">upilumab </w:t>
      </w:r>
      <w:r>
        <w:rPr>
          <w:lang w:val="en-GB"/>
        </w:rPr>
        <w:t>was</w:t>
      </w:r>
      <w:r w:rsidRPr="0033322E">
        <w:rPr>
          <w:lang w:val="en-GB"/>
        </w:rPr>
        <w:t xml:space="preserve"> more clinically effective than standard care in the clinical trial populations</w:t>
      </w:r>
      <w:r>
        <w:rPr>
          <w:lang w:val="en-GB"/>
        </w:rPr>
        <w:t xml:space="preserve"> and is a </w:t>
      </w:r>
      <w:r w:rsidRPr="007C5C0F">
        <w:rPr>
          <w:lang w:val="en-GB"/>
        </w:rPr>
        <w:t xml:space="preserve">relatively </w:t>
      </w:r>
      <w:r>
        <w:rPr>
          <w:lang w:val="en-GB"/>
        </w:rPr>
        <w:t>safe treatment.</w:t>
      </w:r>
    </w:p>
    <w:p w14:paraId="1D74AAE7" w14:textId="41394C2E" w:rsidR="00FA40AB" w:rsidRPr="00FD35D9" w:rsidRDefault="00206ABC" w:rsidP="00FA40AB">
      <w:pPr>
        <w:pStyle w:val="Heading3"/>
      </w:pPr>
      <w:r>
        <w:t xml:space="preserve"> </w:t>
      </w:r>
      <w:r w:rsidR="00466878" w:rsidRPr="00E723FF">
        <w:t xml:space="preserve">The clinical effectiveness estimates for dupilumab are uncertain in </w:t>
      </w:r>
      <w:r w:rsidR="00281AB9" w:rsidRPr="00E723FF">
        <w:t>the company’s updated population</w:t>
      </w:r>
      <w:r w:rsidR="00466878" w:rsidRPr="00466878">
        <w:t xml:space="preserve"> </w:t>
      </w:r>
    </w:p>
    <w:p w14:paraId="1FCD2887" w14:textId="0AF4A464" w:rsidR="00FA40AB" w:rsidRPr="00E723FF" w:rsidRDefault="00FA40AB" w:rsidP="00FA40AB">
      <w:pPr>
        <w:pStyle w:val="Numberedlevel2text"/>
        <w:numPr>
          <w:ilvl w:val="1"/>
          <w:numId w:val="1"/>
        </w:numPr>
        <w:rPr>
          <w:lang w:val="en-GB"/>
        </w:rPr>
      </w:pPr>
      <w:r w:rsidRPr="00FD35D9">
        <w:rPr>
          <w:lang w:val="en-GB"/>
        </w:rPr>
        <w:t>The company’s decision</w:t>
      </w:r>
      <w:r>
        <w:rPr>
          <w:lang w:val="en-GB"/>
        </w:rPr>
        <w:t>-</w:t>
      </w:r>
      <w:r w:rsidRPr="00FD35D9">
        <w:rPr>
          <w:lang w:val="en-GB"/>
        </w:rPr>
        <w:t>problem subgroup analyses</w:t>
      </w:r>
      <w:r w:rsidR="006A537E">
        <w:rPr>
          <w:lang w:val="en-GB"/>
        </w:rPr>
        <w:t xml:space="preserve"> at </w:t>
      </w:r>
      <w:r w:rsidR="00A4742D">
        <w:rPr>
          <w:lang w:val="en-GB"/>
        </w:rPr>
        <w:t xml:space="preserve">the </w:t>
      </w:r>
      <w:r w:rsidR="006A537E">
        <w:rPr>
          <w:lang w:val="en-GB"/>
        </w:rPr>
        <w:t>first appraisal committee meeting</w:t>
      </w:r>
      <w:r w:rsidRPr="00FD35D9">
        <w:rPr>
          <w:lang w:val="en-GB"/>
        </w:rPr>
        <w:t xml:space="preserve"> focused on the annualised rate of severe exacerbations for the </w:t>
      </w:r>
      <w:proofErr w:type="spellStart"/>
      <w:r w:rsidRPr="00FD35D9">
        <w:rPr>
          <w:lang w:val="en-GB"/>
        </w:rPr>
        <w:t>posthoc</w:t>
      </w:r>
      <w:proofErr w:type="spellEnd"/>
      <w:r w:rsidRPr="00FD35D9">
        <w:rPr>
          <w:lang w:val="en-GB"/>
        </w:rPr>
        <w:t xml:space="preserve"> population (</w:t>
      </w:r>
      <w:r>
        <w:rPr>
          <w:lang w:val="en-GB"/>
        </w:rPr>
        <w:t xml:space="preserve">that is, people with a </w:t>
      </w:r>
      <w:r w:rsidRPr="00FD35D9">
        <w:rPr>
          <w:lang w:val="en-GB"/>
        </w:rPr>
        <w:t>blood eosinophil count of 150</w:t>
      </w:r>
      <w:r>
        <w:rPr>
          <w:lang w:val="en-GB"/>
        </w:rPr>
        <w:t> </w:t>
      </w:r>
      <w:r w:rsidRPr="00FD35D9">
        <w:rPr>
          <w:lang w:val="en-GB"/>
        </w:rPr>
        <w:t>cells per microlitre or more</w:t>
      </w:r>
      <w:r>
        <w:rPr>
          <w:lang w:val="en-GB"/>
        </w:rPr>
        <w:t>,</w:t>
      </w:r>
      <w:r w:rsidRPr="00FD35D9">
        <w:rPr>
          <w:lang w:val="en-GB"/>
        </w:rPr>
        <w:t xml:space="preserve"> </w:t>
      </w:r>
      <w:proofErr w:type="spellStart"/>
      <w:r w:rsidRPr="00FD35D9">
        <w:rPr>
          <w:lang w:val="en-GB"/>
        </w:rPr>
        <w:t>FeNO</w:t>
      </w:r>
      <w:proofErr w:type="spellEnd"/>
      <w:r w:rsidRPr="00FD35D9">
        <w:rPr>
          <w:lang w:val="en-GB"/>
        </w:rPr>
        <w:t xml:space="preserve"> of 25</w:t>
      </w:r>
      <w:r>
        <w:rPr>
          <w:lang w:val="en-GB"/>
        </w:rPr>
        <w:t> </w:t>
      </w:r>
      <w:r w:rsidRPr="00FD35D9">
        <w:rPr>
          <w:lang w:val="en-GB"/>
        </w:rPr>
        <w:t xml:space="preserve">parts per </w:t>
      </w:r>
      <w:r w:rsidRPr="00FD35D9">
        <w:rPr>
          <w:lang w:val="en-GB"/>
        </w:rPr>
        <w:lastRenderedPageBreak/>
        <w:t>billion or more</w:t>
      </w:r>
      <w:r>
        <w:rPr>
          <w:lang w:val="en-GB"/>
        </w:rPr>
        <w:t xml:space="preserve"> and</w:t>
      </w:r>
      <w:r w:rsidRPr="00FD35D9">
        <w:rPr>
          <w:lang w:val="en-GB"/>
        </w:rPr>
        <w:t xml:space="preserve"> 3</w:t>
      </w:r>
      <w:r>
        <w:rPr>
          <w:lang w:val="en-GB"/>
        </w:rPr>
        <w:t> </w:t>
      </w:r>
      <w:r w:rsidRPr="00FD35D9">
        <w:rPr>
          <w:lang w:val="en-GB"/>
        </w:rPr>
        <w:t xml:space="preserve">or more exacerbations in the previous year) from QUEST and VENTURE. </w:t>
      </w:r>
      <w:r>
        <w:rPr>
          <w:lang w:val="en-GB"/>
        </w:rPr>
        <w:t>D</w:t>
      </w:r>
      <w:r w:rsidRPr="00FD35D9">
        <w:rPr>
          <w:lang w:val="en-GB"/>
        </w:rPr>
        <w:t>upilumab reduced the rate of severe exacerbations when compared with placebo</w:t>
      </w:r>
      <w:r>
        <w:rPr>
          <w:lang w:val="en-GB"/>
        </w:rPr>
        <w:t xml:space="preserve"> within this subpopulation</w:t>
      </w:r>
      <w:r w:rsidRPr="00FD35D9">
        <w:rPr>
          <w:lang w:val="en-GB"/>
        </w:rPr>
        <w:t xml:space="preserve"> in QUEST and VENTURE</w:t>
      </w:r>
      <w:r>
        <w:rPr>
          <w:lang w:val="en-GB"/>
        </w:rPr>
        <w:t>,</w:t>
      </w:r>
      <w:r w:rsidRPr="00FD35D9">
        <w:rPr>
          <w:lang w:val="en-GB"/>
        </w:rPr>
        <w:t xml:space="preserve"> </w:t>
      </w:r>
      <w:r>
        <w:rPr>
          <w:lang w:val="en-GB"/>
        </w:rPr>
        <w:t>although</w:t>
      </w:r>
      <w:r w:rsidRPr="00FD35D9">
        <w:rPr>
          <w:lang w:val="en-GB"/>
        </w:rPr>
        <w:t xml:space="preserve"> in small </w:t>
      </w:r>
      <w:proofErr w:type="spellStart"/>
      <w:r w:rsidRPr="00FD35D9">
        <w:rPr>
          <w:lang w:val="en-GB"/>
        </w:rPr>
        <w:t>posthoc</w:t>
      </w:r>
      <w:proofErr w:type="spellEnd"/>
      <w:r w:rsidRPr="00FD35D9">
        <w:rPr>
          <w:lang w:val="en-GB"/>
        </w:rPr>
        <w:t xml:space="preserve"> subgroup</w:t>
      </w:r>
      <w:r>
        <w:rPr>
          <w:lang w:val="en-GB"/>
        </w:rPr>
        <w:t>s</w:t>
      </w:r>
      <w:r w:rsidRPr="00FD35D9">
        <w:rPr>
          <w:lang w:val="en-GB"/>
        </w:rPr>
        <w:t xml:space="preserve"> with 101</w:t>
      </w:r>
      <w:r>
        <w:rPr>
          <w:lang w:val="en-GB"/>
        </w:rPr>
        <w:t> </w:t>
      </w:r>
      <w:r w:rsidRPr="00FD35D9">
        <w:rPr>
          <w:lang w:val="en-GB"/>
        </w:rPr>
        <w:t>and 152</w:t>
      </w:r>
      <w:r>
        <w:rPr>
          <w:lang w:val="en-GB"/>
        </w:rPr>
        <w:t> </w:t>
      </w:r>
      <w:proofErr w:type="gramStart"/>
      <w:r>
        <w:rPr>
          <w:lang w:val="en-GB"/>
        </w:rPr>
        <w:t>people</w:t>
      </w:r>
      <w:proofErr w:type="gramEnd"/>
      <w:r>
        <w:rPr>
          <w:lang w:val="en-GB"/>
        </w:rPr>
        <w:t xml:space="preserve"> </w:t>
      </w:r>
      <w:r w:rsidRPr="00FD35D9">
        <w:rPr>
          <w:lang w:val="en-GB"/>
        </w:rPr>
        <w:t xml:space="preserve">respectively. </w:t>
      </w:r>
      <w:r>
        <w:rPr>
          <w:lang w:val="en-GB"/>
        </w:rPr>
        <w:t>T</w:t>
      </w:r>
      <w:r w:rsidRPr="00FD35D9">
        <w:rPr>
          <w:lang w:val="en-GB"/>
        </w:rPr>
        <w:t>here were improvements in the placebo groups for the primary outcomes of the</w:t>
      </w:r>
      <w:r>
        <w:rPr>
          <w:lang w:val="en-GB"/>
        </w:rPr>
        <w:t>se</w:t>
      </w:r>
      <w:r w:rsidRPr="00FD35D9">
        <w:rPr>
          <w:lang w:val="en-GB"/>
        </w:rPr>
        <w:t xml:space="preserve"> trials</w:t>
      </w:r>
      <w:r>
        <w:rPr>
          <w:lang w:val="en-GB"/>
        </w:rPr>
        <w:t>. T</w:t>
      </w:r>
      <w:r w:rsidRPr="00FD35D9">
        <w:rPr>
          <w:lang w:val="en-GB"/>
        </w:rPr>
        <w:t xml:space="preserve">his was possibly </w:t>
      </w:r>
      <w:r>
        <w:rPr>
          <w:lang w:val="en-GB"/>
        </w:rPr>
        <w:t>because of</w:t>
      </w:r>
      <w:r w:rsidRPr="00FD35D9">
        <w:rPr>
          <w:lang w:val="en-GB"/>
        </w:rPr>
        <w:t xml:space="preserve"> regression to the mean and </w:t>
      </w:r>
      <w:r>
        <w:rPr>
          <w:lang w:val="en-GB"/>
        </w:rPr>
        <w:t xml:space="preserve">the </w:t>
      </w:r>
      <w:r w:rsidRPr="00FD35D9">
        <w:rPr>
          <w:lang w:val="en-GB"/>
        </w:rPr>
        <w:t xml:space="preserve">placebo effect. The committee </w:t>
      </w:r>
      <w:r w:rsidRPr="00274397">
        <w:rPr>
          <w:lang w:val="en-GB"/>
        </w:rPr>
        <w:t>concluded</w:t>
      </w:r>
      <w:r w:rsidRPr="00FD35D9">
        <w:rPr>
          <w:lang w:val="en-GB"/>
        </w:rPr>
        <w:t xml:space="preserve"> that </w:t>
      </w:r>
      <w:bookmarkStart w:id="2" w:name="_Hlk33026383"/>
      <w:r w:rsidRPr="00FD35D9">
        <w:rPr>
          <w:lang w:val="en-GB"/>
        </w:rPr>
        <w:t>dupilumab is clinically effective and safe as an addition to standard care</w:t>
      </w:r>
      <w:bookmarkEnd w:id="2"/>
      <w:r w:rsidRPr="00FD35D9">
        <w:rPr>
          <w:lang w:val="en-GB"/>
        </w:rPr>
        <w:t xml:space="preserve"> in people with a blood eosinophil count of at least 150</w:t>
      </w:r>
      <w:r>
        <w:rPr>
          <w:lang w:val="en-GB"/>
        </w:rPr>
        <w:t> </w:t>
      </w:r>
      <w:r w:rsidRPr="00FD35D9">
        <w:rPr>
          <w:lang w:val="en-GB"/>
        </w:rPr>
        <w:t xml:space="preserve">cells per microlitre or </w:t>
      </w:r>
      <w:proofErr w:type="spellStart"/>
      <w:r w:rsidRPr="00FD35D9">
        <w:rPr>
          <w:lang w:val="en-GB"/>
        </w:rPr>
        <w:t>FeNO</w:t>
      </w:r>
      <w:proofErr w:type="spellEnd"/>
      <w:r w:rsidRPr="00FD35D9">
        <w:rPr>
          <w:lang w:val="en-GB"/>
        </w:rPr>
        <w:t xml:space="preserve"> of 25</w:t>
      </w:r>
      <w:r>
        <w:rPr>
          <w:lang w:val="en-GB"/>
        </w:rPr>
        <w:t> </w:t>
      </w:r>
      <w:r w:rsidRPr="00FD35D9">
        <w:rPr>
          <w:lang w:val="en-GB"/>
        </w:rPr>
        <w:t xml:space="preserve">parts per billion or more </w:t>
      </w:r>
      <w:r>
        <w:rPr>
          <w:lang w:val="en-GB"/>
        </w:rPr>
        <w:t>a</w:t>
      </w:r>
      <w:r w:rsidRPr="0015211C">
        <w:rPr>
          <w:lang w:val="en-GB"/>
        </w:rPr>
        <w:t>nd 3</w:t>
      </w:r>
      <w:r>
        <w:rPr>
          <w:lang w:val="en-GB"/>
        </w:rPr>
        <w:t> </w:t>
      </w:r>
      <w:r w:rsidRPr="0015211C">
        <w:rPr>
          <w:lang w:val="en-GB"/>
        </w:rPr>
        <w:t>or more exacerbations in the previous yea</w:t>
      </w:r>
      <w:r>
        <w:rPr>
          <w:lang w:val="en-GB"/>
        </w:rPr>
        <w:t xml:space="preserve">r </w:t>
      </w:r>
      <w:r w:rsidRPr="00FD35D9">
        <w:rPr>
          <w:lang w:val="en-GB"/>
        </w:rPr>
        <w:t>who</w:t>
      </w:r>
      <w:r w:rsidRPr="00FD35D9">
        <w:rPr>
          <w:rStyle w:val="CommentReference"/>
          <w:rFonts w:ascii="Times New Roman" w:hAnsi="Times New Roman"/>
          <w:bCs w:val="0"/>
          <w:iCs w:val="0"/>
          <w:lang w:val="en-GB"/>
        </w:rPr>
        <w:t xml:space="preserve"> </w:t>
      </w:r>
      <w:r w:rsidRPr="00CA260B">
        <w:rPr>
          <w:rStyle w:val="CommentReference"/>
          <w:rFonts w:cs="Arial"/>
          <w:bCs w:val="0"/>
          <w:iCs w:val="0"/>
          <w:sz w:val="24"/>
          <w:szCs w:val="24"/>
          <w:lang w:val="en-GB"/>
        </w:rPr>
        <w:t>may or may not be</w:t>
      </w:r>
      <w:r w:rsidRPr="00FD35D9">
        <w:rPr>
          <w:rStyle w:val="CommentReference"/>
          <w:rFonts w:cs="Arial"/>
          <w:bCs w:val="0"/>
          <w:iCs w:val="0"/>
          <w:szCs w:val="24"/>
          <w:lang w:val="en-GB"/>
        </w:rPr>
        <w:t xml:space="preserve"> </w:t>
      </w:r>
      <w:r w:rsidRPr="00FD35D9">
        <w:rPr>
          <w:lang w:val="en-GB"/>
        </w:rPr>
        <w:t>taking maintenance oral corticosteroids</w:t>
      </w:r>
      <w:r w:rsidR="00CD05CA">
        <w:rPr>
          <w:lang w:val="en-GB"/>
        </w:rPr>
        <w:t xml:space="preserve">. </w:t>
      </w:r>
      <w:r w:rsidR="0004335E">
        <w:rPr>
          <w:lang w:val="en-GB"/>
        </w:rPr>
        <w:t>However,</w:t>
      </w:r>
      <w:r w:rsidR="00CD05CA">
        <w:rPr>
          <w:lang w:val="en-GB"/>
        </w:rPr>
        <w:t xml:space="preserve"> t</w:t>
      </w:r>
      <w:r w:rsidR="00783491" w:rsidRPr="00B272C7">
        <w:rPr>
          <w:lang w:val="en-GB"/>
        </w:rPr>
        <w:t xml:space="preserve">here </w:t>
      </w:r>
      <w:r w:rsidR="00CD05CA">
        <w:rPr>
          <w:lang w:val="en-GB"/>
        </w:rPr>
        <w:t>were</w:t>
      </w:r>
      <w:r w:rsidR="00783491" w:rsidRPr="00B272C7">
        <w:rPr>
          <w:lang w:val="en-GB"/>
        </w:rPr>
        <w:t xml:space="preserve"> very limited evidence clinical efficacy data provided for the compan</w:t>
      </w:r>
      <w:r w:rsidR="004A68E8" w:rsidRPr="00B272C7">
        <w:rPr>
          <w:lang w:val="en-GB"/>
        </w:rPr>
        <w:t>y’s</w:t>
      </w:r>
      <w:r w:rsidR="00783491" w:rsidRPr="00B272C7">
        <w:rPr>
          <w:lang w:val="en-GB"/>
        </w:rPr>
        <w:t xml:space="preserve"> updated population</w:t>
      </w:r>
      <w:r w:rsidR="004A68E8" w:rsidRPr="00B272C7">
        <w:rPr>
          <w:lang w:val="en-GB"/>
        </w:rPr>
        <w:t xml:space="preserve"> </w:t>
      </w:r>
      <w:r w:rsidR="00AB0B0F" w:rsidRPr="00B272C7">
        <w:rPr>
          <w:lang w:val="en-GB"/>
        </w:rPr>
        <w:t>because of</w:t>
      </w:r>
      <w:r w:rsidR="004A68E8" w:rsidRPr="00B272C7">
        <w:rPr>
          <w:lang w:val="en-GB"/>
        </w:rPr>
        <w:t xml:space="preserve"> small number of patients in the QUEST trial corresponding to each subgroup</w:t>
      </w:r>
      <w:r w:rsidR="00783491" w:rsidRPr="00B272C7">
        <w:rPr>
          <w:lang w:val="en-GB"/>
        </w:rPr>
        <w:t xml:space="preserve">. </w:t>
      </w:r>
      <w:r w:rsidR="00466878" w:rsidRPr="00E723FF">
        <w:rPr>
          <w:lang w:val="en-GB"/>
        </w:rPr>
        <w:t>The committee concluded that the clinical effectiveness of dupilumab in the company’s updated base case was</w:t>
      </w:r>
      <w:r w:rsidR="000F7FDF" w:rsidRPr="00E723FF">
        <w:rPr>
          <w:lang w:val="en-GB"/>
        </w:rPr>
        <w:t xml:space="preserve"> highly</w:t>
      </w:r>
      <w:r w:rsidR="00466878" w:rsidRPr="00E723FF">
        <w:rPr>
          <w:lang w:val="en-GB"/>
        </w:rPr>
        <w:t xml:space="preserve"> uncertain</w:t>
      </w:r>
      <w:r w:rsidR="00281AB9" w:rsidRPr="00E723FF">
        <w:rPr>
          <w:lang w:val="en-GB"/>
        </w:rPr>
        <w:t>.</w:t>
      </w:r>
    </w:p>
    <w:p w14:paraId="7CC0C91F" w14:textId="77777777" w:rsidR="00FA40AB" w:rsidRPr="00FD35D9" w:rsidRDefault="00FA40AB" w:rsidP="00FA40AB">
      <w:pPr>
        <w:pStyle w:val="Heading2"/>
      </w:pPr>
      <w:r w:rsidRPr="001C1D1F">
        <w:t>The company’s</w:t>
      </w:r>
      <w:r w:rsidRPr="00FD35D9">
        <w:t xml:space="preserve"> economic model</w:t>
      </w:r>
    </w:p>
    <w:p w14:paraId="0AF0A8AB" w14:textId="77777777" w:rsidR="00FA40AB" w:rsidRPr="00FD35D9" w:rsidRDefault="00FA40AB" w:rsidP="00FA40AB">
      <w:pPr>
        <w:pStyle w:val="Heading3"/>
      </w:pPr>
      <w:bookmarkStart w:id="3" w:name="_Hlk32483576"/>
      <w:r w:rsidRPr="00FD35D9">
        <w:t>The model structure is appropriate for decision making</w:t>
      </w:r>
    </w:p>
    <w:p w14:paraId="4D836C15" w14:textId="77777777" w:rsidR="00FA40AB" w:rsidRPr="00FD35D9" w:rsidRDefault="00FA40AB" w:rsidP="00FA40AB">
      <w:pPr>
        <w:pStyle w:val="Numberedlevel2text"/>
        <w:numPr>
          <w:ilvl w:val="1"/>
          <w:numId w:val="1"/>
        </w:numPr>
        <w:rPr>
          <w:lang w:val="en-GB"/>
        </w:rPr>
      </w:pPr>
      <w:bookmarkStart w:id="4" w:name="_Hlk33187645"/>
      <w:bookmarkEnd w:id="3"/>
      <w:r>
        <w:t>The company submitted a 4</w:t>
      </w:r>
      <w:r>
        <w:noBreakHyphen/>
        <w:t xml:space="preserve">state Markov model comparing </w:t>
      </w:r>
      <w:r>
        <w:rPr>
          <w:lang w:val="en-US"/>
        </w:rPr>
        <w:t xml:space="preserve">dupilumab with </w:t>
      </w:r>
      <w:r>
        <w:t xml:space="preserve">standard care in </w:t>
      </w:r>
      <w:r>
        <w:rPr>
          <w:lang w:val="en-GB"/>
        </w:rPr>
        <w:t xml:space="preserve">people </w:t>
      </w:r>
      <w:r>
        <w:t>with</w:t>
      </w:r>
      <w:r>
        <w:rPr>
          <w:lang w:val="en-US"/>
        </w:rPr>
        <w:t xml:space="preserve"> severe asthma and type 2 inflammation</w:t>
      </w:r>
      <w:bookmarkEnd w:id="4"/>
      <w:r>
        <w:rPr>
          <w:lang w:val="en-US"/>
        </w:rPr>
        <w:t>.</w:t>
      </w:r>
      <w:r>
        <w:t xml:space="preserve"> The model consist</w:t>
      </w:r>
      <w:r>
        <w:rPr>
          <w:lang w:val="en-GB"/>
        </w:rPr>
        <w:t>ed</w:t>
      </w:r>
      <w:r>
        <w:t xml:space="preserve"> of </w:t>
      </w:r>
      <w:r>
        <w:rPr>
          <w:lang w:val="en-GB"/>
        </w:rPr>
        <w:t>4 </w:t>
      </w:r>
      <w:r>
        <w:t>live health states: uncontrolled asthma; controlled asthma; moderate exacerbation; and severe exacerbation. In addition, the model include</w:t>
      </w:r>
      <w:r>
        <w:rPr>
          <w:lang w:val="en-GB"/>
        </w:rPr>
        <w:t>d</w:t>
      </w:r>
      <w:r>
        <w:t xml:space="preserve"> states for asthma-related deaths and death from other cause</w:t>
      </w:r>
      <w:r>
        <w:rPr>
          <w:lang w:val="en-GB"/>
        </w:rPr>
        <w:t xml:space="preserve">s. </w:t>
      </w:r>
      <w:r w:rsidRPr="000F540B">
        <w:t>Response to treatment was defined as a 50% or greater reduction in the annual exacerbation rate, which was assessed at 52 weeks. People whose asthma responded continued on dupilumab and those whose did not transferred to stand</w:t>
      </w:r>
      <w:r w:rsidRPr="00FD35D9">
        <w:rPr>
          <w:lang w:val="en-GB"/>
        </w:rPr>
        <w:t>ard care. The</w:t>
      </w:r>
      <w:r>
        <w:rPr>
          <w:lang w:val="en-GB"/>
        </w:rPr>
        <w:t xml:space="preserve"> company derived the</w:t>
      </w:r>
      <w:r w:rsidRPr="00FD35D9">
        <w:rPr>
          <w:lang w:val="en-GB"/>
        </w:rPr>
        <w:t xml:space="preserve"> efficacy and clinical parameters in the model from the QUEST clinical trial. The committee concluded that the model structure </w:t>
      </w:r>
      <w:r>
        <w:rPr>
          <w:lang w:val="en-GB"/>
        </w:rPr>
        <w:t>wa</w:t>
      </w:r>
      <w:r w:rsidRPr="00FD35D9">
        <w:rPr>
          <w:lang w:val="en-GB"/>
        </w:rPr>
        <w:t>s appropriate for decision making.</w:t>
      </w:r>
    </w:p>
    <w:p w14:paraId="45D631CD" w14:textId="77777777" w:rsidR="00FA40AB" w:rsidRPr="00FD35D9" w:rsidRDefault="00FA40AB" w:rsidP="00FA40AB">
      <w:pPr>
        <w:pStyle w:val="Heading2"/>
      </w:pPr>
      <w:r w:rsidRPr="00FD35D9">
        <w:lastRenderedPageBreak/>
        <w:t>Clinical inputs to the model</w:t>
      </w:r>
    </w:p>
    <w:p w14:paraId="5A89426D" w14:textId="7B49FFBC" w:rsidR="00CF24C7" w:rsidRDefault="00CF24C7" w:rsidP="00FA40AB">
      <w:pPr>
        <w:pStyle w:val="Heading3"/>
      </w:pPr>
      <w:bookmarkStart w:id="5" w:name="_Hlk32487519"/>
      <w:r>
        <w:t xml:space="preserve">The </w:t>
      </w:r>
      <w:r w:rsidR="00191E1B">
        <w:t>evidence</w:t>
      </w:r>
      <w:r>
        <w:t xml:space="preserve"> for the company’s updated population </w:t>
      </w:r>
      <w:r w:rsidR="00F471E2">
        <w:t xml:space="preserve">is </w:t>
      </w:r>
      <w:r w:rsidR="00191E1B">
        <w:t>limited</w:t>
      </w:r>
      <w:r w:rsidR="006B365D">
        <w:t xml:space="preserve"> and</w:t>
      </w:r>
      <w:r w:rsidR="00191E1B">
        <w:t xml:space="preserve"> effectiveness estimates</w:t>
      </w:r>
      <w:r w:rsidR="00F471E2">
        <w:t xml:space="preserve"> are </w:t>
      </w:r>
      <w:r w:rsidR="006B365D">
        <w:t>based on assumptions</w:t>
      </w:r>
    </w:p>
    <w:p w14:paraId="73782E6C" w14:textId="76A556BF" w:rsidR="00CF24C7" w:rsidRPr="00CF24C7" w:rsidRDefault="00CF24C7" w:rsidP="00942F26">
      <w:pPr>
        <w:pStyle w:val="Numberedlevel2text"/>
      </w:pPr>
      <w:r>
        <w:rPr>
          <w:lang w:val="en-GB"/>
        </w:rPr>
        <w:t>The committee</w:t>
      </w:r>
      <w:r w:rsidR="004B3E7B">
        <w:rPr>
          <w:lang w:val="en-GB"/>
        </w:rPr>
        <w:t xml:space="preserve"> </w:t>
      </w:r>
      <w:r w:rsidR="00CD05CA">
        <w:rPr>
          <w:lang w:val="en-GB"/>
        </w:rPr>
        <w:t xml:space="preserve">noted that the </w:t>
      </w:r>
      <w:r w:rsidR="00613B07">
        <w:rPr>
          <w:lang w:val="en-GB"/>
        </w:rPr>
        <w:t xml:space="preserve">company split </w:t>
      </w:r>
      <w:r w:rsidR="00CD05CA">
        <w:rPr>
          <w:lang w:val="en-GB"/>
        </w:rPr>
        <w:t xml:space="preserve">the updated population </w:t>
      </w:r>
      <w:r w:rsidR="00613B07">
        <w:rPr>
          <w:lang w:val="en-GB"/>
        </w:rPr>
        <w:t>in</w:t>
      </w:r>
      <w:r w:rsidR="006841E1">
        <w:rPr>
          <w:lang w:val="en-GB"/>
        </w:rPr>
        <w:t>to</w:t>
      </w:r>
      <w:r w:rsidR="00613B07">
        <w:rPr>
          <w:lang w:val="en-GB"/>
        </w:rPr>
        <w:t xml:space="preserve"> 3 subgroups:</w:t>
      </w:r>
      <w:r w:rsidR="004B3E7B">
        <w:rPr>
          <w:lang w:val="en-GB"/>
        </w:rPr>
        <w:t xml:space="preserve"> </w:t>
      </w:r>
      <w:r w:rsidR="00613B07" w:rsidRPr="00613B07">
        <w:rPr>
          <w:lang w:val="en-GB"/>
        </w:rPr>
        <w:t xml:space="preserve">the adolescents who are aged 12 to 17, the adults who are </w:t>
      </w:r>
      <w:r w:rsidR="002C31A8">
        <w:rPr>
          <w:lang w:val="en-GB"/>
        </w:rPr>
        <w:t xml:space="preserve">not </w:t>
      </w:r>
      <w:r w:rsidR="00613B07" w:rsidRPr="00613B07">
        <w:rPr>
          <w:lang w:val="en-GB"/>
        </w:rPr>
        <w:t xml:space="preserve">eligible </w:t>
      </w:r>
      <w:r w:rsidR="00D745EB">
        <w:rPr>
          <w:lang w:val="en-GB"/>
        </w:rPr>
        <w:t>for</w:t>
      </w:r>
      <w:r w:rsidR="00613B07" w:rsidRPr="00613B07">
        <w:rPr>
          <w:lang w:val="en-GB"/>
        </w:rPr>
        <w:t xml:space="preserve"> biological</w:t>
      </w:r>
      <w:r w:rsidR="00D745EB">
        <w:rPr>
          <w:lang w:val="en-GB"/>
        </w:rPr>
        <w:t>s</w:t>
      </w:r>
      <w:r w:rsidR="00613B07" w:rsidRPr="00613B07">
        <w:rPr>
          <w:lang w:val="en-GB"/>
        </w:rPr>
        <w:t xml:space="preserve"> (blood eosinophil count 150 to 299) and adults who previously received biologic</w:t>
      </w:r>
      <w:r w:rsidR="00293D4F">
        <w:rPr>
          <w:lang w:val="en-GB"/>
        </w:rPr>
        <w:t>als</w:t>
      </w:r>
      <w:r w:rsidR="00613B07" w:rsidRPr="00613B07">
        <w:rPr>
          <w:lang w:val="en-GB"/>
        </w:rPr>
        <w:t xml:space="preserve"> but did not respond (blood eosinophil count of 300 and more). </w:t>
      </w:r>
      <w:r w:rsidR="00AB0B0F">
        <w:rPr>
          <w:lang w:val="en-GB"/>
        </w:rPr>
        <w:t xml:space="preserve">The committee </w:t>
      </w:r>
      <w:r>
        <w:rPr>
          <w:lang w:val="en-GB"/>
        </w:rPr>
        <w:t>noted that the clinical effectiveness</w:t>
      </w:r>
      <w:r w:rsidR="006B365D">
        <w:rPr>
          <w:lang w:val="en-GB"/>
        </w:rPr>
        <w:t xml:space="preserve"> evidence available</w:t>
      </w:r>
      <w:r>
        <w:rPr>
          <w:lang w:val="en-GB"/>
        </w:rPr>
        <w:t xml:space="preserve"> for</w:t>
      </w:r>
      <w:r w:rsidR="00B776E4">
        <w:rPr>
          <w:lang w:val="en-GB"/>
        </w:rPr>
        <w:t xml:space="preserve"> each of</w:t>
      </w:r>
      <w:r>
        <w:rPr>
          <w:lang w:val="en-GB"/>
        </w:rPr>
        <w:t xml:space="preserve"> the </w:t>
      </w:r>
      <w:r w:rsidR="00B776E4">
        <w:rPr>
          <w:lang w:val="en-GB"/>
        </w:rPr>
        <w:t>sub</w:t>
      </w:r>
      <w:r>
        <w:rPr>
          <w:lang w:val="en-GB"/>
        </w:rPr>
        <w:t>population</w:t>
      </w:r>
      <w:r w:rsidR="00B776E4">
        <w:rPr>
          <w:lang w:val="en-GB"/>
        </w:rPr>
        <w:t xml:space="preserve">s </w:t>
      </w:r>
      <w:r>
        <w:rPr>
          <w:lang w:val="en-GB"/>
        </w:rPr>
        <w:t xml:space="preserve">was </w:t>
      </w:r>
      <w:r w:rsidR="006B365D">
        <w:rPr>
          <w:lang w:val="en-GB"/>
        </w:rPr>
        <w:t>limited</w:t>
      </w:r>
      <w:r w:rsidR="004B3E7B">
        <w:rPr>
          <w:lang w:val="en-GB"/>
        </w:rPr>
        <w:t xml:space="preserve"> </w:t>
      </w:r>
      <w:r w:rsidR="00B776E4">
        <w:rPr>
          <w:lang w:val="en-GB"/>
        </w:rPr>
        <w:t>because t</w:t>
      </w:r>
      <w:r w:rsidR="006B365D">
        <w:rPr>
          <w:lang w:val="en-GB"/>
        </w:rPr>
        <w:t>he number of patients included in the QUEST trial corresponding t</w:t>
      </w:r>
      <w:r w:rsidR="00F65E24">
        <w:rPr>
          <w:lang w:val="en-GB"/>
        </w:rPr>
        <w:t xml:space="preserve">o </w:t>
      </w:r>
      <w:r w:rsidR="006B365D" w:rsidRPr="00206A71">
        <w:rPr>
          <w:lang w:val="en-GB"/>
        </w:rPr>
        <w:t>each</w:t>
      </w:r>
      <w:r w:rsidR="006B365D">
        <w:rPr>
          <w:lang w:val="en-GB"/>
        </w:rPr>
        <w:t xml:space="preserve"> subgroup was small</w:t>
      </w:r>
      <w:r w:rsidR="00206A71">
        <w:rPr>
          <w:lang w:val="en-GB"/>
        </w:rPr>
        <w:t xml:space="preserve">. </w:t>
      </w:r>
      <w:r w:rsidR="00206A71" w:rsidRPr="00E723FF">
        <w:rPr>
          <w:lang w:val="en-GB"/>
        </w:rPr>
        <w:t xml:space="preserve">The trial included 2 patients </w:t>
      </w:r>
      <w:r w:rsidR="000556E3" w:rsidRPr="00E723FF">
        <w:rPr>
          <w:lang w:val="en-GB"/>
        </w:rPr>
        <w:t xml:space="preserve">corresponding to </w:t>
      </w:r>
      <w:r w:rsidR="00206A71" w:rsidRPr="00E723FF">
        <w:rPr>
          <w:lang w:val="en-GB"/>
        </w:rPr>
        <w:t>the</w:t>
      </w:r>
      <w:r w:rsidR="000556E3" w:rsidRPr="00E723FF">
        <w:rPr>
          <w:lang w:val="en-GB"/>
        </w:rPr>
        <w:t xml:space="preserve"> adolescent</w:t>
      </w:r>
      <w:r w:rsidR="00206A71" w:rsidRPr="00E723FF">
        <w:rPr>
          <w:lang w:val="en-GB"/>
        </w:rPr>
        <w:t xml:space="preserve"> subgroup and 14 patients </w:t>
      </w:r>
      <w:r w:rsidR="000556E3" w:rsidRPr="00E723FF">
        <w:rPr>
          <w:lang w:val="en-GB"/>
        </w:rPr>
        <w:t>corresponding to</w:t>
      </w:r>
      <w:r w:rsidR="00206A71" w:rsidRPr="00E723FF">
        <w:rPr>
          <w:lang w:val="en-GB"/>
        </w:rPr>
        <w:t xml:space="preserve"> the </w:t>
      </w:r>
      <w:r w:rsidR="000556E3" w:rsidRPr="00E723FF">
        <w:rPr>
          <w:lang w:val="en-GB"/>
        </w:rPr>
        <w:t xml:space="preserve">subgroup of </w:t>
      </w:r>
      <w:r w:rsidR="00206A71" w:rsidRPr="00E723FF">
        <w:rPr>
          <w:lang w:val="en-GB"/>
        </w:rPr>
        <w:t>adult</w:t>
      </w:r>
      <w:r w:rsidR="000556E3" w:rsidRPr="00E723FF">
        <w:rPr>
          <w:lang w:val="en-GB"/>
        </w:rPr>
        <w:t>s</w:t>
      </w:r>
      <w:r w:rsidR="00206A71" w:rsidRPr="00E723FF">
        <w:rPr>
          <w:lang w:val="en-GB"/>
        </w:rPr>
        <w:t xml:space="preserve"> who are not eligible to biologicals.</w:t>
      </w:r>
      <w:r w:rsidR="000556E3" w:rsidRPr="00E723FF">
        <w:rPr>
          <w:lang w:val="en-GB"/>
        </w:rPr>
        <w:t xml:space="preserve"> The QUEST protocol excluded patients who had been on biologicals </w:t>
      </w:r>
      <w:r w:rsidR="006841E1" w:rsidRPr="00E723FF">
        <w:rPr>
          <w:lang w:val="en-GB"/>
        </w:rPr>
        <w:t xml:space="preserve">but </w:t>
      </w:r>
      <w:r w:rsidR="000556E3" w:rsidRPr="00E723FF">
        <w:rPr>
          <w:lang w:val="en-GB"/>
        </w:rPr>
        <w:t xml:space="preserve">1 patient in the trial </w:t>
      </w:r>
      <w:r w:rsidR="006841E1" w:rsidRPr="00E723FF">
        <w:rPr>
          <w:lang w:val="en-GB"/>
        </w:rPr>
        <w:t xml:space="preserve">was included who </w:t>
      </w:r>
      <w:r w:rsidR="000556E3" w:rsidRPr="00E723FF">
        <w:rPr>
          <w:lang w:val="en-GB"/>
        </w:rPr>
        <w:t>had previously received a biological</w:t>
      </w:r>
      <w:r w:rsidR="00F65E24" w:rsidRPr="00942F26">
        <w:rPr>
          <w:lang w:val="en-GB"/>
        </w:rPr>
        <w:t xml:space="preserve">. </w:t>
      </w:r>
      <w:r w:rsidR="006841E1" w:rsidRPr="00942F26">
        <w:rPr>
          <w:lang w:val="en-GB"/>
        </w:rPr>
        <w:t xml:space="preserve">The ERG noted that the estimates of transition probabilities for the company’s updated population were highly uncertain, due to small sample sizes. </w:t>
      </w:r>
      <w:r w:rsidR="006841E1">
        <w:rPr>
          <w:lang w:val="en-GB"/>
        </w:rPr>
        <w:t xml:space="preserve">The </w:t>
      </w:r>
      <w:r w:rsidR="00D82073" w:rsidRPr="00942F26">
        <w:rPr>
          <w:lang w:val="en-GB"/>
        </w:rPr>
        <w:t xml:space="preserve">company </w:t>
      </w:r>
      <w:r w:rsidR="00735651">
        <w:rPr>
          <w:lang w:val="en-GB"/>
        </w:rPr>
        <w:t>assumed</w:t>
      </w:r>
      <w:r w:rsidR="006841E1">
        <w:rPr>
          <w:lang w:val="en-GB"/>
        </w:rPr>
        <w:t xml:space="preserve"> </w:t>
      </w:r>
      <w:r w:rsidR="00B776E4" w:rsidRPr="00942F26">
        <w:rPr>
          <w:lang w:val="en-GB"/>
        </w:rPr>
        <w:t xml:space="preserve">that </w:t>
      </w:r>
      <w:r w:rsidR="004B3E7B" w:rsidRPr="00942F26">
        <w:rPr>
          <w:lang w:val="en-GB"/>
        </w:rPr>
        <w:t xml:space="preserve">clinical effectiveness </w:t>
      </w:r>
      <w:r w:rsidR="008904C5">
        <w:rPr>
          <w:lang w:val="en-GB"/>
        </w:rPr>
        <w:t>was the same for</w:t>
      </w:r>
      <w:r w:rsidR="004B3E7B" w:rsidRPr="00942F26">
        <w:rPr>
          <w:lang w:val="en-GB"/>
        </w:rPr>
        <w:t xml:space="preserve"> each </w:t>
      </w:r>
      <w:r w:rsidR="008904C5" w:rsidRPr="00942F26">
        <w:rPr>
          <w:lang w:val="en-GB"/>
        </w:rPr>
        <w:t>subgroup</w:t>
      </w:r>
      <w:r w:rsidR="002A16BE" w:rsidRPr="00457426">
        <w:rPr>
          <w:lang w:val="en-GB"/>
        </w:rPr>
        <w:t xml:space="preserve"> </w:t>
      </w:r>
      <w:r w:rsidR="008904C5">
        <w:rPr>
          <w:lang w:val="en-GB"/>
        </w:rPr>
        <w:t>based on trial estimates for</w:t>
      </w:r>
      <w:r w:rsidR="000F5915" w:rsidRPr="00942F26">
        <w:rPr>
          <w:lang w:val="en-GB"/>
        </w:rPr>
        <w:t xml:space="preserve"> </w:t>
      </w:r>
      <w:r w:rsidR="000F5915" w:rsidRPr="00B272C7">
        <w:rPr>
          <w:lang w:val="en-GB"/>
        </w:rPr>
        <w:t>the</w:t>
      </w:r>
      <w:r w:rsidR="00274397" w:rsidRPr="00B272C7">
        <w:rPr>
          <w:lang w:val="en-GB"/>
        </w:rPr>
        <w:t xml:space="preserve"> </w:t>
      </w:r>
      <w:r w:rsidR="00BE6F7C" w:rsidRPr="00B272C7">
        <w:rPr>
          <w:lang w:val="en-GB"/>
        </w:rPr>
        <w:t>overall company’s updated population</w:t>
      </w:r>
      <w:r w:rsidR="004B3E7B" w:rsidRPr="00942F26">
        <w:rPr>
          <w:lang w:val="en-GB"/>
        </w:rPr>
        <w:t>.</w:t>
      </w:r>
      <w:r w:rsidR="00B776E4" w:rsidRPr="00942F26">
        <w:rPr>
          <w:lang w:val="en-GB"/>
        </w:rPr>
        <w:t xml:space="preserve"> </w:t>
      </w:r>
      <w:r w:rsidR="001172EA" w:rsidRPr="00942F26">
        <w:rPr>
          <w:lang w:val="en-GB"/>
        </w:rPr>
        <w:t xml:space="preserve">The committee particularly considered the assumption of equal efficacy of dupilumab </w:t>
      </w:r>
      <w:r w:rsidR="00B74128" w:rsidRPr="00B272C7">
        <w:rPr>
          <w:lang w:val="en-GB"/>
        </w:rPr>
        <w:t xml:space="preserve">regardless of whether </w:t>
      </w:r>
      <w:r w:rsidR="001172EA" w:rsidRPr="00B272C7">
        <w:rPr>
          <w:lang w:val="en-GB"/>
        </w:rPr>
        <w:t>people</w:t>
      </w:r>
      <w:r w:rsidR="00B74128" w:rsidRPr="00B272C7">
        <w:rPr>
          <w:lang w:val="en-GB"/>
        </w:rPr>
        <w:t xml:space="preserve"> had received prior biological therapy.</w:t>
      </w:r>
      <w:r w:rsidR="001172EA" w:rsidRPr="00B272C7">
        <w:rPr>
          <w:lang w:val="en-GB"/>
        </w:rPr>
        <w:t xml:space="preserve"> </w:t>
      </w:r>
      <w:r w:rsidR="00B776E4" w:rsidRPr="00942F26">
        <w:rPr>
          <w:lang w:val="en-GB"/>
        </w:rPr>
        <w:t>T</w:t>
      </w:r>
      <w:r w:rsidR="00D82073" w:rsidRPr="00942F26">
        <w:rPr>
          <w:lang w:val="en-GB"/>
        </w:rPr>
        <w:t>he company</w:t>
      </w:r>
      <w:r w:rsidR="004B3E7B" w:rsidRPr="00942F26">
        <w:rPr>
          <w:lang w:val="en-GB"/>
        </w:rPr>
        <w:t xml:space="preserve"> provided </w:t>
      </w:r>
      <w:r w:rsidR="00D82073" w:rsidRPr="00942F26">
        <w:rPr>
          <w:lang w:val="en-GB"/>
        </w:rPr>
        <w:t>clinical expert opinion</w:t>
      </w:r>
      <w:r w:rsidR="004B3E7B" w:rsidRPr="00942F26">
        <w:rPr>
          <w:lang w:val="en-GB"/>
        </w:rPr>
        <w:t xml:space="preserve"> that </w:t>
      </w:r>
      <w:r w:rsidR="00D82073" w:rsidRPr="00942F26">
        <w:rPr>
          <w:lang w:val="en-GB"/>
        </w:rPr>
        <w:t>switch</w:t>
      </w:r>
      <w:r w:rsidR="001172EA" w:rsidRPr="00942F26">
        <w:rPr>
          <w:lang w:val="en-GB"/>
        </w:rPr>
        <w:t>ing</w:t>
      </w:r>
      <w:r w:rsidR="00D82073" w:rsidRPr="00942F26">
        <w:rPr>
          <w:lang w:val="en-GB"/>
        </w:rPr>
        <w:t xml:space="preserve"> from other biologic</w:t>
      </w:r>
      <w:r w:rsidR="00293D4F" w:rsidRPr="00942F26">
        <w:rPr>
          <w:lang w:val="en-GB"/>
        </w:rPr>
        <w:t>al</w:t>
      </w:r>
      <w:r w:rsidR="00D82073" w:rsidRPr="00942F26">
        <w:rPr>
          <w:lang w:val="en-GB"/>
        </w:rPr>
        <w:t>s (</w:t>
      </w:r>
      <w:r w:rsidR="00C72561" w:rsidRPr="00942F26">
        <w:rPr>
          <w:lang w:val="en-GB"/>
        </w:rPr>
        <w:t>interleukin-5 inhibitors</w:t>
      </w:r>
      <w:r w:rsidR="00D82073" w:rsidRPr="00942F26">
        <w:rPr>
          <w:lang w:val="en-GB"/>
        </w:rPr>
        <w:t xml:space="preserve">: mepolizumab, </w:t>
      </w:r>
      <w:proofErr w:type="spellStart"/>
      <w:r w:rsidR="00D82073" w:rsidRPr="00942F26">
        <w:rPr>
          <w:lang w:val="en-GB"/>
        </w:rPr>
        <w:t>reslizumab</w:t>
      </w:r>
      <w:proofErr w:type="spellEnd"/>
      <w:r w:rsidR="00D82073" w:rsidRPr="00942F26">
        <w:rPr>
          <w:lang w:val="en-GB"/>
        </w:rPr>
        <w:t xml:space="preserve">, </w:t>
      </w:r>
      <w:proofErr w:type="spellStart"/>
      <w:r w:rsidR="00D82073" w:rsidRPr="00942F26">
        <w:rPr>
          <w:lang w:val="en-GB"/>
        </w:rPr>
        <w:t>benralizumab</w:t>
      </w:r>
      <w:proofErr w:type="spellEnd"/>
      <w:r w:rsidR="00D82073" w:rsidRPr="00942F26">
        <w:rPr>
          <w:lang w:val="en-GB"/>
        </w:rPr>
        <w:t>) to dupilumab (</w:t>
      </w:r>
      <w:r w:rsidR="00C72561" w:rsidRPr="00942F26">
        <w:rPr>
          <w:lang w:val="en-GB"/>
        </w:rPr>
        <w:t>interleukin-</w:t>
      </w:r>
      <w:r w:rsidR="00D82073" w:rsidRPr="00942F26">
        <w:rPr>
          <w:lang w:val="en-GB"/>
        </w:rPr>
        <w:t>4/13</w:t>
      </w:r>
      <w:r w:rsidR="00C72561" w:rsidRPr="00942F26">
        <w:rPr>
          <w:lang w:val="en-GB"/>
        </w:rPr>
        <w:t xml:space="preserve"> inhibitor</w:t>
      </w:r>
      <w:r w:rsidR="00D82073" w:rsidRPr="00942F26">
        <w:rPr>
          <w:lang w:val="en-GB"/>
        </w:rPr>
        <w:t>) was acceptable because the mechanisms of action were different enough.</w:t>
      </w:r>
      <w:r w:rsidR="00537A9B" w:rsidRPr="00942F26">
        <w:rPr>
          <w:lang w:val="en-GB"/>
        </w:rPr>
        <w:t xml:space="preserve"> </w:t>
      </w:r>
      <w:r w:rsidR="00C72561" w:rsidRPr="00942F26">
        <w:rPr>
          <w:lang w:val="en-GB"/>
        </w:rPr>
        <w:t xml:space="preserve">The committee was concerned about this assumption and </w:t>
      </w:r>
      <w:r w:rsidR="00401B91" w:rsidRPr="00942F26">
        <w:rPr>
          <w:lang w:val="en-GB"/>
        </w:rPr>
        <w:t>considered</w:t>
      </w:r>
      <w:r w:rsidR="00C72561" w:rsidRPr="00942F26">
        <w:rPr>
          <w:lang w:val="en-GB"/>
        </w:rPr>
        <w:t xml:space="preserve"> that although it is plausible that people who did not respond to other biologic</w:t>
      </w:r>
      <w:r w:rsidR="00293D4F" w:rsidRPr="00942F26">
        <w:rPr>
          <w:lang w:val="en-GB"/>
        </w:rPr>
        <w:t>al</w:t>
      </w:r>
      <w:r w:rsidR="00C72561" w:rsidRPr="00942F26">
        <w:rPr>
          <w:lang w:val="en-GB"/>
        </w:rPr>
        <w:t>s could respond to dupilumab,</w:t>
      </w:r>
      <w:r w:rsidR="005D6715" w:rsidRPr="00942F26">
        <w:rPr>
          <w:lang w:val="en-GB"/>
        </w:rPr>
        <w:t xml:space="preserve"> </w:t>
      </w:r>
      <w:r w:rsidR="00C72561" w:rsidRPr="00942F26">
        <w:rPr>
          <w:lang w:val="en-GB"/>
        </w:rPr>
        <w:t xml:space="preserve">assuming that the response rate would be as good as in people not eligible </w:t>
      </w:r>
      <w:r w:rsidR="002C31A8" w:rsidRPr="00942F26">
        <w:rPr>
          <w:lang w:val="en-GB"/>
        </w:rPr>
        <w:t>for</w:t>
      </w:r>
      <w:r w:rsidR="00C72561" w:rsidRPr="00942F26">
        <w:rPr>
          <w:lang w:val="en-GB"/>
        </w:rPr>
        <w:t xml:space="preserve"> other biologic</w:t>
      </w:r>
      <w:r w:rsidR="00293D4F" w:rsidRPr="00942F26">
        <w:rPr>
          <w:lang w:val="en-GB"/>
        </w:rPr>
        <w:t>al</w:t>
      </w:r>
      <w:r w:rsidR="00C72561" w:rsidRPr="00942F26">
        <w:rPr>
          <w:lang w:val="en-GB"/>
        </w:rPr>
        <w:t xml:space="preserve">s was </w:t>
      </w:r>
      <w:r w:rsidR="00401B91" w:rsidRPr="00942F26">
        <w:rPr>
          <w:lang w:val="en-GB"/>
        </w:rPr>
        <w:t>optimistic</w:t>
      </w:r>
      <w:r w:rsidR="00C72561" w:rsidRPr="00942F26">
        <w:rPr>
          <w:lang w:val="en-GB"/>
        </w:rPr>
        <w:t>. The</w:t>
      </w:r>
      <w:r w:rsidR="0034294A" w:rsidRPr="00942F26">
        <w:rPr>
          <w:lang w:val="en-GB"/>
        </w:rPr>
        <w:t xml:space="preserve"> committee</w:t>
      </w:r>
      <w:r w:rsidR="001172EA" w:rsidRPr="00942F26">
        <w:rPr>
          <w:lang w:val="en-GB"/>
        </w:rPr>
        <w:t xml:space="preserve"> considered this to be a key area of uncertainty and noted that it</w:t>
      </w:r>
      <w:r w:rsidR="00C72561" w:rsidRPr="00942F26">
        <w:rPr>
          <w:lang w:val="en-GB"/>
        </w:rPr>
        <w:t xml:space="preserve"> would have liked to see exploration of</w:t>
      </w:r>
      <w:r w:rsidR="000E71FE" w:rsidRPr="00942F26">
        <w:rPr>
          <w:lang w:val="en-GB"/>
        </w:rPr>
        <w:t xml:space="preserve"> scenarios with</w:t>
      </w:r>
      <w:r w:rsidR="00C72561" w:rsidRPr="00942F26">
        <w:rPr>
          <w:lang w:val="en-GB"/>
        </w:rPr>
        <w:t xml:space="preserve"> </w:t>
      </w:r>
      <w:r w:rsidR="001172EA" w:rsidRPr="00942F26">
        <w:rPr>
          <w:lang w:val="en-GB"/>
        </w:rPr>
        <w:t xml:space="preserve">a </w:t>
      </w:r>
      <w:r w:rsidR="001172EA" w:rsidRPr="00942F26">
        <w:rPr>
          <w:lang w:val="en-GB"/>
        </w:rPr>
        <w:lastRenderedPageBreak/>
        <w:t xml:space="preserve">range of </w:t>
      </w:r>
      <w:r w:rsidR="00C72561" w:rsidRPr="00942F26">
        <w:rPr>
          <w:lang w:val="en-GB"/>
        </w:rPr>
        <w:t>alternative response rates for the group of adult</w:t>
      </w:r>
      <w:r w:rsidR="00401B91" w:rsidRPr="00942F26">
        <w:rPr>
          <w:lang w:val="en-GB"/>
        </w:rPr>
        <w:t>s</w:t>
      </w:r>
      <w:r w:rsidR="00C72561" w:rsidRPr="00942F26">
        <w:rPr>
          <w:lang w:val="en-GB"/>
        </w:rPr>
        <w:t xml:space="preserve"> who did not respond to biologic</w:t>
      </w:r>
      <w:r w:rsidR="00293D4F" w:rsidRPr="00942F26">
        <w:rPr>
          <w:lang w:val="en-GB"/>
        </w:rPr>
        <w:t>al</w:t>
      </w:r>
      <w:r w:rsidR="00D745EB" w:rsidRPr="00942F26">
        <w:rPr>
          <w:lang w:val="en-GB"/>
        </w:rPr>
        <w:t xml:space="preserve"> therapy</w:t>
      </w:r>
      <w:r w:rsidR="00C72561" w:rsidRPr="00942F26">
        <w:rPr>
          <w:lang w:val="en-GB"/>
        </w:rPr>
        <w:t>.</w:t>
      </w:r>
      <w:r w:rsidR="00191E1B" w:rsidRPr="00942F26">
        <w:rPr>
          <w:lang w:val="en-GB"/>
        </w:rPr>
        <w:t xml:space="preserve"> The committee concluded that the</w:t>
      </w:r>
      <w:r w:rsidR="002A16BE" w:rsidRPr="00942F26">
        <w:rPr>
          <w:lang w:val="en-GB"/>
        </w:rPr>
        <w:t xml:space="preserve"> effectiveness estimates</w:t>
      </w:r>
      <w:r w:rsidR="00191E1B" w:rsidRPr="00942F26">
        <w:rPr>
          <w:lang w:val="en-GB"/>
        </w:rPr>
        <w:t xml:space="preserve"> in the </w:t>
      </w:r>
      <w:r w:rsidR="008E5667" w:rsidRPr="00942F26">
        <w:rPr>
          <w:lang w:val="en-GB"/>
        </w:rPr>
        <w:t>company’s updated population w</w:t>
      </w:r>
      <w:r w:rsidR="002A16BE" w:rsidRPr="00942F26">
        <w:rPr>
          <w:lang w:val="en-GB"/>
        </w:rPr>
        <w:t>ere</w:t>
      </w:r>
      <w:r w:rsidR="00191E1B" w:rsidRPr="00942F26">
        <w:rPr>
          <w:lang w:val="en-GB"/>
        </w:rPr>
        <w:t xml:space="preserve"> </w:t>
      </w:r>
      <w:r w:rsidR="006841E1">
        <w:rPr>
          <w:lang w:val="en-GB"/>
        </w:rPr>
        <w:t xml:space="preserve">highly </w:t>
      </w:r>
      <w:r w:rsidR="00191E1B" w:rsidRPr="00942F26">
        <w:rPr>
          <w:lang w:val="en-GB"/>
        </w:rPr>
        <w:t>uncertain</w:t>
      </w:r>
      <w:r w:rsidR="00F471E2" w:rsidRPr="00942F26">
        <w:rPr>
          <w:lang w:val="en-GB"/>
        </w:rPr>
        <w:t>.</w:t>
      </w:r>
    </w:p>
    <w:p w14:paraId="45416CF3" w14:textId="4A291EAE" w:rsidR="00FA40AB" w:rsidRPr="00FD35D9" w:rsidRDefault="00613B07" w:rsidP="00FA40AB">
      <w:pPr>
        <w:pStyle w:val="Heading3"/>
      </w:pPr>
      <w:r>
        <w:t>The company’s updated base case does not include a multiplier for long-term severe exacerbation rates</w:t>
      </w:r>
    </w:p>
    <w:p w14:paraId="7C39ECED" w14:textId="5590E074" w:rsidR="00FA40AB" w:rsidRPr="00B272C7" w:rsidRDefault="00FA40AB" w:rsidP="00B272C7">
      <w:pPr>
        <w:pStyle w:val="Numberedlevel2text"/>
        <w:rPr>
          <w:lang w:val="en-GB"/>
        </w:rPr>
      </w:pPr>
      <w:r w:rsidRPr="00DE3B91">
        <w:rPr>
          <w:lang w:val="en-GB"/>
        </w:rPr>
        <w:t>The committee noted that asthma-related mortality often drives cost effectiveness in asthma models. The annual severe exacerbation rate (2.39</w:t>
      </w:r>
      <w:r>
        <w:rPr>
          <w:lang w:val="en-GB"/>
        </w:rPr>
        <w:t> </w:t>
      </w:r>
      <w:r w:rsidRPr="00DE3B91">
        <w:rPr>
          <w:lang w:val="en-GB"/>
        </w:rPr>
        <w:t>exacerbations per year) in the placebo arm of the QUEST trial was lower than observed in clinical practice in the year before trial enrolment (4.46</w:t>
      </w:r>
      <w:r>
        <w:rPr>
          <w:lang w:val="en-GB"/>
        </w:rPr>
        <w:t> </w:t>
      </w:r>
      <w:r w:rsidRPr="00DE3B91">
        <w:rPr>
          <w:lang w:val="en-GB"/>
        </w:rPr>
        <w:t>exacerbations per year).The company</w:t>
      </w:r>
      <w:r w:rsidR="00DA182A">
        <w:rPr>
          <w:lang w:val="en-GB"/>
        </w:rPr>
        <w:t>’s</w:t>
      </w:r>
      <w:r w:rsidRPr="00DE3B91">
        <w:rPr>
          <w:lang w:val="en-GB"/>
        </w:rPr>
        <w:t xml:space="preserve"> </w:t>
      </w:r>
      <w:r w:rsidR="00DA182A">
        <w:rPr>
          <w:lang w:val="en-GB"/>
        </w:rPr>
        <w:t>model after technical engagement</w:t>
      </w:r>
      <w:r w:rsidR="004B3E7B">
        <w:rPr>
          <w:lang w:val="en-GB"/>
        </w:rPr>
        <w:t xml:space="preserve"> used the </w:t>
      </w:r>
      <w:r w:rsidRPr="00DE3B91">
        <w:rPr>
          <w:lang w:val="en-GB"/>
        </w:rPr>
        <w:t xml:space="preserve"> exacerbation rates from QUEST and VENTURE in the first year </w:t>
      </w:r>
      <w:r w:rsidR="004B3E7B">
        <w:rPr>
          <w:lang w:val="en-GB"/>
        </w:rPr>
        <w:t>of the model and</w:t>
      </w:r>
      <w:r w:rsidRPr="00DE3B91">
        <w:rPr>
          <w:lang w:val="en-GB"/>
        </w:rPr>
        <w:t xml:space="preserve"> increased the number of severe exacerbations in subsequent years for both dupilumab and standard care by applying a multiplier</w:t>
      </w:r>
      <w:r w:rsidR="00B272C7">
        <w:rPr>
          <w:lang w:val="en-GB"/>
        </w:rPr>
        <w:t xml:space="preserve">. </w:t>
      </w:r>
      <w:r w:rsidRPr="00DE3B91">
        <w:rPr>
          <w:lang w:val="en-GB"/>
        </w:rPr>
        <w:t>The ERG</w:t>
      </w:r>
      <w:r w:rsidR="004B3E7B">
        <w:rPr>
          <w:lang w:val="en-GB"/>
        </w:rPr>
        <w:t xml:space="preserve"> considered the trial to be the best source of exacerbation data and </w:t>
      </w:r>
      <w:r w:rsidRPr="00DE3B91">
        <w:rPr>
          <w:lang w:val="en-GB"/>
        </w:rPr>
        <w:t xml:space="preserve">did not include </w:t>
      </w:r>
      <w:r>
        <w:rPr>
          <w:lang w:val="en-GB"/>
        </w:rPr>
        <w:t>an exacerbation multiplier</w:t>
      </w:r>
      <w:r w:rsidR="004B3E7B">
        <w:rPr>
          <w:lang w:val="en-GB"/>
        </w:rPr>
        <w:t xml:space="preserve"> in its base case model which</w:t>
      </w:r>
      <w:r w:rsidR="004B3E7B" w:rsidRPr="00DE3B91">
        <w:rPr>
          <w:lang w:val="en-GB"/>
        </w:rPr>
        <w:t xml:space="preserve"> resulted</w:t>
      </w:r>
      <w:r w:rsidRPr="00DE3B91">
        <w:rPr>
          <w:lang w:val="en-GB"/>
        </w:rPr>
        <w:t xml:space="preserve"> in higher incremental cost effectiveness ratios (ICERs). </w:t>
      </w:r>
      <w:bookmarkStart w:id="6" w:name="_Hlk33517190"/>
      <w:r w:rsidR="008D35D4">
        <w:t>T</w:t>
      </w:r>
      <w:r w:rsidR="002F3C86">
        <w:t>he company</w:t>
      </w:r>
      <w:r w:rsidR="00EF67F6" w:rsidRPr="00B272C7">
        <w:rPr>
          <w:lang w:val="en-US"/>
        </w:rPr>
        <w:t xml:space="preserve"> </w:t>
      </w:r>
      <w:r w:rsidR="008D35D4" w:rsidRPr="00B272C7">
        <w:rPr>
          <w:lang w:val="en-US"/>
        </w:rPr>
        <w:t xml:space="preserve">provided </w:t>
      </w:r>
      <w:r w:rsidR="00613B07" w:rsidRPr="00B272C7">
        <w:rPr>
          <w:lang w:val="en-US"/>
        </w:rPr>
        <w:t>evidence</w:t>
      </w:r>
      <w:r w:rsidR="00EF67F6" w:rsidRPr="00B272C7">
        <w:rPr>
          <w:lang w:val="en-US"/>
        </w:rPr>
        <w:t xml:space="preserve"> </w:t>
      </w:r>
      <w:r w:rsidR="008D35D4" w:rsidRPr="00B272C7">
        <w:rPr>
          <w:lang w:val="en-US"/>
        </w:rPr>
        <w:t xml:space="preserve">on </w:t>
      </w:r>
      <w:r w:rsidR="00E27A9C">
        <w:t>severe exacerbation rates from 3 severe asthma cohorts</w:t>
      </w:r>
      <w:r w:rsidR="008B771C">
        <w:t xml:space="preserve">: </w:t>
      </w:r>
      <w:r w:rsidR="008B771C" w:rsidRPr="008B771C">
        <w:t>WATCH (Wessex Asthma Cohort of Difficult Asthma)</w:t>
      </w:r>
      <w:r w:rsidR="008B771C">
        <w:t xml:space="preserve">, </w:t>
      </w:r>
      <w:r w:rsidR="008B771C" w:rsidRPr="008B771C">
        <w:t xml:space="preserve">U-BIOPRED (Unbiased </w:t>
      </w:r>
      <w:proofErr w:type="spellStart"/>
      <w:r w:rsidR="008B771C" w:rsidRPr="008B771C">
        <w:t>BIOmarkers</w:t>
      </w:r>
      <w:proofErr w:type="spellEnd"/>
      <w:r w:rsidR="008B771C" w:rsidRPr="008B771C">
        <w:t xml:space="preserve"> in </w:t>
      </w:r>
      <w:proofErr w:type="spellStart"/>
      <w:r w:rsidR="008B771C" w:rsidRPr="008B771C">
        <w:t>PREDiction</w:t>
      </w:r>
      <w:proofErr w:type="spellEnd"/>
      <w:r w:rsidR="008B771C" w:rsidRPr="008B771C">
        <w:t xml:space="preserve"> of respiratory disease outcomes)</w:t>
      </w:r>
      <w:r w:rsidR="008B771C">
        <w:t xml:space="preserve"> and the Sanofi Real World Evidence (RWE) study</w:t>
      </w:r>
      <w:r w:rsidR="00E27A9C">
        <w:t>.</w:t>
      </w:r>
      <w:r w:rsidR="008D35D4">
        <w:t xml:space="preserve"> It also accepted the</w:t>
      </w:r>
      <w:r w:rsidR="00E27A9C">
        <w:t xml:space="preserve"> </w:t>
      </w:r>
      <w:r w:rsidR="00CF24C7">
        <w:t>committee and ERG’s concerns about the uncertainty of using a multiplier. The</w:t>
      </w:r>
      <w:r w:rsidR="00EF67F6" w:rsidRPr="00B272C7">
        <w:rPr>
          <w:lang w:val="en-US"/>
        </w:rPr>
        <w:t xml:space="preserve"> exacerbation rates in the</w:t>
      </w:r>
      <w:r w:rsidR="00CF24C7">
        <w:t xml:space="preserve"> </w:t>
      </w:r>
      <w:r w:rsidR="00EF67F6">
        <w:t>company</w:t>
      </w:r>
      <w:r w:rsidR="00EF67F6" w:rsidRPr="00B272C7">
        <w:rPr>
          <w:lang w:val="en-US"/>
        </w:rPr>
        <w:t>’s</w:t>
      </w:r>
      <w:r w:rsidR="00CF24C7">
        <w:t xml:space="preserve"> updated base case </w:t>
      </w:r>
      <w:r w:rsidR="00EF67F6" w:rsidRPr="00B272C7">
        <w:rPr>
          <w:lang w:val="en-US"/>
        </w:rPr>
        <w:t>model were taken</w:t>
      </w:r>
      <w:r w:rsidR="00CF24C7">
        <w:t xml:space="preserve"> from the QUEST trial for the duration of the model</w:t>
      </w:r>
      <w:r w:rsidR="00EF67F6" w:rsidRPr="00B272C7">
        <w:rPr>
          <w:lang w:val="en-US"/>
        </w:rPr>
        <w:t xml:space="preserve"> without an exacerbation multiplier</w:t>
      </w:r>
      <w:r w:rsidR="002C02BF">
        <w:rPr>
          <w:lang w:val="en-US"/>
        </w:rPr>
        <w:t xml:space="preserve">. </w:t>
      </w:r>
      <w:r w:rsidR="00CF24C7">
        <w:t>The committee concluded that the updated base ca</w:t>
      </w:r>
      <w:r w:rsidR="009469E9">
        <w:t>s</w:t>
      </w:r>
      <w:r w:rsidR="00CF24C7">
        <w:t>e</w:t>
      </w:r>
      <w:r w:rsidR="008D35D4">
        <w:t xml:space="preserve"> without</w:t>
      </w:r>
      <w:r w:rsidR="009469E9">
        <w:t xml:space="preserve"> the exacerbation</w:t>
      </w:r>
      <w:r w:rsidR="008D35D4">
        <w:t xml:space="preserve"> multiplier</w:t>
      </w:r>
      <w:r w:rsidR="00EF67F6" w:rsidRPr="00B272C7">
        <w:rPr>
          <w:lang w:val="en-US"/>
        </w:rPr>
        <w:t xml:space="preserve"> </w:t>
      </w:r>
      <w:r w:rsidR="00CF24C7">
        <w:t>was appropriate.</w:t>
      </w:r>
    </w:p>
    <w:bookmarkEnd w:id="6"/>
    <w:p w14:paraId="5543435F" w14:textId="73601C93" w:rsidR="00FA40AB" w:rsidRPr="00FD35D9" w:rsidRDefault="00EF67F6" w:rsidP="00FA40AB">
      <w:pPr>
        <w:pStyle w:val="Heading3"/>
      </w:pPr>
      <w:r>
        <w:t xml:space="preserve">Real world evidence is best source of data </w:t>
      </w:r>
      <w:r w:rsidR="00FA40AB" w:rsidRPr="00FD35D9">
        <w:t xml:space="preserve">to inform the setting </w:t>
      </w:r>
      <w:r w:rsidR="00FA40AB">
        <w:t>of</w:t>
      </w:r>
      <w:r w:rsidR="00FA40AB" w:rsidRPr="00FD35D9">
        <w:t xml:space="preserve"> trea</w:t>
      </w:r>
      <w:r w:rsidR="00FA40AB">
        <w:t>tin</w:t>
      </w:r>
      <w:r w:rsidR="00FA40AB" w:rsidRPr="00FD35D9">
        <w:t xml:space="preserve">g </w:t>
      </w:r>
      <w:r>
        <w:t xml:space="preserve">severe </w:t>
      </w:r>
      <w:r w:rsidR="00FA40AB" w:rsidRPr="00FD35D9">
        <w:t>exacerbations</w:t>
      </w:r>
    </w:p>
    <w:p w14:paraId="107C7658" w14:textId="3856BFC5" w:rsidR="00FA40AB" w:rsidRDefault="00FA40AB" w:rsidP="00FA40AB">
      <w:pPr>
        <w:pStyle w:val="Numberedlevel2text"/>
        <w:numPr>
          <w:ilvl w:val="1"/>
          <w:numId w:val="1"/>
        </w:numPr>
        <w:rPr>
          <w:lang w:val="en-GB"/>
        </w:rPr>
      </w:pPr>
      <w:r w:rsidRPr="00FD35D9">
        <w:rPr>
          <w:lang w:val="en-GB"/>
        </w:rPr>
        <w:t>The company assigned different mortality rate</w:t>
      </w:r>
      <w:r>
        <w:rPr>
          <w:lang w:val="en-GB"/>
        </w:rPr>
        <w:t>s</w:t>
      </w:r>
      <w:r w:rsidRPr="00FD35D9">
        <w:rPr>
          <w:lang w:val="en-GB"/>
        </w:rPr>
        <w:t xml:space="preserve"> to severe exacerbations treated </w:t>
      </w:r>
      <w:r>
        <w:rPr>
          <w:lang w:val="en-GB"/>
        </w:rPr>
        <w:t xml:space="preserve">in </w:t>
      </w:r>
      <w:r w:rsidRPr="00FD35D9">
        <w:rPr>
          <w:lang w:val="en-GB"/>
        </w:rPr>
        <w:t>hospital emergency care</w:t>
      </w:r>
      <w:r>
        <w:rPr>
          <w:lang w:val="en-GB"/>
        </w:rPr>
        <w:t>,</w:t>
      </w:r>
      <w:r w:rsidRPr="00FD35D9">
        <w:rPr>
          <w:lang w:val="en-GB"/>
        </w:rPr>
        <w:t xml:space="preserve"> </w:t>
      </w:r>
      <w:proofErr w:type="gramStart"/>
      <w:r w:rsidRPr="00FD35D9">
        <w:rPr>
          <w:lang w:val="en-GB"/>
        </w:rPr>
        <w:t>inpatient</w:t>
      </w:r>
      <w:r>
        <w:rPr>
          <w:lang w:val="en-GB"/>
        </w:rPr>
        <w:t>s</w:t>
      </w:r>
      <w:proofErr w:type="gramEnd"/>
      <w:r w:rsidRPr="00FD35D9">
        <w:rPr>
          <w:lang w:val="en-GB"/>
        </w:rPr>
        <w:t xml:space="preserve"> and </w:t>
      </w:r>
      <w:r>
        <w:rPr>
          <w:lang w:val="en-GB"/>
        </w:rPr>
        <w:t>general practice</w:t>
      </w:r>
      <w:r w:rsidRPr="00FD35D9">
        <w:rPr>
          <w:lang w:val="en-GB"/>
        </w:rPr>
        <w:t xml:space="preserve">. </w:t>
      </w:r>
      <w:r w:rsidR="003539B8">
        <w:rPr>
          <w:lang w:val="en-GB"/>
        </w:rPr>
        <w:t xml:space="preserve">In </w:t>
      </w:r>
      <w:r w:rsidR="003539B8" w:rsidRPr="00FD35D9">
        <w:rPr>
          <w:lang w:val="en-GB"/>
        </w:rPr>
        <w:t xml:space="preserve">the </w:t>
      </w:r>
      <w:r w:rsidR="003539B8" w:rsidRPr="00FD35D9">
        <w:rPr>
          <w:lang w:val="en-GB"/>
        </w:rPr>
        <w:lastRenderedPageBreak/>
        <w:t xml:space="preserve">QUEST trial </w:t>
      </w:r>
      <w:r w:rsidRPr="00FD35D9">
        <w:rPr>
          <w:lang w:val="en-GB"/>
        </w:rPr>
        <w:t>6.7% of severe exacerbations</w:t>
      </w:r>
      <w:r w:rsidR="003539B8">
        <w:rPr>
          <w:lang w:val="en-GB"/>
        </w:rPr>
        <w:t xml:space="preserve"> were</w:t>
      </w:r>
      <w:r w:rsidRPr="00FD35D9">
        <w:rPr>
          <w:lang w:val="en-GB"/>
        </w:rPr>
        <w:t xml:space="preserve"> treated in hospital (3</w:t>
      </w:r>
      <w:r>
        <w:rPr>
          <w:lang w:val="en-GB"/>
        </w:rPr>
        <w:t>.0</w:t>
      </w:r>
      <w:r w:rsidRPr="00FD35D9">
        <w:rPr>
          <w:lang w:val="en-GB"/>
        </w:rPr>
        <w:t xml:space="preserve">% in emergency care, 3.7% </w:t>
      </w:r>
      <w:r>
        <w:rPr>
          <w:lang w:val="en-GB"/>
        </w:rPr>
        <w:t>in</w:t>
      </w:r>
      <w:r w:rsidRPr="00FD35D9">
        <w:rPr>
          <w:lang w:val="en-GB"/>
        </w:rPr>
        <w:t xml:space="preserve"> inpatients and 93.3% </w:t>
      </w:r>
      <w:r>
        <w:rPr>
          <w:lang w:val="en-GB"/>
        </w:rPr>
        <w:t>in general practice</w:t>
      </w:r>
      <w:r w:rsidR="003539B8">
        <w:rPr>
          <w:lang w:val="en-GB"/>
        </w:rPr>
        <w:t>)</w:t>
      </w:r>
      <w:r w:rsidRPr="00FD35D9">
        <w:rPr>
          <w:lang w:val="en-GB"/>
        </w:rPr>
        <w:t>.</w:t>
      </w:r>
      <w:r w:rsidR="00C8205D">
        <w:rPr>
          <w:lang w:val="en-GB"/>
        </w:rPr>
        <w:t xml:space="preserve"> The company originally based r</w:t>
      </w:r>
      <w:r w:rsidR="00C8205D" w:rsidRPr="00FD35D9">
        <w:rPr>
          <w:lang w:val="en-GB"/>
        </w:rPr>
        <w:t xml:space="preserve">esource use associated with severe exacerbations </w:t>
      </w:r>
      <w:r w:rsidR="00CA5539">
        <w:rPr>
          <w:lang w:val="en-US"/>
        </w:rPr>
        <w:t>on the</w:t>
      </w:r>
      <w:r w:rsidR="00C8205D" w:rsidRPr="00FD35D9">
        <w:rPr>
          <w:lang w:val="en-GB"/>
        </w:rPr>
        <w:t xml:space="preserve"> </w:t>
      </w:r>
      <w:r w:rsidR="00C8205D">
        <w:rPr>
          <w:lang w:val="en-GB"/>
        </w:rPr>
        <w:t xml:space="preserve">UK </w:t>
      </w:r>
      <w:r w:rsidR="00C8205D">
        <w:rPr>
          <w:lang w:val="en-US"/>
        </w:rPr>
        <w:t xml:space="preserve">Difficult Asthma Registry </w:t>
      </w:r>
      <w:r w:rsidR="00C8205D" w:rsidRPr="00FD35D9">
        <w:rPr>
          <w:lang w:val="en-GB"/>
        </w:rPr>
        <w:t xml:space="preserve">registry data </w:t>
      </w:r>
      <w:r w:rsidR="00C8205D">
        <w:rPr>
          <w:lang w:val="en-GB"/>
        </w:rPr>
        <w:t>(</w:t>
      </w:r>
      <w:r w:rsidR="00C8205D">
        <w:rPr>
          <w:lang w:val="en-US"/>
        </w:rPr>
        <w:t>O’Neill 2015</w:t>
      </w:r>
      <w:r w:rsidR="00C8205D" w:rsidRPr="00FD35D9">
        <w:rPr>
          <w:lang w:val="en-GB"/>
        </w:rPr>
        <w:t>)</w:t>
      </w:r>
      <w:r w:rsidR="00C8205D">
        <w:rPr>
          <w:lang w:val="en-GB"/>
        </w:rPr>
        <w:t xml:space="preserve"> with 26.5% </w:t>
      </w:r>
      <w:r w:rsidR="00C8205D" w:rsidRPr="00FD35D9">
        <w:rPr>
          <w:lang w:val="en-GB"/>
        </w:rPr>
        <w:t xml:space="preserve">(7.8% in emergency care, 18.7% </w:t>
      </w:r>
      <w:r w:rsidR="00C8205D">
        <w:rPr>
          <w:lang w:val="en-GB"/>
        </w:rPr>
        <w:t>in</w:t>
      </w:r>
      <w:r w:rsidR="00C8205D" w:rsidRPr="00FD35D9">
        <w:rPr>
          <w:lang w:val="en-GB"/>
        </w:rPr>
        <w:t xml:space="preserve"> inpatients</w:t>
      </w:r>
      <w:r w:rsidR="00C8205D">
        <w:rPr>
          <w:lang w:val="en-GB"/>
        </w:rPr>
        <w:t xml:space="preserve">) </w:t>
      </w:r>
      <w:r w:rsidR="00C8205D" w:rsidRPr="00FD35D9">
        <w:rPr>
          <w:lang w:val="en-GB"/>
        </w:rPr>
        <w:t>and 74</w:t>
      </w:r>
      <w:r w:rsidR="00C8205D">
        <w:rPr>
          <w:lang w:val="en-GB"/>
        </w:rPr>
        <w:t>.0</w:t>
      </w:r>
      <w:r w:rsidR="00C8205D" w:rsidRPr="00FD35D9">
        <w:rPr>
          <w:lang w:val="en-GB"/>
        </w:rPr>
        <w:t xml:space="preserve">% </w:t>
      </w:r>
      <w:r w:rsidR="00C8205D">
        <w:rPr>
          <w:lang w:val="en-GB"/>
        </w:rPr>
        <w:t>in general practice) as a better estimate or resource use in the NHS</w:t>
      </w:r>
      <w:r w:rsidR="00C8205D" w:rsidRPr="00FD35D9">
        <w:rPr>
          <w:lang w:val="en-GB"/>
        </w:rPr>
        <w:t xml:space="preserve">. </w:t>
      </w:r>
      <w:r w:rsidRPr="00FD35D9">
        <w:rPr>
          <w:lang w:val="en-GB"/>
        </w:rPr>
        <w:t>The ERG base</w:t>
      </w:r>
      <w:r>
        <w:rPr>
          <w:lang w:val="en-GB"/>
        </w:rPr>
        <w:t>-</w:t>
      </w:r>
      <w:r w:rsidRPr="00FD35D9">
        <w:rPr>
          <w:lang w:val="en-GB"/>
        </w:rPr>
        <w:t xml:space="preserve">case model used the QUEST data for the setting of severe exacerbations. The clinical expert </w:t>
      </w:r>
      <w:r>
        <w:rPr>
          <w:lang w:val="en-GB"/>
        </w:rPr>
        <w:t xml:space="preserve">explained </w:t>
      </w:r>
      <w:r w:rsidRPr="00FD35D9">
        <w:rPr>
          <w:lang w:val="en-GB"/>
        </w:rPr>
        <w:t xml:space="preserve">that the number of patients treated in hospital in clinical practice is likely to be higher than </w:t>
      </w:r>
      <w:r>
        <w:rPr>
          <w:lang w:val="en-GB"/>
        </w:rPr>
        <w:t>that seen</w:t>
      </w:r>
      <w:r w:rsidRPr="00FD35D9">
        <w:rPr>
          <w:lang w:val="en-GB"/>
        </w:rPr>
        <w:t xml:space="preserve"> in the trial because patients in trials are well monitored on optimised treatment, more motivated and have better adherence to treatment</w:t>
      </w:r>
      <w:r w:rsidR="00973DAB">
        <w:rPr>
          <w:lang w:val="en-GB"/>
        </w:rPr>
        <w:t xml:space="preserve">. </w:t>
      </w:r>
      <w:r w:rsidRPr="00FD35D9">
        <w:rPr>
          <w:lang w:val="en-GB"/>
        </w:rPr>
        <w:t xml:space="preserve">The committee </w:t>
      </w:r>
      <w:r w:rsidR="00C8205D">
        <w:rPr>
          <w:lang w:val="en-GB"/>
        </w:rPr>
        <w:t xml:space="preserve">requested further </w:t>
      </w:r>
      <w:r>
        <w:rPr>
          <w:lang w:val="en-GB"/>
        </w:rPr>
        <w:t>exploration of different sources of</w:t>
      </w:r>
      <w:r w:rsidRPr="00FD35D9">
        <w:rPr>
          <w:lang w:val="en-GB"/>
        </w:rPr>
        <w:t xml:space="preserve"> data </w:t>
      </w:r>
      <w:r>
        <w:rPr>
          <w:lang w:val="en-GB"/>
        </w:rPr>
        <w:t>for the</w:t>
      </w:r>
      <w:r w:rsidRPr="00FD35D9">
        <w:rPr>
          <w:lang w:val="en-GB"/>
        </w:rPr>
        <w:t xml:space="preserve"> </w:t>
      </w:r>
      <w:r>
        <w:rPr>
          <w:lang w:val="en-GB"/>
        </w:rPr>
        <w:t xml:space="preserve">setting of treating exacerbations, </w:t>
      </w:r>
      <w:r w:rsidRPr="00FD35D9">
        <w:rPr>
          <w:lang w:val="en-GB"/>
        </w:rPr>
        <w:t>to inform the model</w:t>
      </w:r>
      <w:r w:rsidR="005C4359">
        <w:rPr>
          <w:lang w:val="en-GB"/>
        </w:rPr>
        <w:t>. T</w:t>
      </w:r>
      <w:r w:rsidR="002F3C86">
        <w:rPr>
          <w:lang w:val="en-GB"/>
        </w:rPr>
        <w:t>he company</w:t>
      </w:r>
      <w:r w:rsidR="005C4359">
        <w:rPr>
          <w:lang w:val="en-GB"/>
        </w:rPr>
        <w:t xml:space="preserve"> submitted </w:t>
      </w:r>
      <w:r w:rsidR="00CA5539">
        <w:rPr>
          <w:lang w:val="en-GB"/>
        </w:rPr>
        <w:t xml:space="preserve">data on </w:t>
      </w:r>
      <w:r w:rsidR="005C4359">
        <w:rPr>
          <w:lang w:val="en-GB"/>
        </w:rPr>
        <w:t>the setting of treating severe exacerbation rates</w:t>
      </w:r>
      <w:r w:rsidR="002F3C86">
        <w:rPr>
          <w:lang w:val="en-GB"/>
        </w:rPr>
        <w:t xml:space="preserve"> </w:t>
      </w:r>
      <w:r w:rsidR="005C4359">
        <w:rPr>
          <w:lang w:val="en-GB"/>
        </w:rPr>
        <w:t xml:space="preserve">from 3 </w:t>
      </w:r>
      <w:r w:rsidR="002F3C86">
        <w:rPr>
          <w:lang w:val="en-GB"/>
        </w:rPr>
        <w:t>different sources</w:t>
      </w:r>
      <w:r w:rsidR="005C4359">
        <w:rPr>
          <w:lang w:val="en-GB"/>
        </w:rPr>
        <w:t xml:space="preserve"> </w:t>
      </w:r>
      <w:r w:rsidR="002C383B">
        <w:rPr>
          <w:lang w:val="en-GB"/>
        </w:rPr>
        <w:t>(</w:t>
      </w:r>
      <w:r w:rsidR="008B771C">
        <w:rPr>
          <w:lang w:val="en-GB"/>
        </w:rPr>
        <w:t xml:space="preserve">WATCH, U-BIOPRED and </w:t>
      </w:r>
      <w:r w:rsidR="005C4359">
        <w:rPr>
          <w:lang w:val="en-GB"/>
        </w:rPr>
        <w:t xml:space="preserve">the </w:t>
      </w:r>
      <w:r w:rsidR="008B771C">
        <w:rPr>
          <w:lang w:val="en-GB"/>
        </w:rPr>
        <w:t>Sanofi RWE study)</w:t>
      </w:r>
      <w:r w:rsidR="00CF24C7">
        <w:rPr>
          <w:lang w:val="en-GB"/>
        </w:rPr>
        <w:t xml:space="preserve">. The Sanofi RWE study was based on case notes from severe asthma centres in the NHS, in which the definition of severe exacerbation was </w:t>
      </w:r>
      <w:r w:rsidR="00436425">
        <w:rPr>
          <w:lang w:val="en-GB"/>
        </w:rPr>
        <w:t>established to match the QUEST trial definition</w:t>
      </w:r>
      <w:r w:rsidR="00B41706">
        <w:rPr>
          <w:lang w:val="en-GB"/>
        </w:rPr>
        <w:t xml:space="preserve"> and was used in the company</w:t>
      </w:r>
      <w:r w:rsidR="00CA5539">
        <w:rPr>
          <w:lang w:val="en-GB"/>
        </w:rPr>
        <w:t>’s updated</w:t>
      </w:r>
      <w:r w:rsidR="00B41706">
        <w:rPr>
          <w:lang w:val="en-GB"/>
        </w:rPr>
        <w:t xml:space="preserve"> model</w:t>
      </w:r>
      <w:r w:rsidR="00436425">
        <w:rPr>
          <w:lang w:val="en-GB"/>
        </w:rPr>
        <w:t>.</w:t>
      </w:r>
      <w:r w:rsidR="00516F51">
        <w:rPr>
          <w:lang w:val="en-GB"/>
        </w:rPr>
        <w:t xml:space="preserve"> </w:t>
      </w:r>
      <w:r w:rsidR="00436425">
        <w:rPr>
          <w:lang w:val="en-GB"/>
        </w:rPr>
        <w:t xml:space="preserve">The ERG considered the Sanofi RWE study </w:t>
      </w:r>
      <w:r w:rsidR="00B41706">
        <w:rPr>
          <w:lang w:val="en-GB"/>
        </w:rPr>
        <w:t>to be</w:t>
      </w:r>
      <w:r w:rsidR="00436425">
        <w:rPr>
          <w:lang w:val="en-GB"/>
        </w:rPr>
        <w:t xml:space="preserve"> of reasonable quality </w:t>
      </w:r>
      <w:r w:rsidR="00B41706">
        <w:rPr>
          <w:lang w:val="en-GB"/>
        </w:rPr>
        <w:t>which</w:t>
      </w:r>
      <w:r w:rsidR="00436425">
        <w:rPr>
          <w:lang w:val="en-GB"/>
        </w:rPr>
        <w:t xml:space="preserve"> produced</w:t>
      </w:r>
      <w:r w:rsidR="0011725C">
        <w:rPr>
          <w:lang w:val="en-GB"/>
        </w:rPr>
        <w:t xml:space="preserve"> consistent</w:t>
      </w:r>
      <w:r w:rsidR="00436425">
        <w:rPr>
          <w:lang w:val="en-GB"/>
        </w:rPr>
        <w:t xml:space="preserve"> results with other sources. The committee concluded that the </w:t>
      </w:r>
      <w:r w:rsidR="00B41706">
        <w:rPr>
          <w:lang w:val="en-GB"/>
        </w:rPr>
        <w:t xml:space="preserve">Sanofi RWE study on the setting of severe exacerbations was appropriate for use in the </w:t>
      </w:r>
      <w:r w:rsidR="00436425">
        <w:rPr>
          <w:lang w:val="en-GB"/>
        </w:rPr>
        <w:t xml:space="preserve">company’s updated base case. </w:t>
      </w:r>
    </w:p>
    <w:p w14:paraId="11D4D7DA" w14:textId="25740531" w:rsidR="00FA40AB" w:rsidRPr="00FD35D9" w:rsidRDefault="00DA7A44" w:rsidP="00FA40AB">
      <w:pPr>
        <w:pStyle w:val="Heading3"/>
      </w:pPr>
      <w:r>
        <w:t>Mortality estimates are uncertain and probably overestimated</w:t>
      </w:r>
      <w:r w:rsidR="00B41706">
        <w:t xml:space="preserve"> in the company economic model</w:t>
      </w:r>
    </w:p>
    <w:p w14:paraId="446AB73F" w14:textId="13973E1F" w:rsidR="00B272C7" w:rsidRDefault="00FA40AB" w:rsidP="004B4D19">
      <w:pPr>
        <w:pStyle w:val="Numberedlevel2text"/>
      </w:pPr>
      <w:r>
        <w:t>T</w:t>
      </w:r>
      <w:r w:rsidRPr="00FD35D9">
        <w:t xml:space="preserve">he ERG </w:t>
      </w:r>
      <w:r>
        <w:t xml:space="preserve">explained </w:t>
      </w:r>
      <w:r w:rsidRPr="00FD35D9">
        <w:t>that the original company model (</w:t>
      </w:r>
      <w:r>
        <w:t>using the</w:t>
      </w:r>
      <w:r w:rsidRPr="00FD35D9">
        <w:t xml:space="preserve"> confidential exacerbation multiplier) predicted 20% mortality over 10 years in the standard care arm. The committee questioned the clinical plausibility of this estimate </w:t>
      </w:r>
      <w:r>
        <w:t>because</w:t>
      </w:r>
      <w:r w:rsidRPr="00FD35D9">
        <w:t xml:space="preserve"> it seemed high compared with </w:t>
      </w:r>
      <w:r>
        <w:t xml:space="preserve">the </w:t>
      </w:r>
      <w:r w:rsidRPr="00FD35D9">
        <w:t>approximate 1,300 asthma</w:t>
      </w:r>
      <w:r>
        <w:t>-</w:t>
      </w:r>
      <w:r w:rsidRPr="00FD35D9">
        <w:t>related deaths a year in the UK. The higher death rate was a result of interaction between the exacerbation multiplier (see section</w:t>
      </w:r>
      <w:r>
        <w:t> </w:t>
      </w:r>
      <w:r w:rsidRPr="00FD35D9">
        <w:t>3.13) and using registry data to inform the setting of treat</w:t>
      </w:r>
      <w:r>
        <w:t>ing</w:t>
      </w:r>
      <w:r w:rsidRPr="00FD35D9">
        <w:t xml:space="preserve"> </w:t>
      </w:r>
      <w:r w:rsidRPr="00FD35D9">
        <w:lastRenderedPageBreak/>
        <w:t>exacerbations (see section</w:t>
      </w:r>
      <w:r>
        <w:t> </w:t>
      </w:r>
      <w:r w:rsidRPr="00FD35D9">
        <w:t xml:space="preserve">3.15). </w:t>
      </w:r>
      <w:r w:rsidRPr="00A210C9">
        <w:t xml:space="preserve">The committee </w:t>
      </w:r>
      <w:r w:rsidR="00DA182A">
        <w:t xml:space="preserve">noted </w:t>
      </w:r>
      <w:r w:rsidRPr="00A210C9">
        <w:t xml:space="preserve"> that the model did not offer plausible estimates</w:t>
      </w:r>
      <w:r>
        <w:t>, and</w:t>
      </w:r>
      <w:r w:rsidRPr="00FD35D9">
        <w:t xml:space="preserve"> </w:t>
      </w:r>
      <w:r w:rsidR="00DA182A">
        <w:t xml:space="preserve">requested </w:t>
      </w:r>
      <w:r w:rsidRPr="00FD35D9">
        <w:t>that any additional analyses presented by the company include 10</w:t>
      </w:r>
      <w:r>
        <w:noBreakHyphen/>
      </w:r>
      <w:r w:rsidRPr="00FD35D9">
        <w:t>year mortality rates for dupilumab and standard care</w:t>
      </w:r>
      <w:r w:rsidR="00DA182A">
        <w:t xml:space="preserve"> and </w:t>
      </w:r>
      <w:r w:rsidRPr="00FD35D9">
        <w:t>show the flow of patients though different health states in the model for the purposes of model validation.</w:t>
      </w:r>
      <w:r w:rsidR="002F3C86">
        <w:t xml:space="preserve"> </w:t>
      </w:r>
      <w:r w:rsidR="00DA182A">
        <w:t>Following the first committee meeting</w:t>
      </w:r>
      <w:r w:rsidR="002F3C86">
        <w:t xml:space="preserve">, the company </w:t>
      </w:r>
      <w:r w:rsidR="00697DBC">
        <w:t xml:space="preserve">conducted a literature search for UK asthma-related mortality data, but no further publications were retrieved. The committee noted that when the </w:t>
      </w:r>
      <w:r w:rsidR="00DA182A">
        <w:t xml:space="preserve">exacerbation </w:t>
      </w:r>
      <w:r w:rsidR="00697DBC">
        <w:t xml:space="preserve">multiplier </w:t>
      </w:r>
      <w:r w:rsidR="00A8044A">
        <w:t>was</w:t>
      </w:r>
      <w:r w:rsidR="00DA182A">
        <w:t xml:space="preserve"> removed </w:t>
      </w:r>
      <w:r w:rsidR="00CA5539">
        <w:t>(</w:t>
      </w:r>
      <w:r w:rsidR="00DA182A">
        <w:t>in the updated company model</w:t>
      </w:r>
      <w:r w:rsidR="00CA5539">
        <w:t>,</w:t>
      </w:r>
      <w:r w:rsidR="00B272C7">
        <w:rPr>
          <w:lang w:val="en-GB"/>
        </w:rPr>
        <w:t xml:space="preserve"> </w:t>
      </w:r>
      <w:r w:rsidR="00697DBC">
        <w:t>see section 3.</w:t>
      </w:r>
      <w:r w:rsidR="00490A30">
        <w:t>14</w:t>
      </w:r>
      <w:r w:rsidR="00697DBC">
        <w:t xml:space="preserve">), </w:t>
      </w:r>
      <w:r w:rsidR="00490A30">
        <w:t>10-year</w:t>
      </w:r>
      <w:r w:rsidR="00DA182A">
        <w:t xml:space="preserve"> </w:t>
      </w:r>
      <w:r w:rsidR="00697DBC">
        <w:t xml:space="preserve">mortality with standard care was reduced to 18%. The ERG considered that the mortality was probably </w:t>
      </w:r>
      <w:r w:rsidR="00CA5539">
        <w:t xml:space="preserve">still </w:t>
      </w:r>
      <w:r w:rsidR="00697DBC">
        <w:t>overestimated, but the plausibility of model survival projections was difficult to judge without UK data available.</w:t>
      </w:r>
      <w:r w:rsidR="00545DE8">
        <w:t xml:space="preserve"> The ERG explained that the model predicted a mean age of deaths of 70 years with standard care </w:t>
      </w:r>
      <w:r w:rsidR="00CA5539">
        <w:t>(</w:t>
      </w:r>
      <w:r w:rsidR="00545DE8">
        <w:t>73 years with dupilumab</w:t>
      </w:r>
      <w:r w:rsidR="00CA5539">
        <w:t>)</w:t>
      </w:r>
      <w:r w:rsidR="00545DE8">
        <w:t>, compared to an estimated life expectancy of 80 years with standard care in</w:t>
      </w:r>
      <w:r w:rsidR="00CA5539">
        <w:t xml:space="preserve"> the </w:t>
      </w:r>
      <w:proofErr w:type="spellStart"/>
      <w:r w:rsidR="00CA5539">
        <w:t>benralizumab</w:t>
      </w:r>
      <w:proofErr w:type="spellEnd"/>
      <w:r w:rsidR="00CA5539">
        <w:t xml:space="preserve"> </w:t>
      </w:r>
      <w:r w:rsidR="00DB4CE0">
        <w:t>appraisal</w:t>
      </w:r>
      <w:r w:rsidR="00545DE8">
        <w:t xml:space="preserve"> TA565.</w:t>
      </w:r>
      <w:r w:rsidR="00697DBC">
        <w:t xml:space="preserve"> The committee was concerned </w:t>
      </w:r>
      <w:r w:rsidR="00DA182A">
        <w:t>that</w:t>
      </w:r>
      <w:r w:rsidR="00490A30">
        <w:t xml:space="preserve"> </w:t>
      </w:r>
      <w:r w:rsidR="00697DBC">
        <w:t xml:space="preserve">mortality </w:t>
      </w:r>
      <w:r w:rsidR="00A8044A">
        <w:t>could</w:t>
      </w:r>
      <w:r w:rsidR="00DA182A">
        <w:t xml:space="preserve"> be </w:t>
      </w:r>
      <w:r w:rsidR="00697DBC">
        <w:t>overestimated because asthma-related mortality was one of the drivers of the model</w:t>
      </w:r>
      <w:r w:rsidR="00545DE8">
        <w:t>.</w:t>
      </w:r>
      <w:r w:rsidR="00E10559">
        <w:t xml:space="preserve"> The committee also noted that alternative methods had been used in</w:t>
      </w:r>
      <w:r w:rsidR="002C383B">
        <w:t xml:space="preserve"> the </w:t>
      </w:r>
      <w:proofErr w:type="spellStart"/>
      <w:r w:rsidR="002C383B">
        <w:t>benralizumab</w:t>
      </w:r>
      <w:proofErr w:type="spellEnd"/>
      <w:r w:rsidR="002C383B">
        <w:t xml:space="preserve"> appraisal</w:t>
      </w:r>
      <w:r w:rsidR="00E10559">
        <w:t>, to adjust for high mortality.</w:t>
      </w:r>
      <w:r w:rsidR="00490A30">
        <w:t xml:space="preserve"> </w:t>
      </w:r>
      <w:r w:rsidR="00697DBC">
        <w:t xml:space="preserve">The committee concluded that the mortality rates were uncertain, and that alternative scenarios could </w:t>
      </w:r>
      <w:r w:rsidR="0063055A">
        <w:rPr>
          <w:lang w:val="en-GB"/>
        </w:rPr>
        <w:t>be</w:t>
      </w:r>
      <w:r w:rsidR="00697DBC">
        <w:t xml:space="preserve"> tested to explore the impact of the mortality on the ICER.</w:t>
      </w:r>
      <w:bookmarkEnd w:id="5"/>
    </w:p>
    <w:p w14:paraId="1DCE881D" w14:textId="77777777" w:rsidR="00FA40AB" w:rsidRPr="00FD35D9" w:rsidRDefault="00FA40AB" w:rsidP="00490A30">
      <w:pPr>
        <w:pStyle w:val="Heading2"/>
      </w:pPr>
      <w:r w:rsidRPr="00FD35D9">
        <w:t>The company’s base-case economic analysis</w:t>
      </w:r>
    </w:p>
    <w:p w14:paraId="17487F8E" w14:textId="62EF6FBA" w:rsidR="00FA40AB" w:rsidRPr="00FD35D9" w:rsidRDefault="00FA40AB" w:rsidP="00FA40AB">
      <w:pPr>
        <w:pStyle w:val="Heading3"/>
      </w:pPr>
      <w:r w:rsidRPr="00FD35D9">
        <w:t xml:space="preserve">The </w:t>
      </w:r>
      <w:r>
        <w:t>company’s</w:t>
      </w:r>
      <w:r w:rsidR="00715B65">
        <w:t xml:space="preserve"> updated</w:t>
      </w:r>
      <w:r>
        <w:t xml:space="preserve"> base-case </w:t>
      </w:r>
      <w:r w:rsidRPr="00FD35D9">
        <w:t>ICER is £</w:t>
      </w:r>
      <w:r w:rsidR="00715B65">
        <w:t xml:space="preserve">35,968 </w:t>
      </w:r>
      <w:r w:rsidRPr="00FD35D9">
        <w:t>per QALY gained for dupilumab compared with standard care in the proposed population</w:t>
      </w:r>
    </w:p>
    <w:p w14:paraId="53522059" w14:textId="62944720" w:rsidR="00FA40AB" w:rsidRDefault="00FA40AB" w:rsidP="00214F98">
      <w:pPr>
        <w:pStyle w:val="Numberedlevel2text"/>
        <w:numPr>
          <w:ilvl w:val="1"/>
          <w:numId w:val="1"/>
        </w:numPr>
        <w:rPr>
          <w:lang w:val="en-GB"/>
        </w:rPr>
      </w:pPr>
      <w:r w:rsidRPr="00FD35D9">
        <w:rPr>
          <w:lang w:val="en-GB"/>
        </w:rPr>
        <w:t>The company’s base-case deterministic ICER for dupilumab compared with standard care is £</w:t>
      </w:r>
      <w:r w:rsidR="00715B65">
        <w:t xml:space="preserve">35,968 </w:t>
      </w:r>
      <w:r w:rsidRPr="00FD35D9">
        <w:rPr>
          <w:lang w:val="en-GB"/>
        </w:rPr>
        <w:t xml:space="preserve">per </w:t>
      </w:r>
      <w:r>
        <w:rPr>
          <w:lang w:val="en-GB"/>
        </w:rPr>
        <w:t>quality-adjusted life year (</w:t>
      </w:r>
      <w:r w:rsidRPr="00FD35D9">
        <w:rPr>
          <w:lang w:val="en-GB"/>
        </w:rPr>
        <w:t>QALY</w:t>
      </w:r>
      <w:r>
        <w:rPr>
          <w:lang w:val="en-GB"/>
        </w:rPr>
        <w:t>)</w:t>
      </w:r>
      <w:r w:rsidRPr="00FD35D9">
        <w:rPr>
          <w:lang w:val="en-GB"/>
        </w:rPr>
        <w:t xml:space="preserve"> gained in the</w:t>
      </w:r>
      <w:r w:rsidR="00715B65">
        <w:rPr>
          <w:lang w:val="en-GB"/>
        </w:rPr>
        <w:t xml:space="preserve"> company’s updated</w:t>
      </w:r>
      <w:r w:rsidRPr="00FD35D9">
        <w:rPr>
          <w:lang w:val="en-GB"/>
        </w:rPr>
        <w:t xml:space="preserve"> population</w:t>
      </w:r>
      <w:r w:rsidR="00CD05CA">
        <w:rPr>
          <w:lang w:val="en-GB"/>
        </w:rPr>
        <w:t xml:space="preserve">. </w:t>
      </w:r>
      <w:r w:rsidRPr="00FD35D9">
        <w:rPr>
          <w:lang w:val="en-GB"/>
        </w:rPr>
        <w:t>This include</w:t>
      </w:r>
      <w:r>
        <w:rPr>
          <w:lang w:val="en-GB"/>
        </w:rPr>
        <w:t>d</w:t>
      </w:r>
      <w:r w:rsidRPr="00FD35D9">
        <w:rPr>
          <w:lang w:val="en-GB"/>
        </w:rPr>
        <w:t xml:space="preserve"> the</w:t>
      </w:r>
      <w:r w:rsidR="00715B65">
        <w:rPr>
          <w:lang w:val="en-GB"/>
        </w:rPr>
        <w:t xml:space="preserve"> </w:t>
      </w:r>
      <w:r w:rsidRPr="00FD35D9">
        <w:rPr>
          <w:lang w:val="en-GB"/>
        </w:rPr>
        <w:t>confidential discount for dupilumab.</w:t>
      </w:r>
      <w:r w:rsidR="00490A30">
        <w:rPr>
          <w:lang w:val="en-GB"/>
        </w:rPr>
        <w:t xml:space="preserve"> The committee concluded that dupilumab does not represent a cost-effective use of resources, so could not be recommended for treating severe asthma with type 2 inflammation.</w:t>
      </w:r>
    </w:p>
    <w:p w14:paraId="20D3BF07" w14:textId="77777777" w:rsidR="00FA40AB" w:rsidRPr="00FD35D9" w:rsidRDefault="00FA40AB" w:rsidP="00FA40AB">
      <w:pPr>
        <w:pStyle w:val="Heading2"/>
      </w:pPr>
      <w:r w:rsidRPr="00FD35D9">
        <w:lastRenderedPageBreak/>
        <w:t>Other factors</w:t>
      </w:r>
    </w:p>
    <w:p w14:paraId="76542DBB" w14:textId="77777777" w:rsidR="00FA40AB" w:rsidRPr="00FD35D9" w:rsidRDefault="00FA40AB" w:rsidP="00FA40AB">
      <w:pPr>
        <w:pStyle w:val="Heading3"/>
      </w:pPr>
      <w:r>
        <w:t>A</w:t>
      </w:r>
      <w:r w:rsidRPr="00FD35D9">
        <w:t>dditional benefits in people with severe asthma and type</w:t>
      </w:r>
      <w:r>
        <w:t> </w:t>
      </w:r>
      <w:r w:rsidRPr="00FD35D9">
        <w:t>2 inflammation</w:t>
      </w:r>
      <w:r>
        <w:t>,</w:t>
      </w:r>
      <w:r w:rsidRPr="00FD35D9">
        <w:t xml:space="preserve"> </w:t>
      </w:r>
      <w:r>
        <w:t xml:space="preserve">and </w:t>
      </w:r>
      <w:r w:rsidRPr="00FD35D9">
        <w:t>nasal polyps or atopic dermatitis</w:t>
      </w:r>
      <w:r>
        <w:t>,</w:t>
      </w:r>
      <w:r w:rsidRPr="00FD35D9">
        <w:t xml:space="preserve"> </w:t>
      </w:r>
      <w:r>
        <w:t>may</w:t>
      </w:r>
      <w:r w:rsidRPr="00FD35D9">
        <w:t xml:space="preserve"> not</w:t>
      </w:r>
      <w:r>
        <w:t xml:space="preserve"> have been</w:t>
      </w:r>
      <w:r w:rsidRPr="00FD35D9">
        <w:t xml:space="preserve"> adequately captured</w:t>
      </w:r>
    </w:p>
    <w:p w14:paraId="166B55FF" w14:textId="77777777" w:rsidR="00FA40AB" w:rsidRPr="00FD35D9" w:rsidRDefault="00FA40AB" w:rsidP="00FA40AB">
      <w:pPr>
        <w:pStyle w:val="Numberedlevel2text"/>
        <w:numPr>
          <w:ilvl w:val="1"/>
          <w:numId w:val="1"/>
        </w:numPr>
        <w:rPr>
          <w:lang w:val="en-GB"/>
        </w:rPr>
      </w:pPr>
      <w:r w:rsidRPr="00FD35D9">
        <w:rPr>
          <w:lang w:val="en-GB"/>
        </w:rPr>
        <w:t>The committee recognised that there is an unmet need for people with severe asthma caused by type</w:t>
      </w:r>
      <w:r>
        <w:rPr>
          <w:lang w:val="en-GB"/>
        </w:rPr>
        <w:t> </w:t>
      </w:r>
      <w:r w:rsidRPr="00FD35D9">
        <w:rPr>
          <w:lang w:val="en-GB"/>
        </w:rPr>
        <w:t>2 inflammation. The committee also heard that dupilumab is effective in people with comorbidities (</w:t>
      </w:r>
      <w:r>
        <w:rPr>
          <w:lang w:val="en-GB"/>
        </w:rPr>
        <w:t xml:space="preserve">such as </w:t>
      </w:r>
      <w:r w:rsidRPr="00FD35D9">
        <w:rPr>
          <w:lang w:val="en-GB"/>
        </w:rPr>
        <w:t>nasal polyps and atopic dermatitis)</w:t>
      </w:r>
      <w:r>
        <w:rPr>
          <w:lang w:val="en-GB"/>
        </w:rPr>
        <w:t xml:space="preserve">. It concluded that </w:t>
      </w:r>
      <w:r w:rsidRPr="00FD35D9">
        <w:rPr>
          <w:lang w:val="en-GB"/>
        </w:rPr>
        <w:t>these additional benefits of dupilumab had not been captured in the QALY calculation.</w:t>
      </w:r>
    </w:p>
    <w:p w14:paraId="2ECEE33E" w14:textId="77777777" w:rsidR="00FA40AB" w:rsidRPr="00FD35D9" w:rsidRDefault="00FA40AB" w:rsidP="00FA40AB">
      <w:pPr>
        <w:pStyle w:val="Heading3"/>
      </w:pPr>
      <w:r w:rsidRPr="00FD35D9">
        <w:t xml:space="preserve">There are limited data available </w:t>
      </w:r>
      <w:r>
        <w:t>on dupilumab for young people</w:t>
      </w:r>
    </w:p>
    <w:p w14:paraId="51F07F90" w14:textId="51455856" w:rsidR="00FA40AB" w:rsidRPr="00FD35D9" w:rsidRDefault="00FA40AB" w:rsidP="00FA40AB">
      <w:pPr>
        <w:pStyle w:val="Numberedlevel2text"/>
        <w:numPr>
          <w:ilvl w:val="1"/>
          <w:numId w:val="1"/>
        </w:numPr>
        <w:rPr>
          <w:lang w:val="en-GB"/>
        </w:rPr>
      </w:pPr>
      <w:bookmarkStart w:id="7" w:name="_Hlk33002950"/>
      <w:r w:rsidRPr="00FD35D9">
        <w:rPr>
          <w:lang w:val="en-GB"/>
        </w:rPr>
        <w:t>Dupilumab is licensed in people aged 12</w:t>
      </w:r>
      <w:r>
        <w:rPr>
          <w:lang w:val="en-GB"/>
        </w:rPr>
        <w:t> </w:t>
      </w:r>
      <w:r w:rsidRPr="00FD35D9">
        <w:rPr>
          <w:lang w:val="en-GB"/>
        </w:rPr>
        <w:t xml:space="preserve">years and over. </w:t>
      </w:r>
      <w:r w:rsidR="00326714">
        <w:rPr>
          <w:lang w:val="en-GB"/>
        </w:rPr>
        <w:t>The company provided a subgroup analyses for the subgroup of people aged 12-17 years</w:t>
      </w:r>
      <w:r w:rsidR="00214F98">
        <w:rPr>
          <w:lang w:val="en-GB"/>
        </w:rPr>
        <w:t>. The committee noted that</w:t>
      </w:r>
      <w:r w:rsidR="00326714">
        <w:rPr>
          <w:lang w:val="en-GB"/>
        </w:rPr>
        <w:t xml:space="preserve"> the QUEST trial only included 2 patients aged under 18 years meeting </w:t>
      </w:r>
      <w:r w:rsidR="00DB4CE0">
        <w:rPr>
          <w:lang w:val="en-GB"/>
        </w:rPr>
        <w:t xml:space="preserve">the </w:t>
      </w:r>
      <w:r w:rsidR="00326714">
        <w:rPr>
          <w:lang w:val="en-GB"/>
        </w:rPr>
        <w:t>criteria of the updated base case population.</w:t>
      </w:r>
      <w:r w:rsidRPr="00FD35D9">
        <w:rPr>
          <w:lang w:val="en-GB"/>
        </w:rPr>
        <w:t xml:space="preserve"> There is an unmet need in this population with uncontrolled severe asthma with type</w:t>
      </w:r>
      <w:r>
        <w:rPr>
          <w:lang w:val="en-GB"/>
        </w:rPr>
        <w:t> </w:t>
      </w:r>
      <w:r w:rsidRPr="00FD35D9">
        <w:rPr>
          <w:lang w:val="en-GB"/>
        </w:rPr>
        <w:t xml:space="preserve">2 inflammation. Current NICE recommended </w:t>
      </w:r>
      <w:r>
        <w:rPr>
          <w:lang w:val="en-GB"/>
        </w:rPr>
        <w:t>biological</w:t>
      </w:r>
      <w:r w:rsidRPr="00FD35D9">
        <w:rPr>
          <w:lang w:val="en-GB"/>
        </w:rPr>
        <w:t>s are licensed</w:t>
      </w:r>
      <w:r w:rsidR="00DB4CE0">
        <w:rPr>
          <w:lang w:val="en-GB"/>
        </w:rPr>
        <w:t xml:space="preserve"> in adults</w:t>
      </w:r>
      <w:r w:rsidRPr="00FD35D9">
        <w:rPr>
          <w:lang w:val="en-GB"/>
        </w:rPr>
        <w:t xml:space="preserve"> for eosinophilic asthma only. Mepolizumab is currently the only other </w:t>
      </w:r>
      <w:r>
        <w:rPr>
          <w:lang w:val="en-GB"/>
        </w:rPr>
        <w:t>biological</w:t>
      </w:r>
      <w:r w:rsidRPr="00FD35D9">
        <w:rPr>
          <w:lang w:val="en-GB"/>
        </w:rPr>
        <w:t xml:space="preserve"> that is licensed for treating children aged 6 years or </w:t>
      </w:r>
      <w:r>
        <w:rPr>
          <w:lang w:val="en-GB"/>
        </w:rPr>
        <w:t>over</w:t>
      </w:r>
      <w:r w:rsidRPr="00FD35D9">
        <w:rPr>
          <w:lang w:val="en-GB"/>
        </w:rPr>
        <w:t xml:space="preserve"> for severe refractory eosinophilic asthma</w:t>
      </w:r>
      <w:r>
        <w:rPr>
          <w:lang w:val="en-GB"/>
        </w:rPr>
        <w:t>. H</w:t>
      </w:r>
      <w:r w:rsidRPr="00FD35D9">
        <w:rPr>
          <w:lang w:val="en-GB"/>
        </w:rPr>
        <w:t>owever</w:t>
      </w:r>
      <w:r>
        <w:rPr>
          <w:lang w:val="en-GB"/>
        </w:rPr>
        <w:t xml:space="preserve"> </w:t>
      </w:r>
      <w:hyperlink r:id="rId22" w:history="1">
        <w:r w:rsidRPr="00916453">
          <w:rPr>
            <w:rStyle w:val="Hyperlink"/>
            <w:lang w:val="en-GB"/>
          </w:rPr>
          <w:t>NICE’s technology appraisal guidance on mepolizumab</w:t>
        </w:r>
      </w:hyperlink>
      <w:r w:rsidRPr="00FD35D9">
        <w:rPr>
          <w:lang w:val="en-GB"/>
        </w:rPr>
        <w:t xml:space="preserve"> </w:t>
      </w:r>
      <w:r>
        <w:rPr>
          <w:lang w:val="en-GB"/>
        </w:rPr>
        <w:t xml:space="preserve">recommends it </w:t>
      </w:r>
      <w:r w:rsidRPr="00FD35D9">
        <w:rPr>
          <w:lang w:val="en-GB"/>
        </w:rPr>
        <w:t xml:space="preserve">for use in adults. The committee </w:t>
      </w:r>
      <w:r>
        <w:rPr>
          <w:lang w:val="en-GB"/>
        </w:rPr>
        <w:t xml:space="preserve">concluded that there are limited data available for dupilumab in young </w:t>
      </w:r>
      <w:proofErr w:type="gramStart"/>
      <w:r>
        <w:rPr>
          <w:lang w:val="en-GB"/>
        </w:rPr>
        <w:t>people, and</w:t>
      </w:r>
      <w:proofErr w:type="gramEnd"/>
      <w:r>
        <w:rPr>
          <w:lang w:val="en-GB"/>
        </w:rPr>
        <w:t xml:space="preserve"> </w:t>
      </w:r>
      <w:r w:rsidRPr="00FD35D9">
        <w:rPr>
          <w:lang w:val="en-GB"/>
        </w:rPr>
        <w:t>acknowledged this during decision making.</w:t>
      </w:r>
    </w:p>
    <w:bookmarkEnd w:id="7"/>
    <w:p w14:paraId="125AA071" w14:textId="7E3EFBA8" w:rsidR="00FA40AB" w:rsidRDefault="00FA40AB" w:rsidP="00FA40AB">
      <w:pPr>
        <w:pStyle w:val="Heading2"/>
      </w:pPr>
      <w:r w:rsidRPr="00FD35D9">
        <w:t>Conclusion</w:t>
      </w:r>
    </w:p>
    <w:p w14:paraId="0430D4E5" w14:textId="77777777" w:rsidR="00715B65" w:rsidRPr="00FD35D9" w:rsidRDefault="00715B65" w:rsidP="00715B65">
      <w:pPr>
        <w:pStyle w:val="Heading3"/>
      </w:pPr>
      <w:r w:rsidRPr="00FD35D9">
        <w:t>Dupilumab is not recommended</w:t>
      </w:r>
      <w:r>
        <w:t xml:space="preserve"> for treating severe asthma with type 2 inflammation</w:t>
      </w:r>
    </w:p>
    <w:p w14:paraId="70F7E69A" w14:textId="0394BE0D" w:rsidR="001D1D43" w:rsidRPr="008E3405" w:rsidRDefault="00715B65" w:rsidP="008E3405">
      <w:pPr>
        <w:pStyle w:val="Numberedlevel2text"/>
        <w:numPr>
          <w:ilvl w:val="1"/>
          <w:numId w:val="1"/>
        </w:numPr>
        <w:rPr>
          <w:lang w:val="en-GB"/>
        </w:rPr>
      </w:pPr>
      <w:r w:rsidRPr="00FD35D9">
        <w:rPr>
          <w:lang w:val="en-GB"/>
        </w:rPr>
        <w:t xml:space="preserve">The committee </w:t>
      </w:r>
      <w:r>
        <w:rPr>
          <w:lang w:val="en-GB"/>
        </w:rPr>
        <w:t>acknowledged</w:t>
      </w:r>
      <w:r w:rsidRPr="00FD35D9">
        <w:rPr>
          <w:lang w:val="en-GB"/>
        </w:rPr>
        <w:t xml:space="preserve"> that dupilumab is effective for preventing exacerbations in people with severe asthma with type</w:t>
      </w:r>
      <w:r>
        <w:rPr>
          <w:lang w:val="en-GB"/>
        </w:rPr>
        <w:t> </w:t>
      </w:r>
      <w:r w:rsidRPr="00FD35D9">
        <w:rPr>
          <w:lang w:val="en-GB"/>
        </w:rPr>
        <w:t>2 inflammation</w:t>
      </w:r>
      <w:r>
        <w:rPr>
          <w:lang w:val="en-GB"/>
        </w:rPr>
        <w:t xml:space="preserve"> compared with standard care</w:t>
      </w:r>
      <w:r w:rsidRPr="00FD35D9">
        <w:rPr>
          <w:lang w:val="en-GB"/>
        </w:rPr>
        <w:t xml:space="preserve">. However, the cost-effectiveness estimates </w:t>
      </w:r>
      <w:r w:rsidRPr="00FD35D9">
        <w:rPr>
          <w:lang w:val="en-GB"/>
        </w:rPr>
        <w:lastRenderedPageBreak/>
        <w:t>for dupilumab compared with standard care were high</w:t>
      </w:r>
      <w:r w:rsidR="00326714">
        <w:rPr>
          <w:lang w:val="en-GB"/>
        </w:rPr>
        <w:t>er than what NICE considers a cost-effective use of NHS resources</w:t>
      </w:r>
      <w:r w:rsidRPr="00FD35D9">
        <w:rPr>
          <w:lang w:val="en-GB"/>
        </w:rPr>
        <w:t>. The committee identified several uncertainties in the modelling assumptions, particularly about</w:t>
      </w:r>
      <w:r w:rsidR="008E3405">
        <w:rPr>
          <w:lang w:val="en-GB"/>
        </w:rPr>
        <w:t xml:space="preserve"> mortality estimates and response rates in adults who did not respond to biologic</w:t>
      </w:r>
      <w:r w:rsidR="00293D4F">
        <w:rPr>
          <w:lang w:val="en-GB"/>
        </w:rPr>
        <w:t>al</w:t>
      </w:r>
      <w:r w:rsidR="00D745EB">
        <w:rPr>
          <w:lang w:val="en-GB"/>
        </w:rPr>
        <w:t xml:space="preserve"> therapy</w:t>
      </w:r>
      <w:r w:rsidRPr="00FD35D9">
        <w:rPr>
          <w:lang w:val="en-GB"/>
        </w:rPr>
        <w:t xml:space="preserve">. These </w:t>
      </w:r>
      <w:r>
        <w:rPr>
          <w:lang w:val="en-GB"/>
        </w:rPr>
        <w:t xml:space="preserve">uncertainties </w:t>
      </w:r>
      <w:r w:rsidRPr="00FD35D9">
        <w:rPr>
          <w:lang w:val="en-GB"/>
        </w:rPr>
        <w:t>result</w:t>
      </w:r>
      <w:r>
        <w:rPr>
          <w:lang w:val="en-GB"/>
        </w:rPr>
        <w:t>ed</w:t>
      </w:r>
      <w:r w:rsidRPr="00FD35D9">
        <w:rPr>
          <w:lang w:val="en-GB"/>
        </w:rPr>
        <w:t xml:space="preserve"> in </w:t>
      </w:r>
      <w:r>
        <w:rPr>
          <w:lang w:val="en-GB"/>
        </w:rPr>
        <w:t>uncertainty</w:t>
      </w:r>
      <w:r w:rsidRPr="00FD35D9">
        <w:rPr>
          <w:lang w:val="en-GB"/>
        </w:rPr>
        <w:t xml:space="preserve"> about the true ICER. Therefore, the committee was unable to recommend dupilumab as a cost-effective treatment for use in the NHS</w:t>
      </w:r>
      <w:r>
        <w:rPr>
          <w:lang w:val="en-GB"/>
        </w:rPr>
        <w:t xml:space="preserve"> </w:t>
      </w:r>
      <w:r w:rsidRPr="00FD35D9">
        <w:rPr>
          <w:lang w:val="en-GB"/>
        </w:rPr>
        <w:t>for treating severe asthma with type 2 inflammation.</w:t>
      </w:r>
    </w:p>
    <w:p w14:paraId="71568346" w14:textId="77777777" w:rsidR="000F48EC" w:rsidRPr="000F48EC" w:rsidRDefault="007A2801" w:rsidP="002E73E7">
      <w:pPr>
        <w:pStyle w:val="Numberedheading1"/>
      </w:pPr>
      <w:r>
        <w:t xml:space="preserve">Proposed date for </w:t>
      </w:r>
      <w:r w:rsidR="00000441">
        <w:t>r</w:t>
      </w:r>
      <w:r w:rsidR="000F48EC" w:rsidRPr="000F48EC">
        <w:t>eview of guidance</w:t>
      </w:r>
    </w:p>
    <w:p w14:paraId="1EF712D6" w14:textId="3DE926FC" w:rsidR="001823EB" w:rsidRDefault="001823EB" w:rsidP="001823EB">
      <w:pPr>
        <w:pStyle w:val="Numberedlevel2text"/>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 xml:space="preserve">xecutive will decide whether the technology should be reviewed based on information gathered by NICE, and in consultation with consultees and commentators. </w:t>
      </w:r>
    </w:p>
    <w:p w14:paraId="0155EB45" w14:textId="6B73BB14" w:rsidR="004845D0" w:rsidRDefault="00715B65" w:rsidP="00ED5F88">
      <w:pPr>
        <w:pStyle w:val="NICEnormal"/>
      </w:pPr>
      <w:r>
        <w:t>Sanjeev Patel</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rsidR="0063055A">
        <w:t>April</w:t>
      </w:r>
      <w:r>
        <w:t xml:space="preserve"> 202</w:t>
      </w:r>
      <w:r w:rsidR="0063055A">
        <w:t>1</w:t>
      </w:r>
    </w:p>
    <w:p w14:paraId="582F66B2"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2D839016" w14:textId="77777777" w:rsidR="00B16431" w:rsidRPr="007D7F83" w:rsidRDefault="00B16431" w:rsidP="00B16431">
      <w:pPr>
        <w:pStyle w:val="Heading2"/>
      </w:pPr>
      <w:bookmarkStart w:id="8" w:name="_Appraisal_committee_members"/>
      <w:bookmarkEnd w:id="8"/>
      <w:r w:rsidRPr="007D7F83">
        <w:t xml:space="preserve">Appraisal </w:t>
      </w:r>
      <w:r w:rsidR="00343B53">
        <w:t>c</w:t>
      </w:r>
      <w:r w:rsidRPr="007D7F83">
        <w:t>ommittee members</w:t>
      </w:r>
    </w:p>
    <w:p w14:paraId="2B3B5DA2" w14:textId="47B43A0F" w:rsidR="002F2583" w:rsidRPr="00742089" w:rsidRDefault="002F2583" w:rsidP="002F2583">
      <w:pPr>
        <w:pStyle w:val="NICEnormal"/>
        <w:rPr>
          <w:rFonts w:eastAsia="Calibri"/>
        </w:rPr>
      </w:pPr>
      <w:r>
        <w:t xml:space="preserve">The 4 technology appraisal committees are standing advisory committees of NICE. This topic was considered by </w:t>
      </w:r>
      <w:hyperlink r:id="rId23" w:history="1">
        <w:r w:rsidR="00715B65" w:rsidRPr="00FD35D9">
          <w:rPr>
            <w:rStyle w:val="Hyperlink"/>
          </w:rPr>
          <w:t>committee</w:t>
        </w:r>
        <w:r w:rsidR="00715B65">
          <w:rPr>
            <w:rStyle w:val="Hyperlink"/>
          </w:rPr>
          <w:t> </w:t>
        </w:r>
        <w:r w:rsidR="00715B65" w:rsidRPr="00FD35D9">
          <w:rPr>
            <w:rStyle w:val="Hyperlink"/>
          </w:rPr>
          <w:t>B</w:t>
        </w:r>
      </w:hyperlink>
      <w:r w:rsidR="00715B65" w:rsidRPr="00FD35D9">
        <w:t>.</w:t>
      </w:r>
    </w:p>
    <w:p w14:paraId="1F83C7D3" w14:textId="77777777" w:rsidR="002F2583" w:rsidRDefault="002F2583" w:rsidP="002F2583">
      <w:pPr>
        <w:pStyle w:val="NICEnormal"/>
      </w:pPr>
      <w:r>
        <w:t xml:space="preserve">Committee members are asked to declare any interests in the technology to be appraised. If it is considered there is a conflict of interest, the member is excluded from participating further in that appraisal. </w:t>
      </w:r>
    </w:p>
    <w:p w14:paraId="1D95B76E" w14:textId="77777777" w:rsidR="002F2583" w:rsidRDefault="002F2583" w:rsidP="002F2583">
      <w:pPr>
        <w:pStyle w:val="NICEnormal"/>
      </w:pPr>
      <w:r>
        <w:lastRenderedPageBreak/>
        <w:t xml:space="preserve">The </w:t>
      </w:r>
      <w:hyperlink r:id="rId24"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5CD92828" w14:textId="77777777" w:rsidR="00B16431" w:rsidRPr="007D7F83" w:rsidRDefault="00B16431" w:rsidP="00B16431">
      <w:pPr>
        <w:pStyle w:val="Heading2"/>
      </w:pPr>
      <w:r w:rsidRPr="007D7F83">
        <w:t>NICE project team</w:t>
      </w:r>
    </w:p>
    <w:p w14:paraId="11E664B8" w14:textId="4F809D56"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 </w:t>
      </w:r>
    </w:p>
    <w:p w14:paraId="4EB2A6AF" w14:textId="137A206D" w:rsidR="00B16431" w:rsidRPr="000F2D8A" w:rsidRDefault="00715B65" w:rsidP="00B16431">
      <w:pPr>
        <w:pStyle w:val="NICEnormal"/>
      </w:pPr>
      <w:bookmarkStart w:id="9" w:name="Text45"/>
      <w:r>
        <w:rPr>
          <w:b/>
        </w:rPr>
        <w:t>Shelly Patel, Caroline Bregman</w:t>
      </w:r>
      <w:r w:rsidR="00B16431">
        <w:br/>
      </w:r>
      <w:r w:rsidR="00B16431" w:rsidRPr="000F2D8A">
        <w:t xml:space="preserve">Technical </w:t>
      </w:r>
      <w:r w:rsidR="00E65C76">
        <w:t>l</w:t>
      </w:r>
      <w:r w:rsidR="00B16431" w:rsidRPr="000F2D8A">
        <w:t>eads</w:t>
      </w:r>
    </w:p>
    <w:p w14:paraId="36B1581F" w14:textId="78A336B1" w:rsidR="00B16431" w:rsidRPr="000F2D8A" w:rsidRDefault="00715B65" w:rsidP="00B16431">
      <w:pPr>
        <w:pStyle w:val="NICEnormal"/>
      </w:pPr>
      <w:r>
        <w:rPr>
          <w:b/>
        </w:rPr>
        <w:t>Eleanor D</w:t>
      </w:r>
      <w:r w:rsidR="001047BE">
        <w:rPr>
          <w:b/>
        </w:rPr>
        <w:t>onegan</w:t>
      </w:r>
      <w:r w:rsidR="00B16431">
        <w:br/>
      </w:r>
      <w:r w:rsidR="00B16431" w:rsidRPr="00AF59A2">
        <w:t xml:space="preserve">Technical </w:t>
      </w:r>
      <w:r w:rsidR="00E65C76">
        <w:t>a</w:t>
      </w:r>
      <w:r w:rsidR="00B16431" w:rsidRPr="00AF59A2">
        <w:t>dviser</w:t>
      </w:r>
    </w:p>
    <w:p w14:paraId="4C8E8137" w14:textId="6A7F0338" w:rsidR="00B16431" w:rsidRPr="000F2D8A" w:rsidRDefault="001047BE" w:rsidP="005D3FD9">
      <w:pPr>
        <w:pStyle w:val="NICEnormal"/>
      </w:pPr>
      <w:r>
        <w:rPr>
          <w:b/>
        </w:rPr>
        <w:t>Joanne Ekeledo, Jeremy Powell</w:t>
      </w:r>
      <w:r w:rsidR="00550EF2">
        <w:rPr>
          <w:b/>
        </w:rPr>
        <w:t>, Shonagh D’Sylva</w:t>
      </w:r>
      <w:r w:rsidR="00B16431">
        <w:br/>
      </w:r>
      <w:r w:rsidR="00B16431" w:rsidRPr="000F2D8A">
        <w:t xml:space="preserve">Project </w:t>
      </w:r>
      <w:r w:rsidR="00E65C76">
        <w:t>m</w:t>
      </w:r>
      <w:r w:rsidR="00B16431" w:rsidRPr="000F2D8A">
        <w:t>anager</w:t>
      </w:r>
      <w:bookmarkEnd w:id="9"/>
    </w:p>
    <w:p w14:paraId="120000A9"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25"/>
      <w:footerReference w:type="default" r:id="rId2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2D3F" w14:textId="77777777" w:rsidR="00D36605" w:rsidRDefault="00D36605">
      <w:r>
        <w:separator/>
      </w:r>
    </w:p>
  </w:endnote>
  <w:endnote w:type="continuationSeparator" w:id="0">
    <w:p w14:paraId="56D6900C" w14:textId="77777777" w:rsidR="00D36605" w:rsidRDefault="00D3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576C" w14:textId="6546F906" w:rsidR="005B6AE5" w:rsidRPr="003D33FB" w:rsidRDefault="005B6AE5" w:rsidP="007A7EC8">
    <w:pPr>
      <w:pStyle w:val="NICEnormalsinglespacing"/>
      <w:spacing w:after="120"/>
      <w:rPr>
        <w:sz w:val="18"/>
        <w:szCs w:val="18"/>
      </w:rPr>
    </w:pPr>
    <w:r>
      <w:rPr>
        <w:sz w:val="18"/>
        <w:szCs w:val="18"/>
      </w:rPr>
      <w:t>Appraisal consultation document</w:t>
    </w:r>
    <w:r w:rsidRPr="003D33FB">
      <w:rPr>
        <w:sz w:val="18"/>
        <w:szCs w:val="18"/>
      </w:rPr>
      <w:t xml:space="preserve"> – </w:t>
    </w:r>
    <w:r>
      <w:rPr>
        <w:sz w:val="18"/>
        <w:szCs w:val="18"/>
      </w:rPr>
      <w:t>Dupilumab for treating severe asthma with type 2 inflammation</w:t>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sidR="00893519">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sidR="00893519">
      <w:rPr>
        <w:rStyle w:val="PageNumber"/>
        <w:noProof/>
        <w:sz w:val="20"/>
        <w:szCs w:val="20"/>
      </w:rPr>
      <w:t>20</w:t>
    </w:r>
    <w:r w:rsidRPr="0039118D">
      <w:rPr>
        <w:rStyle w:val="PageNumber"/>
        <w:sz w:val="20"/>
        <w:szCs w:val="20"/>
      </w:rPr>
      <w:fldChar w:fldCharType="end"/>
    </w:r>
  </w:p>
  <w:p w14:paraId="428CB216" w14:textId="16980BAC" w:rsidR="005B6AE5" w:rsidRDefault="005B6AE5" w:rsidP="007A7EC8">
    <w:pPr>
      <w:pStyle w:val="NICEnormalsinglespacing"/>
      <w:spacing w:after="120"/>
      <w:rPr>
        <w:sz w:val="18"/>
        <w:szCs w:val="18"/>
      </w:rPr>
    </w:pPr>
    <w:r w:rsidRPr="003D33FB">
      <w:rPr>
        <w:sz w:val="18"/>
        <w:szCs w:val="18"/>
      </w:rPr>
      <w:t>Issue date:</w:t>
    </w:r>
    <w:r>
      <w:rPr>
        <w:sz w:val="18"/>
        <w:szCs w:val="18"/>
      </w:rPr>
      <w:t xml:space="preserve"> </w:t>
    </w:r>
    <w:r w:rsidR="00231365">
      <w:rPr>
        <w:sz w:val="18"/>
        <w:szCs w:val="18"/>
      </w:rPr>
      <w:t>May</w:t>
    </w:r>
    <w:r w:rsidR="00CD69CB">
      <w:rPr>
        <w:sz w:val="18"/>
        <w:szCs w:val="18"/>
      </w:rPr>
      <w:t xml:space="preserve"> </w:t>
    </w:r>
    <w:r>
      <w:rPr>
        <w:sz w:val="18"/>
        <w:szCs w:val="18"/>
      </w:rPr>
      <w:t>202</w:t>
    </w:r>
    <w:r w:rsidR="00CD69CB">
      <w:rPr>
        <w:sz w:val="18"/>
        <w:szCs w:val="18"/>
      </w:rPr>
      <w:t>1</w:t>
    </w:r>
  </w:p>
  <w:p w14:paraId="2A98C664" w14:textId="4A0BD19B" w:rsidR="005B6AE5" w:rsidRPr="007A7EC8" w:rsidRDefault="005B6AE5" w:rsidP="007A7EC8">
    <w:pPr>
      <w:pStyle w:val="NICEnormalsinglespacing"/>
      <w:spacing w:after="120"/>
    </w:pPr>
    <w:r>
      <w:rPr>
        <w:sz w:val="18"/>
        <w:szCs w:val="18"/>
      </w:rPr>
      <w:t>© NICE 202</w:t>
    </w:r>
    <w:r w:rsidR="0063055A">
      <w:rPr>
        <w:sz w:val="18"/>
        <w:szCs w:val="18"/>
      </w:rPr>
      <w:t>1</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4D5E" w14:textId="77777777" w:rsidR="00D36605" w:rsidRDefault="00D36605">
      <w:r>
        <w:separator/>
      </w:r>
    </w:p>
  </w:footnote>
  <w:footnote w:type="continuationSeparator" w:id="0">
    <w:p w14:paraId="00E9C44E" w14:textId="77777777" w:rsidR="00D36605" w:rsidRDefault="00D3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C822" w14:textId="77777777" w:rsidR="005B6AE5" w:rsidRPr="004E6427" w:rsidRDefault="005B6AE5"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C054F13"/>
    <w:multiLevelType w:val="hybridMultilevel"/>
    <w:tmpl w:val="F182C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B758A"/>
    <w:multiLevelType w:val="hybridMultilevel"/>
    <w:tmpl w:val="00BEE7CE"/>
    <w:lvl w:ilvl="0" w:tplc="AE707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17"/>
  </w:num>
  <w:num w:numId="4">
    <w:abstractNumId w:val="11"/>
  </w:num>
  <w:num w:numId="5">
    <w:abstractNumId w:val="12"/>
  </w:num>
  <w:num w:numId="6">
    <w:abstractNumId w:val="0"/>
  </w:num>
  <w:num w:numId="7">
    <w:abstractNumId w:val="3"/>
  </w:num>
  <w:num w:numId="8">
    <w:abstractNumId w:val="5"/>
  </w:num>
  <w:num w:numId="9">
    <w:abstractNumId w:val="7"/>
  </w:num>
  <w:num w:numId="10">
    <w:abstractNumId w:val="8"/>
  </w:num>
  <w:num w:numId="11">
    <w:abstractNumId w:val="10"/>
  </w:num>
  <w:num w:numId="12">
    <w:abstractNumId w:val="9"/>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8"/>
  </w:num>
  <w:num w:numId="1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num>
  <w:num w:numId="21">
    <w:abstractNumId w:val="8"/>
  </w:num>
  <w:num w:numId="22">
    <w:abstractNumId w:val="15"/>
  </w:num>
  <w:num w:numId="23">
    <w:abstractNumId w:val="16"/>
  </w:num>
  <w:num w:numId="24">
    <w:abstractNumId w:val="8"/>
  </w:num>
  <w:num w:numId="25">
    <w:abstractNumId w:val="15"/>
  </w:num>
  <w:num w:numId="26">
    <w:abstractNumId w:val="13"/>
  </w:num>
  <w:num w:numId="2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13"/>
    <w:rsid w:val="00000441"/>
    <w:rsid w:val="00006312"/>
    <w:rsid w:val="00006590"/>
    <w:rsid w:val="000069A4"/>
    <w:rsid w:val="000069F9"/>
    <w:rsid w:val="0000727D"/>
    <w:rsid w:val="000119FB"/>
    <w:rsid w:val="00014990"/>
    <w:rsid w:val="00016A22"/>
    <w:rsid w:val="00016E5E"/>
    <w:rsid w:val="00017610"/>
    <w:rsid w:val="000205C6"/>
    <w:rsid w:val="00021FB0"/>
    <w:rsid w:val="000221AA"/>
    <w:rsid w:val="0002331F"/>
    <w:rsid w:val="00023F26"/>
    <w:rsid w:val="000249F8"/>
    <w:rsid w:val="00026E82"/>
    <w:rsid w:val="00030676"/>
    <w:rsid w:val="00030714"/>
    <w:rsid w:val="0003322C"/>
    <w:rsid w:val="00034110"/>
    <w:rsid w:val="00035AC1"/>
    <w:rsid w:val="000368FC"/>
    <w:rsid w:val="000376EE"/>
    <w:rsid w:val="000421F8"/>
    <w:rsid w:val="00043262"/>
    <w:rsid w:val="0004335E"/>
    <w:rsid w:val="00045528"/>
    <w:rsid w:val="00052063"/>
    <w:rsid w:val="000556E3"/>
    <w:rsid w:val="00055DDF"/>
    <w:rsid w:val="00057724"/>
    <w:rsid w:val="00061C83"/>
    <w:rsid w:val="0006624B"/>
    <w:rsid w:val="000711F1"/>
    <w:rsid w:val="00071F65"/>
    <w:rsid w:val="00073DA8"/>
    <w:rsid w:val="000755E6"/>
    <w:rsid w:val="000764D3"/>
    <w:rsid w:val="00080A47"/>
    <w:rsid w:val="00082F77"/>
    <w:rsid w:val="00085C5A"/>
    <w:rsid w:val="000862FC"/>
    <w:rsid w:val="00087323"/>
    <w:rsid w:val="000879ED"/>
    <w:rsid w:val="00093649"/>
    <w:rsid w:val="00096246"/>
    <w:rsid w:val="000A0A6E"/>
    <w:rsid w:val="000A4016"/>
    <w:rsid w:val="000A6C40"/>
    <w:rsid w:val="000B1027"/>
    <w:rsid w:val="000B70D6"/>
    <w:rsid w:val="000B7F7A"/>
    <w:rsid w:val="000C04A1"/>
    <w:rsid w:val="000C194F"/>
    <w:rsid w:val="000C2222"/>
    <w:rsid w:val="000D09ED"/>
    <w:rsid w:val="000D0A87"/>
    <w:rsid w:val="000D0FB1"/>
    <w:rsid w:val="000D11B8"/>
    <w:rsid w:val="000D145B"/>
    <w:rsid w:val="000D3DE5"/>
    <w:rsid w:val="000D6016"/>
    <w:rsid w:val="000D622B"/>
    <w:rsid w:val="000D7185"/>
    <w:rsid w:val="000E1CED"/>
    <w:rsid w:val="000E24BD"/>
    <w:rsid w:val="000E29D1"/>
    <w:rsid w:val="000E6F19"/>
    <w:rsid w:val="000E71FE"/>
    <w:rsid w:val="000F1B3B"/>
    <w:rsid w:val="000F1E3F"/>
    <w:rsid w:val="000F3DBC"/>
    <w:rsid w:val="000F48EC"/>
    <w:rsid w:val="000F5915"/>
    <w:rsid w:val="000F5D8D"/>
    <w:rsid w:val="000F7FDF"/>
    <w:rsid w:val="001017A9"/>
    <w:rsid w:val="00101F34"/>
    <w:rsid w:val="001030E1"/>
    <w:rsid w:val="001033D5"/>
    <w:rsid w:val="001039F7"/>
    <w:rsid w:val="001047BE"/>
    <w:rsid w:val="00105409"/>
    <w:rsid w:val="00105CE8"/>
    <w:rsid w:val="00107DBD"/>
    <w:rsid w:val="00113666"/>
    <w:rsid w:val="001169FE"/>
    <w:rsid w:val="00116D19"/>
    <w:rsid w:val="0011725C"/>
    <w:rsid w:val="001172EA"/>
    <w:rsid w:val="00117513"/>
    <w:rsid w:val="001209CD"/>
    <w:rsid w:val="00121E78"/>
    <w:rsid w:val="001230AC"/>
    <w:rsid w:val="00123F4B"/>
    <w:rsid w:val="00124604"/>
    <w:rsid w:val="001265C0"/>
    <w:rsid w:val="001337B7"/>
    <w:rsid w:val="00133921"/>
    <w:rsid w:val="001344B3"/>
    <w:rsid w:val="00135B06"/>
    <w:rsid w:val="00140C93"/>
    <w:rsid w:val="00143536"/>
    <w:rsid w:val="00143860"/>
    <w:rsid w:val="00145B2F"/>
    <w:rsid w:val="001464B2"/>
    <w:rsid w:val="00150440"/>
    <w:rsid w:val="00151D8E"/>
    <w:rsid w:val="001570BC"/>
    <w:rsid w:val="001579BF"/>
    <w:rsid w:val="00161AA0"/>
    <w:rsid w:val="001650B3"/>
    <w:rsid w:val="001662BC"/>
    <w:rsid w:val="0017072D"/>
    <w:rsid w:val="00170B60"/>
    <w:rsid w:val="00171A2B"/>
    <w:rsid w:val="00176FB2"/>
    <w:rsid w:val="001823EB"/>
    <w:rsid w:val="00184A64"/>
    <w:rsid w:val="0018716E"/>
    <w:rsid w:val="001873CB"/>
    <w:rsid w:val="00187522"/>
    <w:rsid w:val="00191B56"/>
    <w:rsid w:val="00191E1B"/>
    <w:rsid w:val="00193945"/>
    <w:rsid w:val="001956FC"/>
    <w:rsid w:val="00196FE1"/>
    <w:rsid w:val="0019718A"/>
    <w:rsid w:val="001A1AE2"/>
    <w:rsid w:val="001A5561"/>
    <w:rsid w:val="001B29FB"/>
    <w:rsid w:val="001B2DD8"/>
    <w:rsid w:val="001B7E00"/>
    <w:rsid w:val="001C0EF4"/>
    <w:rsid w:val="001C59E4"/>
    <w:rsid w:val="001D1D43"/>
    <w:rsid w:val="001E0D61"/>
    <w:rsid w:val="001E27E5"/>
    <w:rsid w:val="001E2CAF"/>
    <w:rsid w:val="001E4D37"/>
    <w:rsid w:val="001F1400"/>
    <w:rsid w:val="001F5251"/>
    <w:rsid w:val="001F6078"/>
    <w:rsid w:val="001F7251"/>
    <w:rsid w:val="00204F82"/>
    <w:rsid w:val="00206800"/>
    <w:rsid w:val="00206A71"/>
    <w:rsid w:val="00206ABC"/>
    <w:rsid w:val="0021081C"/>
    <w:rsid w:val="002119CD"/>
    <w:rsid w:val="002135E1"/>
    <w:rsid w:val="00214F98"/>
    <w:rsid w:val="002159C9"/>
    <w:rsid w:val="00217FB0"/>
    <w:rsid w:val="002218BC"/>
    <w:rsid w:val="00222BEA"/>
    <w:rsid w:val="00223220"/>
    <w:rsid w:val="00225439"/>
    <w:rsid w:val="00225F9B"/>
    <w:rsid w:val="00231365"/>
    <w:rsid w:val="00231741"/>
    <w:rsid w:val="00232061"/>
    <w:rsid w:val="00233D43"/>
    <w:rsid w:val="00235945"/>
    <w:rsid w:val="00235CAB"/>
    <w:rsid w:val="0024081A"/>
    <w:rsid w:val="0025241F"/>
    <w:rsid w:val="00253EB9"/>
    <w:rsid w:val="002555BE"/>
    <w:rsid w:val="00255679"/>
    <w:rsid w:val="00257B1C"/>
    <w:rsid w:val="002614EA"/>
    <w:rsid w:val="00265B0E"/>
    <w:rsid w:val="00274397"/>
    <w:rsid w:val="00281AB9"/>
    <w:rsid w:val="00282C30"/>
    <w:rsid w:val="00282D7E"/>
    <w:rsid w:val="002851AC"/>
    <w:rsid w:val="00290445"/>
    <w:rsid w:val="00292044"/>
    <w:rsid w:val="00293811"/>
    <w:rsid w:val="00293D4F"/>
    <w:rsid w:val="0029510F"/>
    <w:rsid w:val="002A151A"/>
    <w:rsid w:val="002A16BE"/>
    <w:rsid w:val="002A2687"/>
    <w:rsid w:val="002A5C23"/>
    <w:rsid w:val="002A686F"/>
    <w:rsid w:val="002B3340"/>
    <w:rsid w:val="002B5772"/>
    <w:rsid w:val="002B6D1D"/>
    <w:rsid w:val="002C02BF"/>
    <w:rsid w:val="002C0551"/>
    <w:rsid w:val="002C257D"/>
    <w:rsid w:val="002C2774"/>
    <w:rsid w:val="002C31A8"/>
    <w:rsid w:val="002C381D"/>
    <w:rsid w:val="002C383B"/>
    <w:rsid w:val="002D37A9"/>
    <w:rsid w:val="002D79A7"/>
    <w:rsid w:val="002E3F68"/>
    <w:rsid w:val="002E5C16"/>
    <w:rsid w:val="002E73E7"/>
    <w:rsid w:val="002F0AA7"/>
    <w:rsid w:val="002F1B28"/>
    <w:rsid w:val="002F2583"/>
    <w:rsid w:val="002F279A"/>
    <w:rsid w:val="002F2C1A"/>
    <w:rsid w:val="002F3C86"/>
    <w:rsid w:val="002F4F5B"/>
    <w:rsid w:val="002F5747"/>
    <w:rsid w:val="002F68FE"/>
    <w:rsid w:val="00300DF8"/>
    <w:rsid w:val="00303156"/>
    <w:rsid w:val="00303268"/>
    <w:rsid w:val="003032CD"/>
    <w:rsid w:val="003076FA"/>
    <w:rsid w:val="003107AB"/>
    <w:rsid w:val="0031127A"/>
    <w:rsid w:val="00311A01"/>
    <w:rsid w:val="003154E8"/>
    <w:rsid w:val="00315C29"/>
    <w:rsid w:val="0031664C"/>
    <w:rsid w:val="00324997"/>
    <w:rsid w:val="003256B1"/>
    <w:rsid w:val="00326714"/>
    <w:rsid w:val="00331545"/>
    <w:rsid w:val="00331635"/>
    <w:rsid w:val="003330E6"/>
    <w:rsid w:val="0033333E"/>
    <w:rsid w:val="003368C0"/>
    <w:rsid w:val="0034294A"/>
    <w:rsid w:val="00343439"/>
    <w:rsid w:val="00343B53"/>
    <w:rsid w:val="003459E9"/>
    <w:rsid w:val="00346BA7"/>
    <w:rsid w:val="00352B32"/>
    <w:rsid w:val="003539B8"/>
    <w:rsid w:val="00354915"/>
    <w:rsid w:val="00364E30"/>
    <w:rsid w:val="00372031"/>
    <w:rsid w:val="003738C2"/>
    <w:rsid w:val="00383594"/>
    <w:rsid w:val="00383B37"/>
    <w:rsid w:val="003847B9"/>
    <w:rsid w:val="00385E85"/>
    <w:rsid w:val="0039118D"/>
    <w:rsid w:val="00391AC8"/>
    <w:rsid w:val="00392FB4"/>
    <w:rsid w:val="00394DFF"/>
    <w:rsid w:val="00395C05"/>
    <w:rsid w:val="003A0250"/>
    <w:rsid w:val="003A04CD"/>
    <w:rsid w:val="003A11AB"/>
    <w:rsid w:val="003A1F14"/>
    <w:rsid w:val="003A3974"/>
    <w:rsid w:val="003A5838"/>
    <w:rsid w:val="003B0BC2"/>
    <w:rsid w:val="003B37BB"/>
    <w:rsid w:val="003B5002"/>
    <w:rsid w:val="003C2B8A"/>
    <w:rsid w:val="003C36AC"/>
    <w:rsid w:val="003C7EF9"/>
    <w:rsid w:val="003D68D5"/>
    <w:rsid w:val="003D7050"/>
    <w:rsid w:val="003E14CF"/>
    <w:rsid w:val="003E5C13"/>
    <w:rsid w:val="003E684C"/>
    <w:rsid w:val="003F12FA"/>
    <w:rsid w:val="003F168A"/>
    <w:rsid w:val="00401B91"/>
    <w:rsid w:val="00407D59"/>
    <w:rsid w:val="00411658"/>
    <w:rsid w:val="0041525E"/>
    <w:rsid w:val="00415939"/>
    <w:rsid w:val="00420742"/>
    <w:rsid w:val="00421005"/>
    <w:rsid w:val="00431372"/>
    <w:rsid w:val="00433564"/>
    <w:rsid w:val="00435AEB"/>
    <w:rsid w:val="00436425"/>
    <w:rsid w:val="00437CA3"/>
    <w:rsid w:val="0044027B"/>
    <w:rsid w:val="004408F8"/>
    <w:rsid w:val="0044648F"/>
    <w:rsid w:val="00446DA2"/>
    <w:rsid w:val="00457426"/>
    <w:rsid w:val="00457843"/>
    <w:rsid w:val="00462002"/>
    <w:rsid w:val="0046212F"/>
    <w:rsid w:val="00462733"/>
    <w:rsid w:val="00463227"/>
    <w:rsid w:val="00463973"/>
    <w:rsid w:val="00466674"/>
    <w:rsid w:val="00466878"/>
    <w:rsid w:val="00471113"/>
    <w:rsid w:val="00471200"/>
    <w:rsid w:val="00472FF8"/>
    <w:rsid w:val="00474EC7"/>
    <w:rsid w:val="00475F03"/>
    <w:rsid w:val="00476B41"/>
    <w:rsid w:val="004804B3"/>
    <w:rsid w:val="00481E06"/>
    <w:rsid w:val="004820E9"/>
    <w:rsid w:val="00483119"/>
    <w:rsid w:val="0048361F"/>
    <w:rsid w:val="004845D0"/>
    <w:rsid w:val="004852FF"/>
    <w:rsid w:val="004872F3"/>
    <w:rsid w:val="00490A30"/>
    <w:rsid w:val="00490C2C"/>
    <w:rsid w:val="004921C3"/>
    <w:rsid w:val="00492FDA"/>
    <w:rsid w:val="00493238"/>
    <w:rsid w:val="00494E73"/>
    <w:rsid w:val="00496778"/>
    <w:rsid w:val="004A2830"/>
    <w:rsid w:val="004A68E8"/>
    <w:rsid w:val="004B3E7B"/>
    <w:rsid w:val="004B4D19"/>
    <w:rsid w:val="004B514C"/>
    <w:rsid w:val="004B7D57"/>
    <w:rsid w:val="004C00D8"/>
    <w:rsid w:val="004C3DAD"/>
    <w:rsid w:val="004C5923"/>
    <w:rsid w:val="004C6116"/>
    <w:rsid w:val="004C7C61"/>
    <w:rsid w:val="004D0DFD"/>
    <w:rsid w:val="004D1FBE"/>
    <w:rsid w:val="004D4A86"/>
    <w:rsid w:val="004D7664"/>
    <w:rsid w:val="004E074F"/>
    <w:rsid w:val="004E35B1"/>
    <w:rsid w:val="004E6427"/>
    <w:rsid w:val="004E7625"/>
    <w:rsid w:val="004E7E43"/>
    <w:rsid w:val="004F1956"/>
    <w:rsid w:val="004F46D0"/>
    <w:rsid w:val="004F5FC6"/>
    <w:rsid w:val="004F69FA"/>
    <w:rsid w:val="005037B2"/>
    <w:rsid w:val="0050455E"/>
    <w:rsid w:val="005047AD"/>
    <w:rsid w:val="00510B1D"/>
    <w:rsid w:val="0051107D"/>
    <w:rsid w:val="00511167"/>
    <w:rsid w:val="005127F0"/>
    <w:rsid w:val="0051532D"/>
    <w:rsid w:val="00516F51"/>
    <w:rsid w:val="00526C07"/>
    <w:rsid w:val="005273A6"/>
    <w:rsid w:val="00527533"/>
    <w:rsid w:val="00527E88"/>
    <w:rsid w:val="0053387C"/>
    <w:rsid w:val="00534F74"/>
    <w:rsid w:val="00536789"/>
    <w:rsid w:val="00536D2F"/>
    <w:rsid w:val="00537A9B"/>
    <w:rsid w:val="00540052"/>
    <w:rsid w:val="00540E10"/>
    <w:rsid w:val="0054146B"/>
    <w:rsid w:val="00543DB4"/>
    <w:rsid w:val="00543E08"/>
    <w:rsid w:val="005449AD"/>
    <w:rsid w:val="00545DE8"/>
    <w:rsid w:val="005505ED"/>
    <w:rsid w:val="00550EF2"/>
    <w:rsid w:val="00564B04"/>
    <w:rsid w:val="005659C8"/>
    <w:rsid w:val="00570524"/>
    <w:rsid w:val="00573059"/>
    <w:rsid w:val="0057621E"/>
    <w:rsid w:val="00577B05"/>
    <w:rsid w:val="00580D6F"/>
    <w:rsid w:val="005812C6"/>
    <w:rsid w:val="0058382A"/>
    <w:rsid w:val="005948FA"/>
    <w:rsid w:val="005959BE"/>
    <w:rsid w:val="00596210"/>
    <w:rsid w:val="00596286"/>
    <w:rsid w:val="00596999"/>
    <w:rsid w:val="005A0F31"/>
    <w:rsid w:val="005A28A1"/>
    <w:rsid w:val="005A46D0"/>
    <w:rsid w:val="005A6FB5"/>
    <w:rsid w:val="005B25E4"/>
    <w:rsid w:val="005B30C8"/>
    <w:rsid w:val="005B6421"/>
    <w:rsid w:val="005B6AE5"/>
    <w:rsid w:val="005B7778"/>
    <w:rsid w:val="005C051F"/>
    <w:rsid w:val="005C245A"/>
    <w:rsid w:val="005C4359"/>
    <w:rsid w:val="005C6E7B"/>
    <w:rsid w:val="005C762E"/>
    <w:rsid w:val="005D098C"/>
    <w:rsid w:val="005D311B"/>
    <w:rsid w:val="005D3FD9"/>
    <w:rsid w:val="005D6715"/>
    <w:rsid w:val="005E2139"/>
    <w:rsid w:val="005E2C3B"/>
    <w:rsid w:val="005E46BB"/>
    <w:rsid w:val="005E7605"/>
    <w:rsid w:val="006001CC"/>
    <w:rsid w:val="00602B4D"/>
    <w:rsid w:val="00603C94"/>
    <w:rsid w:val="006048E0"/>
    <w:rsid w:val="00604FAD"/>
    <w:rsid w:val="0060662A"/>
    <w:rsid w:val="00612789"/>
    <w:rsid w:val="00613B07"/>
    <w:rsid w:val="00613D24"/>
    <w:rsid w:val="00614BDA"/>
    <w:rsid w:val="00621AFB"/>
    <w:rsid w:val="0062589A"/>
    <w:rsid w:val="0063055A"/>
    <w:rsid w:val="006307C7"/>
    <w:rsid w:val="00632B82"/>
    <w:rsid w:val="006331B4"/>
    <w:rsid w:val="006343F3"/>
    <w:rsid w:val="00640CF2"/>
    <w:rsid w:val="006417D6"/>
    <w:rsid w:val="00642906"/>
    <w:rsid w:val="00643582"/>
    <w:rsid w:val="00643B75"/>
    <w:rsid w:val="006457EF"/>
    <w:rsid w:val="00650F96"/>
    <w:rsid w:val="006512B7"/>
    <w:rsid w:val="00651C22"/>
    <w:rsid w:val="00655679"/>
    <w:rsid w:val="00655B4D"/>
    <w:rsid w:val="00655ED5"/>
    <w:rsid w:val="00665734"/>
    <w:rsid w:val="00666668"/>
    <w:rsid w:val="00671977"/>
    <w:rsid w:val="00671D80"/>
    <w:rsid w:val="00672EFB"/>
    <w:rsid w:val="006739CF"/>
    <w:rsid w:val="0067683B"/>
    <w:rsid w:val="0067752C"/>
    <w:rsid w:val="006776A2"/>
    <w:rsid w:val="006801A6"/>
    <w:rsid w:val="0068124B"/>
    <w:rsid w:val="00681610"/>
    <w:rsid w:val="006841E1"/>
    <w:rsid w:val="00684AD6"/>
    <w:rsid w:val="00685D36"/>
    <w:rsid w:val="00686AA0"/>
    <w:rsid w:val="00687304"/>
    <w:rsid w:val="00692C71"/>
    <w:rsid w:val="00692D86"/>
    <w:rsid w:val="006931A0"/>
    <w:rsid w:val="006935BC"/>
    <w:rsid w:val="00696E55"/>
    <w:rsid w:val="00697DBC"/>
    <w:rsid w:val="006A0B0E"/>
    <w:rsid w:val="006A3A9C"/>
    <w:rsid w:val="006A3CC5"/>
    <w:rsid w:val="006A537E"/>
    <w:rsid w:val="006A721F"/>
    <w:rsid w:val="006A7CCF"/>
    <w:rsid w:val="006B0581"/>
    <w:rsid w:val="006B0F36"/>
    <w:rsid w:val="006B30FD"/>
    <w:rsid w:val="006B365D"/>
    <w:rsid w:val="006B4254"/>
    <w:rsid w:val="006B5CB4"/>
    <w:rsid w:val="006B65DB"/>
    <w:rsid w:val="006B6DCF"/>
    <w:rsid w:val="006B791B"/>
    <w:rsid w:val="006C4793"/>
    <w:rsid w:val="006D36FB"/>
    <w:rsid w:val="006D42ED"/>
    <w:rsid w:val="006D4D1A"/>
    <w:rsid w:val="006D73F1"/>
    <w:rsid w:val="006E04F1"/>
    <w:rsid w:val="006E2A29"/>
    <w:rsid w:val="006E3514"/>
    <w:rsid w:val="006E7421"/>
    <w:rsid w:val="006E7647"/>
    <w:rsid w:val="006F162C"/>
    <w:rsid w:val="006F1DA8"/>
    <w:rsid w:val="006F22E9"/>
    <w:rsid w:val="006F4CFA"/>
    <w:rsid w:val="006F5310"/>
    <w:rsid w:val="006F696E"/>
    <w:rsid w:val="006F6B91"/>
    <w:rsid w:val="007040CB"/>
    <w:rsid w:val="0070523B"/>
    <w:rsid w:val="00707D16"/>
    <w:rsid w:val="00715B65"/>
    <w:rsid w:val="00715E8A"/>
    <w:rsid w:val="00717226"/>
    <w:rsid w:val="00720FDD"/>
    <w:rsid w:val="00722883"/>
    <w:rsid w:val="00723AF0"/>
    <w:rsid w:val="00727911"/>
    <w:rsid w:val="0073007E"/>
    <w:rsid w:val="007311E2"/>
    <w:rsid w:val="00731FE3"/>
    <w:rsid w:val="00732519"/>
    <w:rsid w:val="0073365B"/>
    <w:rsid w:val="00734F5A"/>
    <w:rsid w:val="00735651"/>
    <w:rsid w:val="0073579D"/>
    <w:rsid w:val="00736D97"/>
    <w:rsid w:val="00737CEF"/>
    <w:rsid w:val="00737DDA"/>
    <w:rsid w:val="00746B57"/>
    <w:rsid w:val="00747D90"/>
    <w:rsid w:val="007501B9"/>
    <w:rsid w:val="00751CB9"/>
    <w:rsid w:val="00753B35"/>
    <w:rsid w:val="0075624F"/>
    <w:rsid w:val="00756580"/>
    <w:rsid w:val="00756D96"/>
    <w:rsid w:val="007620C2"/>
    <w:rsid w:val="00763641"/>
    <w:rsid w:val="007668BA"/>
    <w:rsid w:val="00770596"/>
    <w:rsid w:val="0077277D"/>
    <w:rsid w:val="00773116"/>
    <w:rsid w:val="007747D4"/>
    <w:rsid w:val="00774963"/>
    <w:rsid w:val="00781B7F"/>
    <w:rsid w:val="00782DCB"/>
    <w:rsid w:val="00783491"/>
    <w:rsid w:val="00784156"/>
    <w:rsid w:val="00786F40"/>
    <w:rsid w:val="00791280"/>
    <w:rsid w:val="007933B3"/>
    <w:rsid w:val="00794D72"/>
    <w:rsid w:val="007A048E"/>
    <w:rsid w:val="007A19AF"/>
    <w:rsid w:val="007A1E9D"/>
    <w:rsid w:val="007A2801"/>
    <w:rsid w:val="007A4EEE"/>
    <w:rsid w:val="007A6DAA"/>
    <w:rsid w:val="007A7EC8"/>
    <w:rsid w:val="007B032C"/>
    <w:rsid w:val="007B1AF8"/>
    <w:rsid w:val="007B2A16"/>
    <w:rsid w:val="007B4B3F"/>
    <w:rsid w:val="007B787D"/>
    <w:rsid w:val="007B7B7B"/>
    <w:rsid w:val="007C3165"/>
    <w:rsid w:val="007C58D6"/>
    <w:rsid w:val="007C732D"/>
    <w:rsid w:val="007D1008"/>
    <w:rsid w:val="007D5B27"/>
    <w:rsid w:val="007D5C80"/>
    <w:rsid w:val="007D62AE"/>
    <w:rsid w:val="007E013D"/>
    <w:rsid w:val="007E2754"/>
    <w:rsid w:val="007E4C62"/>
    <w:rsid w:val="007E5818"/>
    <w:rsid w:val="007E61A7"/>
    <w:rsid w:val="007E65D7"/>
    <w:rsid w:val="007F227E"/>
    <w:rsid w:val="0080089C"/>
    <w:rsid w:val="00803318"/>
    <w:rsid w:val="00803456"/>
    <w:rsid w:val="0080390A"/>
    <w:rsid w:val="00811BBD"/>
    <w:rsid w:val="00812976"/>
    <w:rsid w:val="00814DEF"/>
    <w:rsid w:val="0081591F"/>
    <w:rsid w:val="0082239E"/>
    <w:rsid w:val="00825A87"/>
    <w:rsid w:val="00831B9B"/>
    <w:rsid w:val="00835008"/>
    <w:rsid w:val="00842A7E"/>
    <w:rsid w:val="00844D3D"/>
    <w:rsid w:val="0084532E"/>
    <w:rsid w:val="00845810"/>
    <w:rsid w:val="00845F3C"/>
    <w:rsid w:val="00846159"/>
    <w:rsid w:val="008505C3"/>
    <w:rsid w:val="00851677"/>
    <w:rsid w:val="008522C6"/>
    <w:rsid w:val="00852E40"/>
    <w:rsid w:val="00857A90"/>
    <w:rsid w:val="00857CDD"/>
    <w:rsid w:val="00860EA8"/>
    <w:rsid w:val="0086472B"/>
    <w:rsid w:val="00866CC6"/>
    <w:rsid w:val="0087368E"/>
    <w:rsid w:val="00875A0F"/>
    <w:rsid w:val="008802D9"/>
    <w:rsid w:val="00880B98"/>
    <w:rsid w:val="00881F26"/>
    <w:rsid w:val="008838A1"/>
    <w:rsid w:val="0088685E"/>
    <w:rsid w:val="0088689E"/>
    <w:rsid w:val="008904C5"/>
    <w:rsid w:val="00891794"/>
    <w:rsid w:val="00891929"/>
    <w:rsid w:val="00893176"/>
    <w:rsid w:val="00893519"/>
    <w:rsid w:val="00895446"/>
    <w:rsid w:val="008A05E4"/>
    <w:rsid w:val="008A2098"/>
    <w:rsid w:val="008A2C65"/>
    <w:rsid w:val="008A32D1"/>
    <w:rsid w:val="008B03D8"/>
    <w:rsid w:val="008B4290"/>
    <w:rsid w:val="008B61CD"/>
    <w:rsid w:val="008B771C"/>
    <w:rsid w:val="008C4A61"/>
    <w:rsid w:val="008C4CB3"/>
    <w:rsid w:val="008C4F0F"/>
    <w:rsid w:val="008C6CFD"/>
    <w:rsid w:val="008C7D07"/>
    <w:rsid w:val="008C7F38"/>
    <w:rsid w:val="008D35D4"/>
    <w:rsid w:val="008D3B9E"/>
    <w:rsid w:val="008D55C9"/>
    <w:rsid w:val="008E3405"/>
    <w:rsid w:val="008E5667"/>
    <w:rsid w:val="008E7460"/>
    <w:rsid w:val="008E7585"/>
    <w:rsid w:val="008F0430"/>
    <w:rsid w:val="008F2E5C"/>
    <w:rsid w:val="008F646F"/>
    <w:rsid w:val="0090284D"/>
    <w:rsid w:val="00905BA2"/>
    <w:rsid w:val="00906982"/>
    <w:rsid w:val="009076D0"/>
    <w:rsid w:val="00914F38"/>
    <w:rsid w:val="0091776B"/>
    <w:rsid w:val="00920396"/>
    <w:rsid w:val="0092657D"/>
    <w:rsid w:val="00931E1D"/>
    <w:rsid w:val="00932B67"/>
    <w:rsid w:val="00935018"/>
    <w:rsid w:val="0093671F"/>
    <w:rsid w:val="00937D0C"/>
    <w:rsid w:val="00937F0D"/>
    <w:rsid w:val="00941D1F"/>
    <w:rsid w:val="00942887"/>
    <w:rsid w:val="00942F26"/>
    <w:rsid w:val="0094366C"/>
    <w:rsid w:val="0094666B"/>
    <w:rsid w:val="009469E9"/>
    <w:rsid w:val="009479C0"/>
    <w:rsid w:val="00950914"/>
    <w:rsid w:val="00950C51"/>
    <w:rsid w:val="00951973"/>
    <w:rsid w:val="0095252E"/>
    <w:rsid w:val="00952591"/>
    <w:rsid w:val="00952C90"/>
    <w:rsid w:val="00953ADF"/>
    <w:rsid w:val="00953B55"/>
    <w:rsid w:val="0095579B"/>
    <w:rsid w:val="00957E73"/>
    <w:rsid w:val="0096135C"/>
    <w:rsid w:val="00973DAB"/>
    <w:rsid w:val="009746D7"/>
    <w:rsid w:val="009808B4"/>
    <w:rsid w:val="00983391"/>
    <w:rsid w:val="00984821"/>
    <w:rsid w:val="009961A7"/>
    <w:rsid w:val="0099716A"/>
    <w:rsid w:val="009A0593"/>
    <w:rsid w:val="009A2797"/>
    <w:rsid w:val="009A2C14"/>
    <w:rsid w:val="009A3D97"/>
    <w:rsid w:val="009A3ED6"/>
    <w:rsid w:val="009A598B"/>
    <w:rsid w:val="009A698B"/>
    <w:rsid w:val="009B2D86"/>
    <w:rsid w:val="009B3F94"/>
    <w:rsid w:val="009B5E70"/>
    <w:rsid w:val="009B621A"/>
    <w:rsid w:val="009B672F"/>
    <w:rsid w:val="009B6D00"/>
    <w:rsid w:val="009B6EAB"/>
    <w:rsid w:val="009B718D"/>
    <w:rsid w:val="009C0BCC"/>
    <w:rsid w:val="009C3FA3"/>
    <w:rsid w:val="009C45D9"/>
    <w:rsid w:val="009C6530"/>
    <w:rsid w:val="009C6F32"/>
    <w:rsid w:val="009D2BEF"/>
    <w:rsid w:val="009D358E"/>
    <w:rsid w:val="009D7187"/>
    <w:rsid w:val="009D783B"/>
    <w:rsid w:val="009E01DD"/>
    <w:rsid w:val="009E3654"/>
    <w:rsid w:val="009E547A"/>
    <w:rsid w:val="009E6F9C"/>
    <w:rsid w:val="009F30C8"/>
    <w:rsid w:val="009F4054"/>
    <w:rsid w:val="009F58D8"/>
    <w:rsid w:val="00A02F7D"/>
    <w:rsid w:val="00A03791"/>
    <w:rsid w:val="00A06657"/>
    <w:rsid w:val="00A12DA0"/>
    <w:rsid w:val="00A15899"/>
    <w:rsid w:val="00A16DFA"/>
    <w:rsid w:val="00A17C0A"/>
    <w:rsid w:val="00A22FA7"/>
    <w:rsid w:val="00A238D0"/>
    <w:rsid w:val="00A277C4"/>
    <w:rsid w:val="00A33919"/>
    <w:rsid w:val="00A346B2"/>
    <w:rsid w:val="00A3601F"/>
    <w:rsid w:val="00A36968"/>
    <w:rsid w:val="00A36EC5"/>
    <w:rsid w:val="00A41149"/>
    <w:rsid w:val="00A44745"/>
    <w:rsid w:val="00A44F15"/>
    <w:rsid w:val="00A4742D"/>
    <w:rsid w:val="00A47B7B"/>
    <w:rsid w:val="00A50621"/>
    <w:rsid w:val="00A54175"/>
    <w:rsid w:val="00A56809"/>
    <w:rsid w:val="00A60D9A"/>
    <w:rsid w:val="00A63A07"/>
    <w:rsid w:val="00A654A2"/>
    <w:rsid w:val="00A67183"/>
    <w:rsid w:val="00A70079"/>
    <w:rsid w:val="00A76391"/>
    <w:rsid w:val="00A76452"/>
    <w:rsid w:val="00A8044A"/>
    <w:rsid w:val="00A83F5F"/>
    <w:rsid w:val="00A84DF8"/>
    <w:rsid w:val="00A86D3D"/>
    <w:rsid w:val="00A9013E"/>
    <w:rsid w:val="00A915F3"/>
    <w:rsid w:val="00A94B17"/>
    <w:rsid w:val="00A94F1F"/>
    <w:rsid w:val="00A95347"/>
    <w:rsid w:val="00AA349C"/>
    <w:rsid w:val="00AA471D"/>
    <w:rsid w:val="00AA4B1C"/>
    <w:rsid w:val="00AA6188"/>
    <w:rsid w:val="00AA7E33"/>
    <w:rsid w:val="00AB0B0F"/>
    <w:rsid w:val="00AB265E"/>
    <w:rsid w:val="00AB2948"/>
    <w:rsid w:val="00AB39FA"/>
    <w:rsid w:val="00AB3B30"/>
    <w:rsid w:val="00AB426C"/>
    <w:rsid w:val="00AB451C"/>
    <w:rsid w:val="00AB59F2"/>
    <w:rsid w:val="00AC3E62"/>
    <w:rsid w:val="00AC5620"/>
    <w:rsid w:val="00AC5AF9"/>
    <w:rsid w:val="00AC6192"/>
    <w:rsid w:val="00AD18BE"/>
    <w:rsid w:val="00AD200E"/>
    <w:rsid w:val="00AD211C"/>
    <w:rsid w:val="00AD2F03"/>
    <w:rsid w:val="00AD57FE"/>
    <w:rsid w:val="00AD6933"/>
    <w:rsid w:val="00AD6B7B"/>
    <w:rsid w:val="00AD7CAB"/>
    <w:rsid w:val="00AE0D6A"/>
    <w:rsid w:val="00AE10BE"/>
    <w:rsid w:val="00AE16C9"/>
    <w:rsid w:val="00AE3EF5"/>
    <w:rsid w:val="00AE4F2A"/>
    <w:rsid w:val="00AE5F33"/>
    <w:rsid w:val="00AE781E"/>
    <w:rsid w:val="00AF0AD5"/>
    <w:rsid w:val="00AF15E6"/>
    <w:rsid w:val="00AF51E7"/>
    <w:rsid w:val="00AF6744"/>
    <w:rsid w:val="00B05620"/>
    <w:rsid w:val="00B1255F"/>
    <w:rsid w:val="00B12E05"/>
    <w:rsid w:val="00B12EBE"/>
    <w:rsid w:val="00B16431"/>
    <w:rsid w:val="00B166A4"/>
    <w:rsid w:val="00B20D37"/>
    <w:rsid w:val="00B219B7"/>
    <w:rsid w:val="00B24D5B"/>
    <w:rsid w:val="00B25038"/>
    <w:rsid w:val="00B272C7"/>
    <w:rsid w:val="00B27FF1"/>
    <w:rsid w:val="00B3159A"/>
    <w:rsid w:val="00B33465"/>
    <w:rsid w:val="00B35C09"/>
    <w:rsid w:val="00B379C5"/>
    <w:rsid w:val="00B41706"/>
    <w:rsid w:val="00B4183F"/>
    <w:rsid w:val="00B42198"/>
    <w:rsid w:val="00B46AD2"/>
    <w:rsid w:val="00B46BD5"/>
    <w:rsid w:val="00B64BBE"/>
    <w:rsid w:val="00B67DE1"/>
    <w:rsid w:val="00B70CC6"/>
    <w:rsid w:val="00B73894"/>
    <w:rsid w:val="00B74128"/>
    <w:rsid w:val="00B776B5"/>
    <w:rsid w:val="00B776E4"/>
    <w:rsid w:val="00B8193F"/>
    <w:rsid w:val="00B81CEC"/>
    <w:rsid w:val="00B82A82"/>
    <w:rsid w:val="00B8464A"/>
    <w:rsid w:val="00B8473D"/>
    <w:rsid w:val="00B90410"/>
    <w:rsid w:val="00B90E10"/>
    <w:rsid w:val="00B964CA"/>
    <w:rsid w:val="00B969D7"/>
    <w:rsid w:val="00BA31C4"/>
    <w:rsid w:val="00BA4655"/>
    <w:rsid w:val="00BA78B6"/>
    <w:rsid w:val="00BA7935"/>
    <w:rsid w:val="00BB047B"/>
    <w:rsid w:val="00BB4818"/>
    <w:rsid w:val="00BB4AF3"/>
    <w:rsid w:val="00BB6398"/>
    <w:rsid w:val="00BC25EF"/>
    <w:rsid w:val="00BC2DAF"/>
    <w:rsid w:val="00BC4FD3"/>
    <w:rsid w:val="00BC6827"/>
    <w:rsid w:val="00BC6C7A"/>
    <w:rsid w:val="00BC7D9E"/>
    <w:rsid w:val="00BD0372"/>
    <w:rsid w:val="00BD44F5"/>
    <w:rsid w:val="00BE4340"/>
    <w:rsid w:val="00BE5C41"/>
    <w:rsid w:val="00BE6F7C"/>
    <w:rsid w:val="00BF0646"/>
    <w:rsid w:val="00BF1C32"/>
    <w:rsid w:val="00BF76A6"/>
    <w:rsid w:val="00C0068D"/>
    <w:rsid w:val="00C01F23"/>
    <w:rsid w:val="00C044BE"/>
    <w:rsid w:val="00C04BAB"/>
    <w:rsid w:val="00C0607B"/>
    <w:rsid w:val="00C06DEF"/>
    <w:rsid w:val="00C075A2"/>
    <w:rsid w:val="00C107CB"/>
    <w:rsid w:val="00C118C4"/>
    <w:rsid w:val="00C11F58"/>
    <w:rsid w:val="00C120D7"/>
    <w:rsid w:val="00C132D1"/>
    <w:rsid w:val="00C139CA"/>
    <w:rsid w:val="00C13A7D"/>
    <w:rsid w:val="00C241A8"/>
    <w:rsid w:val="00C24ABA"/>
    <w:rsid w:val="00C264CB"/>
    <w:rsid w:val="00C31253"/>
    <w:rsid w:val="00C35129"/>
    <w:rsid w:val="00C41197"/>
    <w:rsid w:val="00C419DB"/>
    <w:rsid w:val="00C41FDC"/>
    <w:rsid w:val="00C476F1"/>
    <w:rsid w:val="00C51429"/>
    <w:rsid w:val="00C51E8F"/>
    <w:rsid w:val="00C52CE9"/>
    <w:rsid w:val="00C52FC0"/>
    <w:rsid w:val="00C53F9E"/>
    <w:rsid w:val="00C559E9"/>
    <w:rsid w:val="00C566F6"/>
    <w:rsid w:val="00C608C1"/>
    <w:rsid w:val="00C61360"/>
    <w:rsid w:val="00C63D4E"/>
    <w:rsid w:val="00C63EA9"/>
    <w:rsid w:val="00C665A0"/>
    <w:rsid w:val="00C67725"/>
    <w:rsid w:val="00C700F3"/>
    <w:rsid w:val="00C7092F"/>
    <w:rsid w:val="00C72561"/>
    <w:rsid w:val="00C76DDA"/>
    <w:rsid w:val="00C807B3"/>
    <w:rsid w:val="00C817A3"/>
    <w:rsid w:val="00C8205D"/>
    <w:rsid w:val="00C825C9"/>
    <w:rsid w:val="00C827C5"/>
    <w:rsid w:val="00C86CC3"/>
    <w:rsid w:val="00C86E37"/>
    <w:rsid w:val="00C901B1"/>
    <w:rsid w:val="00C90EBC"/>
    <w:rsid w:val="00C91B69"/>
    <w:rsid w:val="00CA260B"/>
    <w:rsid w:val="00CA3856"/>
    <w:rsid w:val="00CA5539"/>
    <w:rsid w:val="00CA5A3F"/>
    <w:rsid w:val="00CA67E0"/>
    <w:rsid w:val="00CB0122"/>
    <w:rsid w:val="00CB0269"/>
    <w:rsid w:val="00CB0833"/>
    <w:rsid w:val="00CB18F5"/>
    <w:rsid w:val="00CC008E"/>
    <w:rsid w:val="00CC02ED"/>
    <w:rsid w:val="00CC63EB"/>
    <w:rsid w:val="00CC6D45"/>
    <w:rsid w:val="00CD022A"/>
    <w:rsid w:val="00CD03BE"/>
    <w:rsid w:val="00CD05CA"/>
    <w:rsid w:val="00CD0707"/>
    <w:rsid w:val="00CD1A25"/>
    <w:rsid w:val="00CD2E16"/>
    <w:rsid w:val="00CD60E0"/>
    <w:rsid w:val="00CD65E7"/>
    <w:rsid w:val="00CD69CB"/>
    <w:rsid w:val="00CD6BFA"/>
    <w:rsid w:val="00CD7BFC"/>
    <w:rsid w:val="00CE2B95"/>
    <w:rsid w:val="00CE2F1A"/>
    <w:rsid w:val="00CF1A11"/>
    <w:rsid w:val="00CF24C7"/>
    <w:rsid w:val="00CF30FC"/>
    <w:rsid w:val="00CF4286"/>
    <w:rsid w:val="00CF5CB2"/>
    <w:rsid w:val="00D019BA"/>
    <w:rsid w:val="00D01B9F"/>
    <w:rsid w:val="00D03B38"/>
    <w:rsid w:val="00D03F87"/>
    <w:rsid w:val="00D04CD4"/>
    <w:rsid w:val="00D07174"/>
    <w:rsid w:val="00D12095"/>
    <w:rsid w:val="00D21AEC"/>
    <w:rsid w:val="00D22D06"/>
    <w:rsid w:val="00D24772"/>
    <w:rsid w:val="00D26E91"/>
    <w:rsid w:val="00D272A6"/>
    <w:rsid w:val="00D279D8"/>
    <w:rsid w:val="00D3441D"/>
    <w:rsid w:val="00D34CF9"/>
    <w:rsid w:val="00D355C4"/>
    <w:rsid w:val="00D3612A"/>
    <w:rsid w:val="00D36605"/>
    <w:rsid w:val="00D37703"/>
    <w:rsid w:val="00D37DBF"/>
    <w:rsid w:val="00D37F25"/>
    <w:rsid w:val="00D40CDE"/>
    <w:rsid w:val="00D42F4F"/>
    <w:rsid w:val="00D44141"/>
    <w:rsid w:val="00D56A53"/>
    <w:rsid w:val="00D6324F"/>
    <w:rsid w:val="00D63458"/>
    <w:rsid w:val="00D66D37"/>
    <w:rsid w:val="00D745EB"/>
    <w:rsid w:val="00D750CC"/>
    <w:rsid w:val="00D758DC"/>
    <w:rsid w:val="00D82073"/>
    <w:rsid w:val="00D84369"/>
    <w:rsid w:val="00D84C8F"/>
    <w:rsid w:val="00D873AD"/>
    <w:rsid w:val="00D90BEE"/>
    <w:rsid w:val="00D91AAC"/>
    <w:rsid w:val="00D91C06"/>
    <w:rsid w:val="00D91C9F"/>
    <w:rsid w:val="00D93FD1"/>
    <w:rsid w:val="00DA08F5"/>
    <w:rsid w:val="00DA182A"/>
    <w:rsid w:val="00DA1D8A"/>
    <w:rsid w:val="00DA2ADC"/>
    <w:rsid w:val="00DA7A44"/>
    <w:rsid w:val="00DB01E2"/>
    <w:rsid w:val="00DB0764"/>
    <w:rsid w:val="00DB3506"/>
    <w:rsid w:val="00DB4CE0"/>
    <w:rsid w:val="00DB7A9A"/>
    <w:rsid w:val="00DC3177"/>
    <w:rsid w:val="00DC3276"/>
    <w:rsid w:val="00DD13AB"/>
    <w:rsid w:val="00DD2841"/>
    <w:rsid w:val="00DD323F"/>
    <w:rsid w:val="00DD37D8"/>
    <w:rsid w:val="00DD4EB5"/>
    <w:rsid w:val="00DD5902"/>
    <w:rsid w:val="00DE01A4"/>
    <w:rsid w:val="00DE3E40"/>
    <w:rsid w:val="00DE4597"/>
    <w:rsid w:val="00DE643F"/>
    <w:rsid w:val="00DF6840"/>
    <w:rsid w:val="00E010AB"/>
    <w:rsid w:val="00E015AD"/>
    <w:rsid w:val="00E0233F"/>
    <w:rsid w:val="00E02678"/>
    <w:rsid w:val="00E04513"/>
    <w:rsid w:val="00E050EC"/>
    <w:rsid w:val="00E06262"/>
    <w:rsid w:val="00E0748A"/>
    <w:rsid w:val="00E10559"/>
    <w:rsid w:val="00E128A9"/>
    <w:rsid w:val="00E143DA"/>
    <w:rsid w:val="00E14BA3"/>
    <w:rsid w:val="00E16744"/>
    <w:rsid w:val="00E24CDE"/>
    <w:rsid w:val="00E25953"/>
    <w:rsid w:val="00E27A9C"/>
    <w:rsid w:val="00E27F5A"/>
    <w:rsid w:val="00E32BEA"/>
    <w:rsid w:val="00E32F5B"/>
    <w:rsid w:val="00E3799F"/>
    <w:rsid w:val="00E37DA2"/>
    <w:rsid w:val="00E4121B"/>
    <w:rsid w:val="00E42FA4"/>
    <w:rsid w:val="00E43ACF"/>
    <w:rsid w:val="00E43B5E"/>
    <w:rsid w:val="00E45864"/>
    <w:rsid w:val="00E4622C"/>
    <w:rsid w:val="00E47F40"/>
    <w:rsid w:val="00E51FFB"/>
    <w:rsid w:val="00E52DD3"/>
    <w:rsid w:val="00E5471E"/>
    <w:rsid w:val="00E558A4"/>
    <w:rsid w:val="00E576D9"/>
    <w:rsid w:val="00E65C76"/>
    <w:rsid w:val="00E65EA1"/>
    <w:rsid w:val="00E6605D"/>
    <w:rsid w:val="00E6611F"/>
    <w:rsid w:val="00E66276"/>
    <w:rsid w:val="00E723FF"/>
    <w:rsid w:val="00E767CF"/>
    <w:rsid w:val="00E857B4"/>
    <w:rsid w:val="00E9168B"/>
    <w:rsid w:val="00E91A28"/>
    <w:rsid w:val="00E923A0"/>
    <w:rsid w:val="00E9265B"/>
    <w:rsid w:val="00E95253"/>
    <w:rsid w:val="00E95569"/>
    <w:rsid w:val="00E978F3"/>
    <w:rsid w:val="00EA09CC"/>
    <w:rsid w:val="00EA1CB1"/>
    <w:rsid w:val="00EA6125"/>
    <w:rsid w:val="00EB31DC"/>
    <w:rsid w:val="00EC0435"/>
    <w:rsid w:val="00EC7180"/>
    <w:rsid w:val="00ED209D"/>
    <w:rsid w:val="00ED418D"/>
    <w:rsid w:val="00ED46C4"/>
    <w:rsid w:val="00ED5F88"/>
    <w:rsid w:val="00ED664B"/>
    <w:rsid w:val="00ED7359"/>
    <w:rsid w:val="00ED7C2E"/>
    <w:rsid w:val="00EE5111"/>
    <w:rsid w:val="00EF0CEE"/>
    <w:rsid w:val="00EF157F"/>
    <w:rsid w:val="00EF2730"/>
    <w:rsid w:val="00EF28D7"/>
    <w:rsid w:val="00EF5550"/>
    <w:rsid w:val="00EF67F6"/>
    <w:rsid w:val="00F01D63"/>
    <w:rsid w:val="00F03786"/>
    <w:rsid w:val="00F03AB8"/>
    <w:rsid w:val="00F05E37"/>
    <w:rsid w:val="00F07897"/>
    <w:rsid w:val="00F07EF7"/>
    <w:rsid w:val="00F112AC"/>
    <w:rsid w:val="00F130AD"/>
    <w:rsid w:val="00F13217"/>
    <w:rsid w:val="00F2002D"/>
    <w:rsid w:val="00F22093"/>
    <w:rsid w:val="00F227E8"/>
    <w:rsid w:val="00F22A2F"/>
    <w:rsid w:val="00F24647"/>
    <w:rsid w:val="00F26374"/>
    <w:rsid w:val="00F26A9F"/>
    <w:rsid w:val="00F30DE4"/>
    <w:rsid w:val="00F331B5"/>
    <w:rsid w:val="00F34AF9"/>
    <w:rsid w:val="00F41E62"/>
    <w:rsid w:val="00F45725"/>
    <w:rsid w:val="00F471E2"/>
    <w:rsid w:val="00F47B58"/>
    <w:rsid w:val="00F47BED"/>
    <w:rsid w:val="00F53521"/>
    <w:rsid w:val="00F53991"/>
    <w:rsid w:val="00F61722"/>
    <w:rsid w:val="00F617C6"/>
    <w:rsid w:val="00F6208E"/>
    <w:rsid w:val="00F65E24"/>
    <w:rsid w:val="00F66A33"/>
    <w:rsid w:val="00F66F7C"/>
    <w:rsid w:val="00F70BA5"/>
    <w:rsid w:val="00F71818"/>
    <w:rsid w:val="00F73842"/>
    <w:rsid w:val="00F73B39"/>
    <w:rsid w:val="00F74981"/>
    <w:rsid w:val="00F75C04"/>
    <w:rsid w:val="00F81F50"/>
    <w:rsid w:val="00F90692"/>
    <w:rsid w:val="00F95772"/>
    <w:rsid w:val="00FA0846"/>
    <w:rsid w:val="00FA27ED"/>
    <w:rsid w:val="00FA40AB"/>
    <w:rsid w:val="00FB2CA2"/>
    <w:rsid w:val="00FB2CEE"/>
    <w:rsid w:val="00FB4289"/>
    <w:rsid w:val="00FB5140"/>
    <w:rsid w:val="00FC0149"/>
    <w:rsid w:val="00FC1824"/>
    <w:rsid w:val="00FC2985"/>
    <w:rsid w:val="00FC7254"/>
    <w:rsid w:val="00FC79AD"/>
    <w:rsid w:val="00FD008B"/>
    <w:rsid w:val="00FD0E0E"/>
    <w:rsid w:val="00FD12A2"/>
    <w:rsid w:val="00FD424D"/>
    <w:rsid w:val="00FD5803"/>
    <w:rsid w:val="00FE235F"/>
    <w:rsid w:val="00FE2CE3"/>
    <w:rsid w:val="00FE2CF0"/>
    <w:rsid w:val="00FE7F11"/>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AF2255B"/>
  <w15:chartTrackingRefBased/>
  <w15:docId w15:val="{D05B6E3C-59E3-4E96-8A9C-AFE219FF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F81F50"/>
    <w:pPr>
      <w:keepNext/>
      <w:spacing w:after="60"/>
    </w:pPr>
    <w:rPr>
      <w:sz w:val="22"/>
    </w:rPr>
  </w:style>
  <w:style w:type="paragraph" w:styleId="BalloonText">
    <w:name w:val="Balloon Text"/>
    <w:basedOn w:val="Normal"/>
    <w:link w:val="BalloonTextChar"/>
    <w:semiHidden/>
    <w:rsid w:val="00F130AD"/>
    <w:rPr>
      <w:rFonts w:ascii="Tahoma" w:hAnsi="Tahoma" w:cs="Tahoma"/>
      <w:sz w:val="16"/>
      <w:szCs w:val="16"/>
    </w:rPr>
  </w:style>
  <w:style w:type="character" w:styleId="CommentReference">
    <w:name w:val="annotation reference"/>
    <w:uiPriority w:val="99"/>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link w:val="CommentSubjectChar"/>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character" w:styleId="Strong">
    <w:name w:val="Strong"/>
    <w:uiPriority w:val="22"/>
    <w:qFormat/>
    <w:rsid w:val="00FA40AB"/>
    <w:rPr>
      <w:b/>
      <w:bCs/>
    </w:rPr>
  </w:style>
  <w:style w:type="paragraph" w:styleId="NormalWeb">
    <w:name w:val="Normal (Web)"/>
    <w:basedOn w:val="Normal"/>
    <w:uiPriority w:val="99"/>
    <w:unhideWhenUsed/>
    <w:rsid w:val="00FA40AB"/>
    <w:pPr>
      <w:spacing w:after="180"/>
    </w:pPr>
    <w:rPr>
      <w:lang w:eastAsia="en-GB"/>
    </w:rPr>
  </w:style>
  <w:style w:type="character" w:customStyle="1" w:styleId="Heading4Char">
    <w:name w:val="Heading 4 Char"/>
    <w:basedOn w:val="DefaultParagraphFont"/>
    <w:link w:val="Heading4"/>
    <w:rsid w:val="00FA40AB"/>
    <w:rPr>
      <w:rFonts w:ascii="Arial" w:hAnsi="Arial"/>
      <w:b/>
      <w:bCs/>
      <w:iCs/>
      <w:sz w:val="24"/>
      <w:szCs w:val="28"/>
      <w:lang w:eastAsia="en-US"/>
    </w:rPr>
  </w:style>
  <w:style w:type="character" w:customStyle="1" w:styleId="HeaderChar">
    <w:name w:val="Header Char"/>
    <w:basedOn w:val="DefaultParagraphFont"/>
    <w:link w:val="Header"/>
    <w:rsid w:val="00FA40AB"/>
    <w:rPr>
      <w:rFonts w:ascii="Arial" w:hAnsi="Arial"/>
      <w:sz w:val="24"/>
      <w:szCs w:val="24"/>
      <w:lang w:eastAsia="en-US"/>
    </w:rPr>
  </w:style>
  <w:style w:type="character" w:customStyle="1" w:styleId="FooterChar">
    <w:name w:val="Footer Char"/>
    <w:basedOn w:val="DefaultParagraphFont"/>
    <w:link w:val="Footer"/>
    <w:rsid w:val="00FA40AB"/>
    <w:rPr>
      <w:rFonts w:ascii="Arial" w:hAnsi="Arial"/>
      <w:sz w:val="24"/>
      <w:szCs w:val="24"/>
      <w:lang w:eastAsia="en-US"/>
    </w:rPr>
  </w:style>
  <w:style w:type="character" w:customStyle="1" w:styleId="BalloonTextChar">
    <w:name w:val="Balloon Text Char"/>
    <w:basedOn w:val="DefaultParagraphFont"/>
    <w:link w:val="BalloonText"/>
    <w:semiHidden/>
    <w:rsid w:val="00FA40AB"/>
    <w:rPr>
      <w:rFonts w:ascii="Tahoma" w:hAnsi="Tahoma" w:cs="Tahoma"/>
      <w:sz w:val="16"/>
      <w:szCs w:val="16"/>
      <w:lang w:eastAsia="en-US"/>
    </w:rPr>
  </w:style>
  <w:style w:type="character" w:customStyle="1" w:styleId="CommentTextChar1">
    <w:name w:val="Comment Text Char1"/>
    <w:basedOn w:val="DefaultParagraphFont"/>
    <w:uiPriority w:val="99"/>
    <w:semiHidden/>
    <w:rsid w:val="00FA40AB"/>
    <w:rPr>
      <w:lang w:eastAsia="en-US"/>
    </w:rPr>
  </w:style>
  <w:style w:type="character" w:customStyle="1" w:styleId="CommentSubjectChar">
    <w:name w:val="Comment Subject Char"/>
    <w:basedOn w:val="CommentTextChar1"/>
    <w:link w:val="CommentSubject"/>
    <w:semiHidden/>
    <w:rsid w:val="00FA40AB"/>
    <w:rPr>
      <w:b/>
      <w:bCs/>
      <w:lang w:val="x-none" w:eastAsia="en-US"/>
    </w:rPr>
  </w:style>
  <w:style w:type="character" w:customStyle="1" w:styleId="TabletextChar">
    <w:name w:val="Table text Char"/>
    <w:link w:val="Tabletext"/>
    <w:rsid w:val="00FA40AB"/>
    <w:rPr>
      <w:rFonts w:ascii="Arial" w:hAnsi="Arial"/>
      <w:sz w:val="22"/>
      <w:szCs w:val="24"/>
      <w:lang w:eastAsia="en-US"/>
    </w:rPr>
  </w:style>
  <w:style w:type="paragraph" w:customStyle="1" w:styleId="numbered-paragraph">
    <w:name w:val="numbered-paragraph"/>
    <w:basedOn w:val="Normal"/>
    <w:rsid w:val="00FA40AB"/>
    <w:pPr>
      <w:spacing w:after="180"/>
    </w:pPr>
    <w:rPr>
      <w:lang w:eastAsia="en-GB"/>
    </w:rPr>
  </w:style>
  <w:style w:type="paragraph" w:customStyle="1" w:styleId="Default">
    <w:name w:val="Default"/>
    <w:rsid w:val="00FA40AB"/>
    <w:pPr>
      <w:autoSpaceDE w:val="0"/>
      <w:autoSpaceDN w:val="0"/>
      <w:adjustRightInd w:val="0"/>
    </w:pPr>
    <w:rPr>
      <w:rFonts w:ascii="Arial" w:hAnsi="Arial" w:cs="Arial"/>
      <w:color w:val="000000"/>
      <w:sz w:val="24"/>
      <w:szCs w:val="24"/>
    </w:rPr>
  </w:style>
  <w:style w:type="paragraph" w:styleId="NoSpacing">
    <w:name w:val="No Spacing"/>
    <w:uiPriority w:val="1"/>
    <w:qFormat/>
    <w:rsid w:val="00FA40AB"/>
    <w:rPr>
      <w:sz w:val="24"/>
      <w:szCs w:val="24"/>
      <w:lang w:eastAsia="en-US"/>
    </w:rPr>
  </w:style>
  <w:style w:type="character" w:customStyle="1" w:styleId="apple-converted-space">
    <w:name w:val="apple-converted-space"/>
    <w:basedOn w:val="DefaultParagraphFont"/>
    <w:rsid w:val="00FA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276/documents" TargetMode="External"/><Relationship Id="rId13" Type="http://schemas.openxmlformats.org/officeDocument/2006/relationships/hyperlink" Target="https://www.nice.org.uk/guidance/ta565" TargetMode="External"/><Relationship Id="rId18" Type="http://schemas.openxmlformats.org/officeDocument/2006/relationships/hyperlink" Target="https://www.nice.org.uk/guidance/ta56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ice.org.uk/guidance/ta278" TargetMode="External"/><Relationship Id="rId7" Type="http://schemas.openxmlformats.org/officeDocument/2006/relationships/endnotes" Target="endnotes.xml"/><Relationship Id="rId12" Type="http://schemas.openxmlformats.org/officeDocument/2006/relationships/hyperlink" Target="https://www.nice.org.uk/guidance/indevelopment/gid-ta10276/documents" TargetMode="External"/><Relationship Id="rId17" Type="http://schemas.openxmlformats.org/officeDocument/2006/relationships/hyperlink" Target="https://www.nice.org.uk/guidance/ng8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inasthma.org/difficult-to-treat-and-severe-asthma-guide/" TargetMode="External"/><Relationship Id="rId20" Type="http://schemas.openxmlformats.org/officeDocument/2006/relationships/hyperlink" Target="https://www.nice.org.uk/guidance/ta4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product-information/dupixent-epar-product-information_en.pdf" TargetMode="External"/><Relationship Id="rId24" Type="http://schemas.openxmlformats.org/officeDocument/2006/relationships/hyperlink" Target="https://www.nice.org.uk/get-involved/meetings-in-public/technology-appraisal-committee" TargetMode="External"/><Relationship Id="rId5" Type="http://schemas.openxmlformats.org/officeDocument/2006/relationships/webSettings" Target="webSettings.xml"/><Relationship Id="rId15" Type="http://schemas.openxmlformats.org/officeDocument/2006/relationships/hyperlink" Target="https://www.nice.org.uk/guidance/ta278" TargetMode="External"/><Relationship Id="rId23" Type="http://schemas.openxmlformats.org/officeDocument/2006/relationships/hyperlink" Target="https://www.nice.org.uk/Get-Involved/Meetings-in-public/Technology-appraisal-Committee/Committee-B-Members" TargetMode="External"/><Relationship Id="rId28" Type="http://schemas.openxmlformats.org/officeDocument/2006/relationships/theme" Target="theme/theme1.xml"/><Relationship Id="rId10" Type="http://schemas.openxmlformats.org/officeDocument/2006/relationships/hyperlink" Target="https://ginasthma.org/severeasthma/" TargetMode="External"/><Relationship Id="rId19" Type="http://schemas.openxmlformats.org/officeDocument/2006/relationships/hyperlink" Target="https://www.nice.org.uk/guidance/ta431" TargetMode="External"/><Relationship Id="rId4" Type="http://schemas.openxmlformats.org/officeDocument/2006/relationships/settings" Target="settings.xml"/><Relationship Id="rId9" Type="http://schemas.openxmlformats.org/officeDocument/2006/relationships/hyperlink" Target="https://www.nice.org.uk/guidance/indevelopment/gid-ta10276/documents" TargetMode="External"/><Relationship Id="rId14" Type="http://schemas.openxmlformats.org/officeDocument/2006/relationships/hyperlink" Target="https://www.nice.org.uk/guidance/ta431" TargetMode="External"/><Relationship Id="rId22" Type="http://schemas.openxmlformats.org/officeDocument/2006/relationships/hyperlink" Target="https://www.nice.org.uk/guidance/ta43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53A63-56B4-4F09-B0DE-F36C61AF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4650</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31709</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Caroline Bregman</dc:creator>
  <cp:keywords/>
  <cp:lastModifiedBy>Shonagh D'Sylva</cp:lastModifiedBy>
  <cp:revision>5</cp:revision>
  <cp:lastPrinted>2012-11-14T14:34:00Z</cp:lastPrinted>
  <dcterms:created xsi:type="dcterms:W3CDTF">2021-04-29T13:10:00Z</dcterms:created>
  <dcterms:modified xsi:type="dcterms:W3CDTF">2021-04-29T17:53:00Z</dcterms:modified>
</cp:coreProperties>
</file>